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0" w:rsidRDefault="0074520B" w:rsidP="00A26C2D">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78pt">
            <v:imagedata r:id="rId9" o:title="ACCC%20logo%20for%20Word%20documents%20(purple)"/>
          </v:shape>
        </w:pict>
      </w:r>
    </w:p>
    <w:p w:rsidR="000F1353" w:rsidRPr="000F1353" w:rsidRDefault="000F1353" w:rsidP="00A26C2D">
      <w:pPr>
        <w:pStyle w:val="Heading1"/>
      </w:pPr>
      <w:r w:rsidRPr="000F1353">
        <w:t>Statement of Issues</w:t>
      </w:r>
    </w:p>
    <w:p w:rsidR="00E50A22" w:rsidRPr="00E23669" w:rsidRDefault="00B8750F" w:rsidP="00A26C2D">
      <w:pPr>
        <w:pStyle w:val="Date"/>
      </w:pPr>
      <w:r w:rsidRPr="00BE785D">
        <w:t>24</w:t>
      </w:r>
      <w:r>
        <w:t xml:space="preserve"> August 2017</w:t>
      </w:r>
    </w:p>
    <w:p w:rsidR="00FB30A0" w:rsidRDefault="00B8750F" w:rsidP="00A26C2D">
      <w:pPr>
        <w:pStyle w:val="Heading2"/>
      </w:pPr>
      <w:bookmarkStart w:id="0" w:name="Title"/>
      <w:bookmarkEnd w:id="0"/>
      <w:r>
        <w:t>Platinum Equity</w:t>
      </w:r>
      <w:r w:rsidR="002A6DE2">
        <w:t xml:space="preserve"> </w:t>
      </w:r>
      <w:r w:rsidR="00E44A40">
        <w:t>–</w:t>
      </w:r>
      <w:r w:rsidR="002A6DE2">
        <w:t xml:space="preserve"> </w:t>
      </w:r>
      <w:r w:rsidR="00E44A40">
        <w:t xml:space="preserve">proposed </w:t>
      </w:r>
      <w:r w:rsidR="002A6DE2">
        <w:t xml:space="preserve">acquisition </w:t>
      </w:r>
      <w:r w:rsidR="00E44A40">
        <w:t xml:space="preserve">of </w:t>
      </w:r>
      <w:r>
        <w:t>OfficeMax Australia</w:t>
      </w:r>
      <w:r w:rsidR="00E44A40">
        <w:t xml:space="preserve"> </w:t>
      </w:r>
    </w:p>
    <w:p w:rsidR="00E44A40" w:rsidRDefault="00E44A40" w:rsidP="00A26C2D">
      <w:pPr>
        <w:pStyle w:val="Heading3"/>
      </w:pPr>
      <w:r>
        <w:t>Purpose</w:t>
      </w:r>
    </w:p>
    <w:p w:rsidR="00CA37F1" w:rsidRDefault="00CA37F1" w:rsidP="00C64242">
      <w:pPr>
        <w:pStyle w:val="Numbered"/>
      </w:pPr>
      <w:r>
        <w:t>Platinum Equity, a global private equity group,</w:t>
      </w:r>
      <w:r w:rsidR="0024150A">
        <w:t xml:space="preserve"> proposes to acquire </w:t>
      </w:r>
      <w:r>
        <w:t>OfficeMax Australia (</w:t>
      </w:r>
      <w:r w:rsidRPr="00CA37F1">
        <w:rPr>
          <w:b/>
        </w:rPr>
        <w:t>OfficeMax</w:t>
      </w:r>
      <w:r>
        <w:t>)</w:t>
      </w:r>
      <w:r w:rsidR="00B73437">
        <w:t xml:space="preserve"> </w:t>
      </w:r>
      <w:r w:rsidR="00DA5EE6">
        <w:t xml:space="preserve">from Office Depot, Inc. </w:t>
      </w:r>
      <w:r w:rsidR="00B73437">
        <w:t xml:space="preserve">(the </w:t>
      </w:r>
      <w:r w:rsidR="00B73437" w:rsidRPr="00B73437">
        <w:rPr>
          <w:b/>
        </w:rPr>
        <w:t>proposed acquisition</w:t>
      </w:r>
      <w:r w:rsidR="00B73437">
        <w:t>)</w:t>
      </w:r>
      <w:r w:rsidR="0024150A">
        <w:t xml:space="preserve">. </w:t>
      </w:r>
      <w:r>
        <w:rPr>
          <w:lang w:eastAsia="en-AU"/>
        </w:rPr>
        <w:t xml:space="preserve">Platinum Equity recently acquired </w:t>
      </w:r>
      <w:r w:rsidR="00161F86">
        <w:rPr>
          <w:lang w:eastAsia="en-AU"/>
        </w:rPr>
        <w:t>Staples Australia Pty Ltd (</w:t>
      </w:r>
      <w:r w:rsidR="00161F86" w:rsidRPr="003B4FD3">
        <w:rPr>
          <w:b/>
          <w:lang w:eastAsia="en-AU"/>
        </w:rPr>
        <w:t>Staples</w:t>
      </w:r>
      <w:r w:rsidR="00161F86">
        <w:rPr>
          <w:lang w:eastAsia="en-AU"/>
        </w:rPr>
        <w:t>) from</w:t>
      </w:r>
      <w:r w:rsidR="00B94379">
        <w:rPr>
          <w:lang w:eastAsia="en-AU"/>
        </w:rPr>
        <w:t xml:space="preserve"> Staples</w:t>
      </w:r>
      <w:r w:rsidR="00231ED2">
        <w:rPr>
          <w:lang w:eastAsia="en-AU"/>
        </w:rPr>
        <w:t>,</w:t>
      </w:r>
      <w:r w:rsidR="00B94379">
        <w:rPr>
          <w:lang w:eastAsia="en-AU"/>
        </w:rPr>
        <w:t xml:space="preserve"> Inc</w:t>
      </w:r>
      <w:r>
        <w:rPr>
          <w:lang w:eastAsia="en-AU"/>
        </w:rPr>
        <w:t xml:space="preserve">. </w:t>
      </w:r>
      <w:r w:rsidR="00825AD5">
        <w:rPr>
          <w:lang w:eastAsia="en-AU"/>
        </w:rPr>
        <w:t xml:space="preserve">Both </w:t>
      </w:r>
      <w:r>
        <w:rPr>
          <w:lang w:eastAsia="en-AU"/>
        </w:rPr>
        <w:t xml:space="preserve">Staples and OfficeMax supply office products, primarily to </w:t>
      </w:r>
      <w:r w:rsidR="00F21648">
        <w:rPr>
          <w:lang w:eastAsia="en-AU"/>
        </w:rPr>
        <w:t xml:space="preserve">commercial </w:t>
      </w:r>
      <w:r>
        <w:rPr>
          <w:lang w:eastAsia="en-AU"/>
        </w:rPr>
        <w:t>and government customers</w:t>
      </w:r>
      <w:r w:rsidR="00825AD5">
        <w:rPr>
          <w:lang w:eastAsia="en-AU"/>
        </w:rPr>
        <w:t>, throughout Australia</w:t>
      </w:r>
      <w:r>
        <w:rPr>
          <w:lang w:eastAsia="en-AU"/>
        </w:rPr>
        <w:t>.</w:t>
      </w:r>
    </w:p>
    <w:p w:rsidR="00E44A40" w:rsidRDefault="00E44A40" w:rsidP="00C64242">
      <w:pPr>
        <w:pStyle w:val="Numbered"/>
      </w:pPr>
      <w:r>
        <w:t xml:space="preserve">This </w:t>
      </w:r>
      <w:r w:rsidR="00F23D98">
        <w:t>Statement of I</w:t>
      </w:r>
      <w:r w:rsidRPr="00E44A40">
        <w:t>ssues</w:t>
      </w:r>
      <w:r>
        <w:t>:</w:t>
      </w:r>
    </w:p>
    <w:p w:rsidR="00E44A40" w:rsidRDefault="00134AD5" w:rsidP="00C64242">
      <w:pPr>
        <w:pStyle w:val="Numbered"/>
        <w:numPr>
          <w:ilvl w:val="0"/>
          <w:numId w:val="5"/>
        </w:numPr>
      </w:pPr>
      <w:r>
        <w:t>give</w:t>
      </w:r>
      <w:r w:rsidR="0024150A">
        <w:t>s</w:t>
      </w:r>
      <w:r>
        <w:t xml:space="preserve"> the Australian Competition and Consumer Commission’s (</w:t>
      </w:r>
      <w:r>
        <w:rPr>
          <w:b/>
        </w:rPr>
        <w:t>ACCC</w:t>
      </w:r>
      <w:r w:rsidRPr="00134AD5">
        <w:t>)</w:t>
      </w:r>
      <w:r w:rsidR="00E44A40">
        <w:t xml:space="preserve"> preliminary views on competition issues arising from </w:t>
      </w:r>
      <w:r w:rsidR="0024150A">
        <w:t xml:space="preserve">the </w:t>
      </w:r>
      <w:r w:rsidR="00E44A40">
        <w:t xml:space="preserve">proposed acquisition </w:t>
      </w:r>
    </w:p>
    <w:p w:rsidR="00E44A40" w:rsidRDefault="0024150A" w:rsidP="00C64242">
      <w:pPr>
        <w:pStyle w:val="Numbered"/>
        <w:numPr>
          <w:ilvl w:val="0"/>
          <w:numId w:val="5"/>
        </w:numPr>
      </w:pPr>
      <w:r>
        <w:t>identifies</w:t>
      </w:r>
      <w:r w:rsidR="00E44A40">
        <w:t xml:space="preserve"> areas </w:t>
      </w:r>
      <w:r w:rsidR="005524C3">
        <w:t xml:space="preserve">for </w:t>
      </w:r>
      <w:r w:rsidR="00E44A40">
        <w:t>further inquiry</w:t>
      </w:r>
      <w:r w:rsidR="005524C3">
        <w:t xml:space="preserve"> by the ACCC</w:t>
      </w:r>
    </w:p>
    <w:p w:rsidR="00E44A40" w:rsidRDefault="00E44A40" w:rsidP="00C64242">
      <w:pPr>
        <w:pStyle w:val="Numbered"/>
        <w:numPr>
          <w:ilvl w:val="0"/>
          <w:numId w:val="5"/>
        </w:numPr>
      </w:pPr>
      <w:proofErr w:type="gramStart"/>
      <w:r>
        <w:t>invite</w:t>
      </w:r>
      <w:r w:rsidR="0024150A">
        <w:t>s</w:t>
      </w:r>
      <w:proofErr w:type="gramEnd"/>
      <w:r>
        <w:t xml:space="preserve"> interested parties to submit </w:t>
      </w:r>
      <w:r w:rsidR="0024150A">
        <w:t xml:space="preserve">comments and </w:t>
      </w:r>
      <w:r w:rsidR="00853E30">
        <w:t>information to assist</w:t>
      </w:r>
      <w:r>
        <w:t xml:space="preserve"> </w:t>
      </w:r>
      <w:r w:rsidR="00C2116D">
        <w:t xml:space="preserve">the ACCC’s </w:t>
      </w:r>
      <w:r>
        <w:t>assessment of the issues.</w:t>
      </w:r>
    </w:p>
    <w:p w:rsidR="00E44A40" w:rsidRDefault="00E44A40" w:rsidP="00A26C2D">
      <w:pPr>
        <w:pStyle w:val="Heading3"/>
      </w:pPr>
      <w:r>
        <w:t>Overview of ACCC’s preliminary views</w:t>
      </w:r>
    </w:p>
    <w:p w:rsidR="001149AB" w:rsidRDefault="009E077E" w:rsidP="00C64242">
      <w:pPr>
        <w:pStyle w:val="Numbered"/>
      </w:pPr>
      <w:r w:rsidRPr="00A0349E">
        <w:t xml:space="preserve">The </w:t>
      </w:r>
      <w:r>
        <w:t xml:space="preserve">legal test which </w:t>
      </w:r>
      <w:r w:rsidR="00134AD5">
        <w:t xml:space="preserve">the ACCC </w:t>
      </w:r>
      <w:r>
        <w:t xml:space="preserve">applies in </w:t>
      </w:r>
      <w:r w:rsidRPr="00A0349E">
        <w:t xml:space="preserve">considering the </w:t>
      </w:r>
      <w:r>
        <w:t xml:space="preserve">proposed </w:t>
      </w:r>
      <w:r w:rsidRPr="00A0349E">
        <w:t xml:space="preserve">acquisition </w:t>
      </w:r>
      <w:r>
        <w:t xml:space="preserve">is in </w:t>
      </w:r>
      <w:r w:rsidRPr="00A0349E">
        <w:t xml:space="preserve">section 50 of the </w:t>
      </w:r>
      <w:r w:rsidRPr="00A0349E">
        <w:rPr>
          <w:i/>
        </w:rPr>
        <w:t>Competition and Consumer Act 2010</w:t>
      </w:r>
      <w:r w:rsidRPr="00A0349E">
        <w:t xml:space="preserve">. </w:t>
      </w:r>
      <w:r w:rsidR="001149AB">
        <w:t>Section 50 prohibits acquisitions that would have the effect, or be likely to have the effect, of substantially lessening competition in any market.</w:t>
      </w:r>
    </w:p>
    <w:p w:rsidR="009E077E" w:rsidRDefault="00E44A40" w:rsidP="00C64242">
      <w:pPr>
        <w:pStyle w:val="Numbered"/>
      </w:pPr>
      <w:r>
        <w:t xml:space="preserve">The </w:t>
      </w:r>
      <w:r w:rsidR="009E077E">
        <w:t>ACCC</w:t>
      </w:r>
      <w:r w:rsidR="001C42C7">
        <w:t xml:space="preserve"> divides</w:t>
      </w:r>
      <w:r>
        <w:t xml:space="preserve"> its preliminary views into three categories, 'issues of concern', 'issues that may </w:t>
      </w:r>
      <w:proofErr w:type="gramStart"/>
      <w:r>
        <w:t>raise</w:t>
      </w:r>
      <w:proofErr w:type="gramEnd"/>
      <w:r>
        <w:t xml:space="preserve"> concerns' and ‘issues unlikely to raise concerns’.</w:t>
      </w:r>
      <w:r w:rsidR="00DE1358">
        <w:t xml:space="preserve"> For this matter, there is one </w:t>
      </w:r>
      <w:r w:rsidR="00DE1358" w:rsidRPr="00E53EEB">
        <w:t>issue that may raise concern</w:t>
      </w:r>
      <w:r w:rsidR="00071E82">
        <w:t>s</w:t>
      </w:r>
      <w:r w:rsidR="00DE1358">
        <w:t>.</w:t>
      </w:r>
    </w:p>
    <w:p w:rsidR="00B73437" w:rsidRPr="00B73437" w:rsidRDefault="001C42C7" w:rsidP="00C64242">
      <w:pPr>
        <w:pStyle w:val="Heading4"/>
      </w:pPr>
      <w:r w:rsidRPr="00A83B44">
        <w:t xml:space="preserve">Issue </w:t>
      </w:r>
      <w:r w:rsidR="00BE785D" w:rsidRPr="00A83B44">
        <w:t>that may</w:t>
      </w:r>
      <w:r w:rsidRPr="00A83B44">
        <w:t xml:space="preserve"> raise</w:t>
      </w:r>
      <w:r w:rsidR="00FB0048" w:rsidRPr="00A83B44">
        <w:t xml:space="preserve"> concern</w:t>
      </w:r>
      <w:r w:rsidR="00071E82">
        <w:t>s</w:t>
      </w:r>
    </w:p>
    <w:p w:rsidR="009D61AC" w:rsidRDefault="00B73437" w:rsidP="00C64242">
      <w:pPr>
        <w:pStyle w:val="Numbered"/>
      </w:pPr>
      <w:r w:rsidRPr="00B73437">
        <w:t xml:space="preserve">The ACCC’s preliminary view is that the proposed acquisition </w:t>
      </w:r>
      <w:r w:rsidRPr="00A83B44">
        <w:t>may</w:t>
      </w:r>
      <w:r w:rsidRPr="00B73437">
        <w:t xml:space="preserve"> substantially lessen competition in the supply of traditional office products to large </w:t>
      </w:r>
      <w:r w:rsidR="00500CCA">
        <w:t xml:space="preserve">commercial and </w:t>
      </w:r>
      <w:r w:rsidR="000F7148">
        <w:t>government</w:t>
      </w:r>
      <w:r w:rsidRPr="00B73437">
        <w:t xml:space="preserve"> customers</w:t>
      </w:r>
      <w:r w:rsidR="000F7148">
        <w:t xml:space="preserve"> </w:t>
      </w:r>
      <w:r w:rsidRPr="00B73437">
        <w:t>in Australia.</w:t>
      </w:r>
      <w:r>
        <w:t xml:space="preserve"> </w:t>
      </w:r>
    </w:p>
    <w:p w:rsidR="00DE1358" w:rsidRDefault="00DE1358" w:rsidP="00C64242">
      <w:pPr>
        <w:pStyle w:val="Numbered"/>
      </w:pPr>
      <w:r>
        <w:lastRenderedPageBreak/>
        <w:t>The proposed acquisition would result in the horizontal aggregation of the two l</w:t>
      </w:r>
      <w:r w:rsidR="00CD6C6C">
        <w:t>eading</w:t>
      </w:r>
      <w:r>
        <w:t xml:space="preserve"> suppliers and reduce the number of credible suppliers from four to three, thereby further increasing concentration in an already concentrated market. </w:t>
      </w:r>
    </w:p>
    <w:p w:rsidR="001C42C7" w:rsidRPr="00B73437" w:rsidRDefault="005113CF" w:rsidP="00C64242">
      <w:pPr>
        <w:pStyle w:val="Numbered"/>
      </w:pPr>
      <w:r>
        <w:t xml:space="preserve">The reduction in competition </w:t>
      </w:r>
      <w:r w:rsidRPr="003209DE">
        <w:t>may</w:t>
      </w:r>
      <w:r>
        <w:t xml:space="preserve"> lead to higher </w:t>
      </w:r>
      <w:r w:rsidR="009D61AC">
        <w:t>prices and/or lower levels of service</w:t>
      </w:r>
      <w:r w:rsidR="00EB25D6">
        <w:t xml:space="preserve"> </w:t>
      </w:r>
      <w:r w:rsidR="009D61AC">
        <w:t>to large customers.</w:t>
      </w:r>
      <w:r w:rsidR="00974995">
        <w:t xml:space="preserve"> </w:t>
      </w:r>
    </w:p>
    <w:p w:rsidR="00E44A40" w:rsidRDefault="00E44A40" w:rsidP="00E44A40">
      <w:pPr>
        <w:pStyle w:val="Heading3"/>
      </w:pPr>
      <w:r>
        <w:t>Making a submission</w:t>
      </w:r>
    </w:p>
    <w:p w:rsidR="00E44A40" w:rsidRDefault="00E44A40" w:rsidP="00C64242">
      <w:pPr>
        <w:pStyle w:val="Numbered"/>
      </w:pPr>
      <w:r>
        <w:t>The ACCC is seeking submissions from interested parties, particularly on the following key issues:</w:t>
      </w:r>
    </w:p>
    <w:p w:rsidR="009D61AC" w:rsidRPr="00AC12AE" w:rsidRDefault="009D61AC" w:rsidP="00C64242">
      <w:pPr>
        <w:pStyle w:val="Numbered"/>
        <w:numPr>
          <w:ilvl w:val="0"/>
          <w:numId w:val="5"/>
        </w:numPr>
      </w:pPr>
      <w:r w:rsidRPr="00AC12AE">
        <w:t>The closeness of competition between Staples and OfficeMax</w:t>
      </w:r>
      <w:r w:rsidR="00974995">
        <w:t xml:space="preserve">, and </w:t>
      </w:r>
      <w:r w:rsidR="00974995" w:rsidRPr="00AC12AE">
        <w:t>between Staples and OfficeMax</w:t>
      </w:r>
      <w:r w:rsidR="00974995">
        <w:t xml:space="preserve"> and other suppliers in the relevant market</w:t>
      </w:r>
    </w:p>
    <w:p w:rsidR="009D61AC" w:rsidRPr="00AC12AE" w:rsidRDefault="009D61AC" w:rsidP="00C64242">
      <w:pPr>
        <w:pStyle w:val="Numbered"/>
        <w:numPr>
          <w:ilvl w:val="0"/>
          <w:numId w:val="5"/>
        </w:numPr>
      </w:pPr>
      <w:r w:rsidRPr="00AC12AE">
        <w:t>The extent to which</w:t>
      </w:r>
      <w:r w:rsidR="00AC12AE" w:rsidRPr="00AC12AE">
        <w:t xml:space="preserve"> </w:t>
      </w:r>
      <w:r w:rsidR="00E70716">
        <w:t xml:space="preserve">large </w:t>
      </w:r>
      <w:r w:rsidRPr="00AC12AE">
        <w:t xml:space="preserve">customers have </w:t>
      </w:r>
      <w:r w:rsidR="00DE1358">
        <w:t xml:space="preserve">viable </w:t>
      </w:r>
      <w:r w:rsidR="00DE1358" w:rsidRPr="00AC12AE">
        <w:t>alternatives</w:t>
      </w:r>
      <w:r w:rsidR="00DE1358">
        <w:t>, such as C</w:t>
      </w:r>
      <w:r w:rsidR="00B36B44">
        <w:t xml:space="preserve">omplete </w:t>
      </w:r>
      <w:r w:rsidR="00DE1358">
        <w:t>O</w:t>
      </w:r>
      <w:r w:rsidR="00B36B44">
        <w:t>ffice Supplies (</w:t>
      </w:r>
      <w:r w:rsidR="00B36B44" w:rsidRPr="00B36B44">
        <w:rPr>
          <w:b/>
        </w:rPr>
        <w:t>CO</w:t>
      </w:r>
      <w:r w:rsidR="00DE1358" w:rsidRPr="00B36B44">
        <w:rPr>
          <w:b/>
        </w:rPr>
        <w:t>S</w:t>
      </w:r>
      <w:r w:rsidR="00B36B44">
        <w:t>)</w:t>
      </w:r>
      <w:r w:rsidR="00DE1358">
        <w:t xml:space="preserve"> or Lyreco</w:t>
      </w:r>
      <w:r w:rsidR="001864AC" w:rsidRPr="001864AC">
        <w:t xml:space="preserve"> </w:t>
      </w:r>
      <w:r w:rsidR="001864AC" w:rsidRPr="00AE3D94">
        <w:t>Pty Ltd</w:t>
      </w:r>
      <w:r w:rsidR="001864AC">
        <w:t xml:space="preserve"> (</w:t>
      </w:r>
      <w:r w:rsidR="001864AC" w:rsidRPr="00ED2335">
        <w:rPr>
          <w:b/>
        </w:rPr>
        <w:t>Lyreco</w:t>
      </w:r>
      <w:r w:rsidR="001864AC">
        <w:t>)</w:t>
      </w:r>
    </w:p>
    <w:p w:rsidR="009D61AC" w:rsidRPr="00AC12AE" w:rsidRDefault="009D61AC" w:rsidP="00C64242">
      <w:pPr>
        <w:pStyle w:val="Numbered"/>
        <w:numPr>
          <w:ilvl w:val="0"/>
          <w:numId w:val="5"/>
        </w:numPr>
      </w:pPr>
      <w:r w:rsidRPr="00AC12AE">
        <w:t xml:space="preserve">The </w:t>
      </w:r>
      <w:r w:rsidR="00AC12AE" w:rsidRPr="00AC12AE">
        <w:t xml:space="preserve">extent to which existing suppliers could expand or new entrants enter if the </w:t>
      </w:r>
      <w:r w:rsidR="00FD4152">
        <w:t xml:space="preserve">combined Staples-OfficeMax </w:t>
      </w:r>
      <w:r w:rsidR="00AC12AE" w:rsidRPr="00AC12AE">
        <w:t>attempted to increase prices and/or decrease service levels</w:t>
      </w:r>
      <w:r w:rsidR="001610C3">
        <w:t>.</w:t>
      </w:r>
      <w:r w:rsidRPr="00AC12AE">
        <w:t xml:space="preserve"> </w:t>
      </w:r>
    </w:p>
    <w:p w:rsidR="009E077E" w:rsidRDefault="009E077E" w:rsidP="00C64242">
      <w:pPr>
        <w:pStyle w:val="Numbered"/>
      </w:pPr>
      <w:r>
        <w:t xml:space="preserve">Detailed discussion of these and other issues, along with specific questions, is contained in this Statement of Issues. </w:t>
      </w:r>
    </w:p>
    <w:p w:rsidR="00E44A40" w:rsidRDefault="00E44A40" w:rsidP="00C64242">
      <w:pPr>
        <w:pStyle w:val="Numbered"/>
      </w:pPr>
      <w:r>
        <w:t xml:space="preserve">Interested parties should provide submissions by </w:t>
      </w:r>
      <w:r w:rsidRPr="00A0349E">
        <w:t xml:space="preserve">no later than </w:t>
      </w:r>
      <w:r w:rsidRPr="00E44A40">
        <w:t xml:space="preserve">5pm on </w:t>
      </w:r>
      <w:r w:rsidR="00AF0BC1" w:rsidRPr="007D569E">
        <w:rPr>
          <w:b/>
        </w:rPr>
        <w:t>7 September 2017</w:t>
      </w:r>
      <w:r w:rsidRPr="00A0349E">
        <w:t>. Responses may be e</w:t>
      </w:r>
      <w:r w:rsidR="00AF0BC1">
        <w:t>-</w:t>
      </w:r>
      <w:r w:rsidRPr="00A0349E">
        <w:t xml:space="preserve">mailed to mergers@accc.gov.au with </w:t>
      </w:r>
      <w:r w:rsidRPr="00BE785D">
        <w:t xml:space="preserve">the title: </w:t>
      </w:r>
      <w:r w:rsidRPr="00ED2335">
        <w:rPr>
          <w:i/>
        </w:rPr>
        <w:t xml:space="preserve">Submission re: </w:t>
      </w:r>
      <w:r w:rsidR="00B73437" w:rsidRPr="00ED2335">
        <w:rPr>
          <w:i/>
        </w:rPr>
        <w:t>Platinum Equity / OfficeMax</w:t>
      </w:r>
      <w:r w:rsidRPr="00ED2335">
        <w:rPr>
          <w:i/>
        </w:rPr>
        <w:t xml:space="preserve"> - attention </w:t>
      </w:r>
      <w:r w:rsidR="00123279" w:rsidRPr="00ED2335">
        <w:rPr>
          <w:i/>
        </w:rPr>
        <w:t xml:space="preserve">Elizabeth Elias / </w:t>
      </w:r>
      <w:r w:rsidR="00AF0BC1" w:rsidRPr="00ED2335">
        <w:rPr>
          <w:i/>
        </w:rPr>
        <w:t>Stella Leung</w:t>
      </w:r>
      <w:r w:rsidRPr="00BE785D">
        <w:t>. If you would like to discuss the matter with ACCC officers over the telephone or in person, or have any questions about this</w:t>
      </w:r>
      <w:r w:rsidR="008A0D3D" w:rsidRPr="003B4FD3">
        <w:rPr>
          <w:color w:val="1F497D"/>
        </w:rPr>
        <w:t xml:space="preserve"> </w:t>
      </w:r>
      <w:r w:rsidR="008A0D3D" w:rsidRPr="003B4FD3">
        <w:rPr>
          <w:color w:val="000000" w:themeColor="text1"/>
        </w:rPr>
        <w:t>Statement of Issues</w:t>
      </w:r>
      <w:r w:rsidRPr="003B4FD3">
        <w:rPr>
          <w:color w:val="000000" w:themeColor="text1"/>
        </w:rPr>
        <w:t>,</w:t>
      </w:r>
      <w:r w:rsidRPr="003B4FD3">
        <w:t xml:space="preserve"> please contact </w:t>
      </w:r>
      <w:r w:rsidR="00123279" w:rsidRPr="00BE785D">
        <w:t>Elizabeth Elias</w:t>
      </w:r>
      <w:r w:rsidRPr="00BE785D">
        <w:t xml:space="preserve"> on </w:t>
      </w:r>
      <w:r w:rsidR="00123279" w:rsidRPr="00BE785D">
        <w:t>02 6243 1104</w:t>
      </w:r>
      <w:r w:rsidRPr="00BE785D">
        <w:t xml:space="preserve"> or </w:t>
      </w:r>
      <w:r w:rsidR="00AF0BC1" w:rsidRPr="00BE785D">
        <w:t>Stella Leung</w:t>
      </w:r>
      <w:r w:rsidR="00123279" w:rsidRPr="00BE785D">
        <w:t xml:space="preserve"> on 0</w:t>
      </w:r>
      <w:r w:rsidR="00AF0BC1" w:rsidRPr="00BE785D">
        <w:t>3</w:t>
      </w:r>
      <w:r w:rsidR="00123279" w:rsidRPr="00BE785D">
        <w:t xml:space="preserve"> </w:t>
      </w:r>
      <w:r w:rsidR="00C50DF9" w:rsidRPr="00BE785D">
        <w:t>9658 6444</w:t>
      </w:r>
      <w:r w:rsidRPr="00BE785D">
        <w:t>.</w:t>
      </w:r>
      <w:r w:rsidRPr="00A0349E">
        <w:t xml:space="preserve"> </w:t>
      </w:r>
    </w:p>
    <w:p w:rsidR="009A200B" w:rsidRPr="00A0349E" w:rsidRDefault="009A200B" w:rsidP="00C64242">
      <w:pPr>
        <w:pStyle w:val="Numbered"/>
      </w:pPr>
      <w:r>
        <w:t xml:space="preserve">The ACCC anticipates making a final decision on </w:t>
      </w:r>
      <w:r w:rsidR="00AF0BC1" w:rsidRPr="007D569E">
        <w:rPr>
          <w:b/>
        </w:rPr>
        <w:t>16 November 2017</w:t>
      </w:r>
      <w:r w:rsidR="00EF29EC">
        <w:t>;</w:t>
      </w:r>
      <w:r>
        <w:t xml:space="preserve"> h</w:t>
      </w:r>
      <w:r w:rsidR="00134AD5">
        <w:t>owever, this timeline can change</w:t>
      </w:r>
      <w:r>
        <w:t xml:space="preserve">. To keep abreast of possible changes in relation to timing and to find relevant documents, </w:t>
      </w:r>
      <w:r w:rsidR="001A68F4">
        <w:t>interested parties</w:t>
      </w:r>
      <w:r>
        <w:t xml:space="preserve"> should visit the Mergers Register on the ACCC's website at </w:t>
      </w:r>
      <w:r>
        <w:rPr>
          <w:rStyle w:val="Hyperlink"/>
        </w:rPr>
        <w:t>www.accc.gov.au/mergersregister</w:t>
      </w:r>
      <w:r>
        <w:t>.</w:t>
      </w:r>
    </w:p>
    <w:p w:rsidR="00E44A40" w:rsidRDefault="00E44A40" w:rsidP="00C64242">
      <w:pPr>
        <w:pStyle w:val="Heading4"/>
      </w:pPr>
      <w:r w:rsidRPr="00E44A40">
        <w:t>Confidentiality of submissions</w:t>
      </w:r>
    </w:p>
    <w:p w:rsidR="00E44A40" w:rsidRDefault="00E44A40" w:rsidP="00C64242">
      <w:pPr>
        <w:pStyle w:val="Numbered"/>
      </w:pPr>
      <w:r w:rsidRPr="00041F71">
        <w:t xml:space="preserve">The ACCC will not publish submissions </w:t>
      </w:r>
      <w:r>
        <w:t>regarding the</w:t>
      </w:r>
      <w:r w:rsidRPr="00041F71">
        <w:t xml:space="preserve"> proposed acquisition. </w:t>
      </w:r>
      <w:r w:rsidR="00EF29EC">
        <w:t xml:space="preserve">It </w:t>
      </w:r>
      <w:r w:rsidRPr="00041F71">
        <w:t xml:space="preserve">will not disclose submissions to third </w:t>
      </w:r>
      <w:proofErr w:type="gramStart"/>
      <w:r w:rsidRPr="00041F71">
        <w:t>parties</w:t>
      </w:r>
      <w:proofErr w:type="gramEnd"/>
      <w:r w:rsidRPr="00E44A40">
        <w:rPr>
          <w:rStyle w:val="FootnoteReference"/>
          <w:color w:val="000000"/>
        </w:rPr>
        <w:t xml:space="preserve"> </w:t>
      </w:r>
      <w:r>
        <w:t xml:space="preserve">(except </w:t>
      </w:r>
      <w:r w:rsidR="004F39CD">
        <w:t xml:space="preserve">its </w:t>
      </w:r>
      <w:r>
        <w:t>advisors/consultants)</w:t>
      </w:r>
      <w:r w:rsidRPr="00041F71">
        <w:t xml:space="preserve"> unless compelled by law (for example, under freedom of information legislation or during court proceedings) or in accordance with s155AAA of the </w:t>
      </w:r>
      <w:r w:rsidRPr="00E44A40">
        <w:rPr>
          <w:i/>
        </w:rPr>
        <w:t>Competition and Consumer Act 2010</w:t>
      </w:r>
      <w:r w:rsidRPr="00041F71">
        <w:t xml:space="preserve">. Where the ACCC is required to disclose confidential information, the ACCC will notify you in advance where possible so that you may have an opportunity to be heard. </w:t>
      </w:r>
      <w:r>
        <w:t>Therefore, i</w:t>
      </w:r>
      <w:r w:rsidRPr="008F6743">
        <w:t xml:space="preserve">f the information provided to the ACCC is of a confidential nature, please indicate as such. </w:t>
      </w:r>
      <w:r w:rsidR="001610C3">
        <w:t>The ACCC’s</w:t>
      </w:r>
      <w:r w:rsidR="001610C3" w:rsidRPr="00041F71">
        <w:t xml:space="preserve"> </w:t>
      </w:r>
      <w:hyperlink r:id="rId10" w:history="1">
        <w:r w:rsidRPr="00E44A40">
          <w:rPr>
            <w:rStyle w:val="Hyperlink"/>
            <w:i/>
          </w:rPr>
          <w:t>Informal Merger Review Process Guidelines</w:t>
        </w:r>
      </w:hyperlink>
      <w:r w:rsidRPr="00E44A40">
        <w:rPr>
          <w:i/>
        </w:rPr>
        <w:t xml:space="preserve"> </w:t>
      </w:r>
      <w:r w:rsidRPr="00041F71">
        <w:t>contain more information</w:t>
      </w:r>
      <w:r w:rsidR="00493B9D">
        <w:t xml:space="preserve"> on confidentiality.</w:t>
      </w:r>
    </w:p>
    <w:p w:rsidR="000F1353" w:rsidRPr="00AD05CA" w:rsidRDefault="009E077E" w:rsidP="00A26C2D">
      <w:pPr>
        <w:pStyle w:val="Heading3"/>
      </w:pPr>
      <w:r>
        <w:lastRenderedPageBreak/>
        <w:t>About ACCC ‘Statements of Issues’</w:t>
      </w:r>
    </w:p>
    <w:p w:rsidR="00FB30A0" w:rsidRDefault="00FB30A0" w:rsidP="00C64242">
      <w:pPr>
        <w:pStyle w:val="Numbered"/>
      </w:pPr>
      <w:r>
        <w:t>A Statement of Issues published by the ACCC is not a final decision about a proposed acquisition, but provides the ACCC’s preliminary views, drawing attention to particular issues of varying degrees of competition concern, as well as identifying the lines of further inquiry that the ACCC wishes to undertake.</w:t>
      </w:r>
    </w:p>
    <w:p w:rsidR="00FB30A0" w:rsidRDefault="00FB30A0" w:rsidP="00C64242">
      <w:pPr>
        <w:pStyle w:val="Numbered"/>
      </w:pPr>
      <w:r>
        <w:t>A Statement of Issues provides an opportunity for all interested parties (including customers, competitors, shareholders and other stakeholders) to ascertain and consider the primary issues identified by the ACCC. It is also intended to provide interested parties with the basis for making further submissions should they consider it necessary.</w:t>
      </w:r>
    </w:p>
    <w:p w:rsidR="00FB30A0" w:rsidRPr="009057A6" w:rsidRDefault="009E077E" w:rsidP="00A26C2D">
      <w:pPr>
        <w:pStyle w:val="Heading3"/>
      </w:pPr>
      <w:r>
        <w:t>Timeline</w:t>
      </w:r>
    </w:p>
    <w:p w:rsidR="009E077E" w:rsidRPr="00F46108" w:rsidRDefault="009E077E" w:rsidP="00F46108"/>
    <w:tbl>
      <w:tblPr>
        <w:tblStyle w:val="TableGrid"/>
        <w:tblW w:w="0" w:type="auto"/>
        <w:tblInd w:w="357" w:type="dxa"/>
        <w:tblLook w:val="04A0" w:firstRow="1" w:lastRow="0" w:firstColumn="1" w:lastColumn="0" w:noHBand="0" w:noVBand="1"/>
      </w:tblPr>
      <w:tblGrid>
        <w:gridCol w:w="2848"/>
        <w:gridCol w:w="5459"/>
      </w:tblGrid>
      <w:tr w:rsidR="009E077E" w:rsidTr="00945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rsidR="009E077E" w:rsidRPr="005441C4" w:rsidRDefault="009E077E" w:rsidP="00F46108">
            <w:pPr>
              <w:pStyle w:val="Tabletext"/>
              <w:rPr>
                <w:b w:val="0"/>
              </w:rPr>
            </w:pPr>
            <w:r w:rsidRPr="005441C4">
              <w:t>Date</w:t>
            </w:r>
          </w:p>
        </w:tc>
        <w:tc>
          <w:tcPr>
            <w:tcW w:w="5873" w:type="dxa"/>
          </w:tcPr>
          <w:p w:rsidR="009E077E" w:rsidRPr="005441C4" w:rsidRDefault="009E077E" w:rsidP="00F46108">
            <w:pPr>
              <w:pStyle w:val="Tabletext"/>
              <w:cnfStyle w:val="100000000000" w:firstRow="1" w:lastRow="0" w:firstColumn="0" w:lastColumn="0" w:oddVBand="0" w:evenVBand="0" w:oddHBand="0" w:evenHBand="0" w:firstRowFirstColumn="0" w:firstRowLastColumn="0" w:lastRowFirstColumn="0" w:lastRowLastColumn="0"/>
              <w:rPr>
                <w:b w:val="0"/>
              </w:rPr>
            </w:pPr>
            <w:r w:rsidRPr="005441C4">
              <w:t>Event</w:t>
            </w:r>
          </w:p>
        </w:tc>
      </w:tr>
      <w:tr w:rsidR="009E077E" w:rsidTr="009454A6">
        <w:tc>
          <w:tcPr>
            <w:cnfStyle w:val="001000000000" w:firstRow="0" w:lastRow="0" w:firstColumn="1" w:lastColumn="0" w:oddVBand="0" w:evenVBand="0" w:oddHBand="0" w:evenHBand="0" w:firstRowFirstColumn="0" w:firstRowLastColumn="0" w:lastRowFirstColumn="0" w:lastRowLastColumn="0"/>
            <w:tcW w:w="3012" w:type="dxa"/>
          </w:tcPr>
          <w:p w:rsidR="009E077E" w:rsidRPr="005441C4" w:rsidRDefault="00CA37F1" w:rsidP="00F46108">
            <w:pPr>
              <w:pStyle w:val="Tabletext"/>
            </w:pPr>
            <w:r>
              <w:t>15 May 2017</w:t>
            </w:r>
          </w:p>
        </w:tc>
        <w:tc>
          <w:tcPr>
            <w:tcW w:w="5873" w:type="dxa"/>
          </w:tcPr>
          <w:p w:rsidR="009E077E" w:rsidRPr="005441C4" w:rsidRDefault="009E077E" w:rsidP="00F46108">
            <w:pPr>
              <w:pStyle w:val="Tabletext"/>
              <w:cnfStyle w:val="000000000000" w:firstRow="0" w:lastRow="0" w:firstColumn="0" w:lastColumn="0" w:oddVBand="0" w:evenVBand="0" w:oddHBand="0" w:evenHBand="0" w:firstRowFirstColumn="0" w:firstRowLastColumn="0" w:lastRowFirstColumn="0" w:lastRowLastColumn="0"/>
            </w:pPr>
            <w:r w:rsidRPr="005441C4">
              <w:t xml:space="preserve">ACCC </w:t>
            </w:r>
            <w:r>
              <w:t xml:space="preserve">commenced </w:t>
            </w:r>
            <w:r w:rsidRPr="005441C4">
              <w:t>review of the proposed acquisition</w:t>
            </w:r>
          </w:p>
        </w:tc>
      </w:tr>
      <w:tr w:rsidR="00B4670E" w:rsidTr="009454A6">
        <w:tc>
          <w:tcPr>
            <w:cnfStyle w:val="001000000000" w:firstRow="0" w:lastRow="0" w:firstColumn="1" w:lastColumn="0" w:oddVBand="0" w:evenVBand="0" w:oddHBand="0" w:evenHBand="0" w:firstRowFirstColumn="0" w:firstRowLastColumn="0" w:lastRowFirstColumn="0" w:lastRowLastColumn="0"/>
            <w:tcW w:w="3012" w:type="dxa"/>
          </w:tcPr>
          <w:p w:rsidR="00B4670E" w:rsidRDefault="00B4670E" w:rsidP="00F46108">
            <w:pPr>
              <w:pStyle w:val="Tabletext"/>
            </w:pPr>
            <w:r>
              <w:t>2 June 2107</w:t>
            </w:r>
          </w:p>
        </w:tc>
        <w:tc>
          <w:tcPr>
            <w:tcW w:w="5873" w:type="dxa"/>
          </w:tcPr>
          <w:p w:rsidR="00B4670E" w:rsidRDefault="00B4670E" w:rsidP="00F46108">
            <w:pPr>
              <w:pStyle w:val="Tabletext"/>
              <w:cnfStyle w:val="000000000000" w:firstRow="0" w:lastRow="0" w:firstColumn="0" w:lastColumn="0" w:oddVBand="0" w:evenVBand="0" w:oddHBand="0" w:evenHBand="0" w:firstRowFirstColumn="0" w:firstRowLastColumn="0" w:lastRowFirstColumn="0" w:lastRowLastColumn="0"/>
            </w:pPr>
            <w:r>
              <w:t>Closing date for submissions from interested parties</w:t>
            </w:r>
          </w:p>
        </w:tc>
      </w:tr>
      <w:tr w:rsidR="00B4670E" w:rsidTr="009454A6">
        <w:tc>
          <w:tcPr>
            <w:cnfStyle w:val="001000000000" w:firstRow="0" w:lastRow="0" w:firstColumn="1" w:lastColumn="0" w:oddVBand="0" w:evenVBand="0" w:oddHBand="0" w:evenHBand="0" w:firstRowFirstColumn="0" w:firstRowLastColumn="0" w:lastRowFirstColumn="0" w:lastRowLastColumn="0"/>
            <w:tcW w:w="3012" w:type="dxa"/>
          </w:tcPr>
          <w:p w:rsidR="00B4670E" w:rsidRDefault="00B4670E" w:rsidP="00F46108">
            <w:pPr>
              <w:pStyle w:val="Tabletext"/>
            </w:pPr>
            <w:r>
              <w:t>5 July 2017</w:t>
            </w:r>
          </w:p>
        </w:tc>
        <w:tc>
          <w:tcPr>
            <w:tcW w:w="5873" w:type="dxa"/>
          </w:tcPr>
          <w:p w:rsidR="00B4670E" w:rsidRDefault="00B4670E" w:rsidP="00F46108">
            <w:pPr>
              <w:pStyle w:val="Tabletext"/>
              <w:cnfStyle w:val="000000000000" w:firstRow="0" w:lastRow="0" w:firstColumn="0" w:lastColumn="0" w:oddVBand="0" w:evenVBand="0" w:oddHBand="0" w:evenHBand="0" w:firstRowFirstColumn="0" w:firstRowLastColumn="0" w:lastRowFirstColumn="0" w:lastRowLastColumn="0"/>
            </w:pPr>
            <w:r>
              <w:t xml:space="preserve">ACCC requested further information from the parties. Former provisional date for announcement of </w:t>
            </w:r>
            <w:r w:rsidR="00E96459">
              <w:t>findings (20 July 2017) delayed</w:t>
            </w:r>
          </w:p>
        </w:tc>
      </w:tr>
      <w:tr w:rsidR="00E96459" w:rsidTr="009454A6">
        <w:tc>
          <w:tcPr>
            <w:cnfStyle w:val="001000000000" w:firstRow="0" w:lastRow="0" w:firstColumn="1" w:lastColumn="0" w:oddVBand="0" w:evenVBand="0" w:oddHBand="0" w:evenHBand="0" w:firstRowFirstColumn="0" w:firstRowLastColumn="0" w:lastRowFirstColumn="0" w:lastRowLastColumn="0"/>
            <w:tcW w:w="3012" w:type="dxa"/>
          </w:tcPr>
          <w:p w:rsidR="00E96459" w:rsidRDefault="00E96459" w:rsidP="00F46108">
            <w:pPr>
              <w:pStyle w:val="Tabletext"/>
            </w:pPr>
            <w:r>
              <w:t>19 July 2017</w:t>
            </w:r>
          </w:p>
        </w:tc>
        <w:tc>
          <w:tcPr>
            <w:tcW w:w="5873" w:type="dxa"/>
          </w:tcPr>
          <w:p w:rsidR="00E96459" w:rsidRDefault="00E96459" w:rsidP="00BD0DC3">
            <w:pPr>
              <w:pStyle w:val="Tabletext"/>
              <w:cnfStyle w:val="000000000000" w:firstRow="0" w:lastRow="0" w:firstColumn="0" w:lastColumn="0" w:oddVBand="0" w:evenVBand="0" w:oddHBand="0" w:evenHBand="0" w:firstRowFirstColumn="0" w:firstRowLastColumn="0" w:lastRowFirstColumn="0" w:lastRowLastColumn="0"/>
            </w:pPr>
            <w:r>
              <w:t>ACCC received information from the parties</w:t>
            </w:r>
          </w:p>
        </w:tc>
      </w:tr>
      <w:tr w:rsidR="009E077E" w:rsidTr="009454A6">
        <w:tc>
          <w:tcPr>
            <w:cnfStyle w:val="001000000000" w:firstRow="0" w:lastRow="0" w:firstColumn="1" w:lastColumn="0" w:oddVBand="0" w:evenVBand="0" w:oddHBand="0" w:evenHBand="0" w:firstRowFirstColumn="0" w:firstRowLastColumn="0" w:lastRowFirstColumn="0" w:lastRowLastColumn="0"/>
            <w:tcW w:w="3012" w:type="dxa"/>
          </w:tcPr>
          <w:p w:rsidR="009E077E" w:rsidRPr="005441C4" w:rsidRDefault="00CA37F1" w:rsidP="00F46108">
            <w:pPr>
              <w:pStyle w:val="Tabletext"/>
            </w:pPr>
            <w:r>
              <w:t>24 August 2017</w:t>
            </w:r>
          </w:p>
        </w:tc>
        <w:tc>
          <w:tcPr>
            <w:tcW w:w="5873" w:type="dxa"/>
          </w:tcPr>
          <w:p w:rsidR="009E077E" w:rsidRPr="005441C4" w:rsidRDefault="00F23D98" w:rsidP="00F46108">
            <w:pPr>
              <w:pStyle w:val="Tabletext"/>
              <w:cnfStyle w:val="000000000000" w:firstRow="0" w:lastRow="0" w:firstColumn="0" w:lastColumn="0" w:oddVBand="0" w:evenVBand="0" w:oddHBand="0" w:evenHBand="0" w:firstRowFirstColumn="0" w:firstRowLastColumn="0" w:lastRowFirstColumn="0" w:lastRowLastColumn="0"/>
            </w:pPr>
            <w:r>
              <w:t>ACCC publication of Statement of I</w:t>
            </w:r>
            <w:r w:rsidR="009E077E" w:rsidRPr="005441C4">
              <w:t>ssues</w:t>
            </w:r>
          </w:p>
        </w:tc>
      </w:tr>
      <w:tr w:rsidR="009E077E" w:rsidTr="009454A6">
        <w:tc>
          <w:tcPr>
            <w:cnfStyle w:val="001000000000" w:firstRow="0" w:lastRow="0" w:firstColumn="1" w:lastColumn="0" w:oddVBand="0" w:evenVBand="0" w:oddHBand="0" w:evenHBand="0" w:firstRowFirstColumn="0" w:firstRowLastColumn="0" w:lastRowFirstColumn="0" w:lastRowLastColumn="0"/>
            <w:tcW w:w="3012" w:type="dxa"/>
          </w:tcPr>
          <w:p w:rsidR="009E077E" w:rsidRPr="005441C4" w:rsidRDefault="008E66B1" w:rsidP="00BE785D">
            <w:pPr>
              <w:pStyle w:val="Tabletext"/>
            </w:pPr>
            <w:r w:rsidRPr="007D569E">
              <w:t>7 September 2017</w:t>
            </w:r>
          </w:p>
        </w:tc>
        <w:tc>
          <w:tcPr>
            <w:tcW w:w="5873" w:type="dxa"/>
          </w:tcPr>
          <w:p w:rsidR="009E077E" w:rsidRPr="005441C4" w:rsidRDefault="009E077E" w:rsidP="00F46108">
            <w:pPr>
              <w:pStyle w:val="Tabletext"/>
              <w:cnfStyle w:val="000000000000" w:firstRow="0" w:lastRow="0" w:firstColumn="0" w:lastColumn="0" w:oddVBand="0" w:evenVBand="0" w:oddHBand="0" w:evenHBand="0" w:firstRowFirstColumn="0" w:firstRowLastColumn="0" w:lastRowFirstColumn="0" w:lastRowLastColumn="0"/>
            </w:pPr>
            <w:r w:rsidRPr="005441C4">
              <w:t xml:space="preserve">Deadline for submissions from interested parties in response to </w:t>
            </w:r>
            <w:r w:rsidR="009552F5">
              <w:t>this Statement of I</w:t>
            </w:r>
            <w:r w:rsidRPr="005441C4">
              <w:t>ssues</w:t>
            </w:r>
          </w:p>
        </w:tc>
      </w:tr>
      <w:tr w:rsidR="009E077E" w:rsidTr="009454A6">
        <w:tc>
          <w:tcPr>
            <w:cnfStyle w:val="001000000000" w:firstRow="0" w:lastRow="0" w:firstColumn="1" w:lastColumn="0" w:oddVBand="0" w:evenVBand="0" w:oddHBand="0" w:evenHBand="0" w:firstRowFirstColumn="0" w:firstRowLastColumn="0" w:lastRowFirstColumn="0" w:lastRowLastColumn="0"/>
            <w:tcW w:w="3012" w:type="dxa"/>
          </w:tcPr>
          <w:p w:rsidR="009E077E" w:rsidRPr="005441C4" w:rsidRDefault="008E66B1" w:rsidP="00BE785D">
            <w:pPr>
              <w:pStyle w:val="Tabletext"/>
            </w:pPr>
            <w:r w:rsidRPr="007D569E">
              <w:t>16 November 2017</w:t>
            </w:r>
          </w:p>
        </w:tc>
        <w:tc>
          <w:tcPr>
            <w:tcW w:w="5873" w:type="dxa"/>
          </w:tcPr>
          <w:p w:rsidR="009E077E" w:rsidRPr="005441C4" w:rsidRDefault="009E077E" w:rsidP="00F46108">
            <w:pPr>
              <w:pStyle w:val="Tabletext"/>
              <w:cnfStyle w:val="000000000000" w:firstRow="0" w:lastRow="0" w:firstColumn="0" w:lastColumn="0" w:oddVBand="0" w:evenVBand="0" w:oddHBand="0" w:evenHBand="0" w:firstRowFirstColumn="0" w:firstRowLastColumn="0" w:lastRowFirstColumn="0" w:lastRowLastColumn="0"/>
            </w:pPr>
            <w:r>
              <w:t xml:space="preserve">Anticipated date for </w:t>
            </w:r>
            <w:r w:rsidRPr="005441C4">
              <w:t>ACCC final decision</w:t>
            </w:r>
            <w:r>
              <w:t xml:space="preserve"> </w:t>
            </w:r>
          </w:p>
        </w:tc>
      </w:tr>
    </w:tbl>
    <w:p w:rsidR="009E077E" w:rsidRPr="00F46108" w:rsidRDefault="009E077E" w:rsidP="00F46108"/>
    <w:p w:rsidR="00FB30A0" w:rsidRDefault="00FB30A0" w:rsidP="00A26C2D">
      <w:pPr>
        <w:pStyle w:val="Heading3"/>
      </w:pPr>
      <w:r>
        <w:t xml:space="preserve">The </w:t>
      </w:r>
      <w:r w:rsidRPr="000F1353">
        <w:t>parties</w:t>
      </w:r>
    </w:p>
    <w:p w:rsidR="00CA37F1" w:rsidRDefault="004F1058" w:rsidP="00C64242">
      <w:pPr>
        <w:pStyle w:val="Heading4"/>
      </w:pPr>
      <w:r>
        <w:t>The acquirer – Platinum Equity</w:t>
      </w:r>
    </w:p>
    <w:p w:rsidR="00E96459" w:rsidRDefault="00E96459" w:rsidP="00C64242">
      <w:pPr>
        <w:pStyle w:val="Numbered"/>
      </w:pPr>
      <w:r>
        <w:t>Platinum Equity</w:t>
      </w:r>
      <w:r w:rsidR="004C54F0">
        <w:t xml:space="preserve"> is </w:t>
      </w:r>
      <w:r>
        <w:t xml:space="preserve">a global private equity </w:t>
      </w:r>
      <w:r w:rsidR="004C54F0" w:rsidRPr="004C54F0">
        <w:rPr>
          <w:lang w:val="en"/>
        </w:rPr>
        <w:t xml:space="preserve">firm </w:t>
      </w:r>
      <w:r w:rsidR="004C54F0" w:rsidRPr="004E07D0">
        <w:t xml:space="preserve">specialised </w:t>
      </w:r>
      <w:r w:rsidR="004C54F0" w:rsidRPr="004C54F0">
        <w:rPr>
          <w:lang w:val="en"/>
        </w:rPr>
        <w:t>in mergers, acquisitions, and operations of companies that provide mission-critical products, services, and solutions in diverse industries</w:t>
      </w:r>
      <w:r w:rsidR="004C54F0">
        <w:rPr>
          <w:lang w:val="en"/>
        </w:rPr>
        <w:t>.</w:t>
      </w:r>
      <w:r w:rsidR="00B94379">
        <w:rPr>
          <w:rStyle w:val="FootnoteReference"/>
          <w:bCs/>
          <w:lang w:val="en"/>
        </w:rPr>
        <w:footnoteReference w:id="1"/>
      </w:r>
      <w:r w:rsidR="004C54F0">
        <w:t xml:space="preserve"> In early 2017 it</w:t>
      </w:r>
      <w:r>
        <w:t xml:space="preserve"> acquired the Australia</w:t>
      </w:r>
      <w:r w:rsidR="004C54F0">
        <w:t>n</w:t>
      </w:r>
      <w:r>
        <w:t xml:space="preserve"> and New Zealand</w:t>
      </w:r>
      <w:r w:rsidR="004C54F0">
        <w:t xml:space="preserve"> businesses of Staples</w:t>
      </w:r>
      <w:r w:rsidR="00231ED2">
        <w:t>,</w:t>
      </w:r>
      <w:r w:rsidR="004C54F0">
        <w:t xml:space="preserve"> Inc</w:t>
      </w:r>
      <w:r>
        <w:t xml:space="preserve">. </w:t>
      </w:r>
    </w:p>
    <w:p w:rsidR="00CA37F1" w:rsidRPr="002E0F7E" w:rsidRDefault="00CA37F1" w:rsidP="00EF1D51">
      <w:pPr>
        <w:pStyle w:val="Numbered"/>
        <w:keepNext/>
      </w:pPr>
      <w:r w:rsidRPr="002E0F7E">
        <w:lastRenderedPageBreak/>
        <w:t>Staples supplies office products to customers predominantly through th</w:t>
      </w:r>
      <w:r w:rsidR="00F96D75">
        <w:t>e following</w:t>
      </w:r>
      <w:r w:rsidRPr="002E0F7E">
        <w:t xml:space="preserve"> platforms: </w:t>
      </w:r>
    </w:p>
    <w:p w:rsidR="00CA37F1" w:rsidRPr="009A30F1" w:rsidRDefault="00CA37F1" w:rsidP="00C64242">
      <w:pPr>
        <w:pStyle w:val="Numbered"/>
        <w:numPr>
          <w:ilvl w:val="1"/>
          <w:numId w:val="8"/>
        </w:numPr>
      </w:pPr>
      <w:r w:rsidRPr="009A30F1">
        <w:t>‘Staples Advantage’</w:t>
      </w:r>
      <w:r w:rsidR="00975870">
        <w:t>,</w:t>
      </w:r>
      <w:r w:rsidRPr="009A30F1">
        <w:t xml:space="preserve"> which supplies office products to commercial and government customers primarily through an online ordering platform (</w:t>
      </w:r>
      <w:hyperlink r:id="rId11" w:history="1">
        <w:r w:rsidRPr="00CA37F1">
          <w:rPr>
            <w:rStyle w:val="Hyperlink"/>
          </w:rPr>
          <w:t>www.staplesadvantage.com.au</w:t>
        </w:r>
      </w:hyperlink>
      <w:r w:rsidRPr="009A30F1">
        <w:t>)</w:t>
      </w:r>
      <w:r w:rsidR="001734B4">
        <w:t>;</w:t>
      </w:r>
      <w:r w:rsidRPr="009A30F1">
        <w:t xml:space="preserve"> sales are also made through an electronic data inter</w:t>
      </w:r>
      <w:r w:rsidR="00F150D7">
        <w:t>change</w:t>
      </w:r>
      <w:r w:rsidRPr="009A30F1">
        <w:t xml:space="preserve"> </w:t>
      </w:r>
      <w:r w:rsidR="00F150D7">
        <w:t>(</w:t>
      </w:r>
      <w:r w:rsidR="00F150D7" w:rsidRPr="00F150D7">
        <w:rPr>
          <w:b/>
        </w:rPr>
        <w:t>EDI</w:t>
      </w:r>
      <w:r w:rsidR="00F150D7">
        <w:t xml:space="preserve">) </w:t>
      </w:r>
      <w:r w:rsidRPr="009A30F1">
        <w:t xml:space="preserve">(an ordering functionality that integrates with </w:t>
      </w:r>
      <w:r w:rsidR="00F150D7">
        <w:t>a</w:t>
      </w:r>
      <w:r w:rsidR="00F150D7" w:rsidRPr="009A30F1">
        <w:t xml:space="preserve"> </w:t>
      </w:r>
      <w:r w:rsidRPr="009A30F1">
        <w:t xml:space="preserve">customer’s enterprise software), over the telephone </w:t>
      </w:r>
      <w:r w:rsidR="00975870">
        <w:t>and</w:t>
      </w:r>
      <w:r w:rsidR="00975870" w:rsidRPr="009A30F1">
        <w:t xml:space="preserve"> </w:t>
      </w:r>
      <w:r w:rsidRPr="009A30F1">
        <w:t xml:space="preserve">by fax </w:t>
      </w:r>
    </w:p>
    <w:p w:rsidR="00CA37F1" w:rsidRPr="009A30F1" w:rsidRDefault="00CA37F1" w:rsidP="00C64242">
      <w:pPr>
        <w:pStyle w:val="Numbered"/>
        <w:numPr>
          <w:ilvl w:val="1"/>
          <w:numId w:val="8"/>
        </w:numPr>
      </w:pPr>
      <w:r w:rsidRPr="009A30F1">
        <w:t>an online store (</w:t>
      </w:r>
      <w:hyperlink r:id="rId12" w:history="1">
        <w:r w:rsidRPr="00CA37F1">
          <w:rPr>
            <w:rStyle w:val="Hyperlink"/>
          </w:rPr>
          <w:t>www.staples.com.au</w:t>
        </w:r>
      </w:hyperlink>
      <w:r w:rsidRPr="009A30F1">
        <w:t>)</w:t>
      </w:r>
      <w:r w:rsidR="001734B4">
        <w:t>,</w:t>
      </w:r>
      <w:r w:rsidRPr="009A30F1">
        <w:t xml:space="preserve"> which typically supplies office products to consumers and small businesses </w:t>
      </w:r>
    </w:p>
    <w:p w:rsidR="00F96D75" w:rsidRDefault="00CA37F1" w:rsidP="00C64242">
      <w:pPr>
        <w:pStyle w:val="Numbered"/>
        <w:numPr>
          <w:ilvl w:val="1"/>
          <w:numId w:val="8"/>
        </w:numPr>
      </w:pPr>
      <w:r w:rsidRPr="009A30F1">
        <w:t>an education-specific online store (</w:t>
      </w:r>
      <w:hyperlink r:id="rId13" w:history="1">
        <w:r w:rsidRPr="00CA37F1">
          <w:rPr>
            <w:rStyle w:val="Hyperlink"/>
          </w:rPr>
          <w:t>www.staplesbacktoschool.com.au</w:t>
        </w:r>
      </w:hyperlink>
      <w:r w:rsidRPr="009A30F1">
        <w:t>), which typically supplies education supplies to schools</w:t>
      </w:r>
      <w:r w:rsidR="00281949">
        <w:t xml:space="preserve"> and </w:t>
      </w:r>
      <w:r w:rsidRPr="009A30F1">
        <w:t>parents</w:t>
      </w:r>
    </w:p>
    <w:p w:rsidR="00CA37F1" w:rsidRPr="009A30F1" w:rsidRDefault="00CA37F1" w:rsidP="00C64242">
      <w:pPr>
        <w:pStyle w:val="Numbered"/>
        <w:numPr>
          <w:ilvl w:val="1"/>
          <w:numId w:val="8"/>
        </w:numPr>
      </w:pPr>
      <w:r w:rsidRPr="009A30F1">
        <w:t xml:space="preserve"> </w:t>
      </w:r>
      <w:proofErr w:type="gramStart"/>
      <w:r w:rsidR="00F96D75" w:rsidRPr="002E0F7E">
        <w:t>six</w:t>
      </w:r>
      <w:proofErr w:type="gramEnd"/>
      <w:r w:rsidR="00F96D75" w:rsidRPr="002E0F7E">
        <w:t xml:space="preserve"> retail outlets connected to distribution and delivery centres</w:t>
      </w:r>
      <w:r w:rsidR="00F96D75">
        <w:t>.</w:t>
      </w:r>
    </w:p>
    <w:p w:rsidR="00CA37F1" w:rsidRDefault="00CA37F1" w:rsidP="00C64242">
      <w:pPr>
        <w:pStyle w:val="Numbered"/>
      </w:pPr>
      <w:r w:rsidRPr="002E0F7E">
        <w:t>Staples operates a national distribution centre in New South Wales, seven regional distribution centres across Victoria, Tasmania, Queensland, Western Australia and the Northern Territory</w:t>
      </w:r>
      <w:r w:rsidR="00DC2355">
        <w:t>,</w:t>
      </w:r>
      <w:r w:rsidRPr="002E0F7E">
        <w:t xml:space="preserve"> and sixteen regional delivery centres across Australia. </w:t>
      </w:r>
    </w:p>
    <w:p w:rsidR="00CA37F1" w:rsidRDefault="00CA37F1" w:rsidP="00C64242">
      <w:pPr>
        <w:pStyle w:val="Heading4"/>
      </w:pPr>
      <w:r>
        <w:t>The target – OfficeMax</w:t>
      </w:r>
    </w:p>
    <w:p w:rsidR="00CA37F1" w:rsidRDefault="00CA37F1" w:rsidP="00C64242">
      <w:pPr>
        <w:pStyle w:val="Numbered"/>
      </w:pPr>
      <w:r w:rsidRPr="005712DA">
        <w:t xml:space="preserve">OfficeMax </w:t>
      </w:r>
      <w:r>
        <w:t>supplies</w:t>
      </w:r>
      <w:r w:rsidRPr="005712DA">
        <w:t xml:space="preserve"> office products to customers</w:t>
      </w:r>
      <w:r>
        <w:t xml:space="preserve"> through the following platforms:</w:t>
      </w:r>
    </w:p>
    <w:p w:rsidR="00CA37F1" w:rsidRPr="009A30F1" w:rsidRDefault="00CA37F1" w:rsidP="00C64242">
      <w:pPr>
        <w:pStyle w:val="Numbered"/>
        <w:numPr>
          <w:ilvl w:val="1"/>
          <w:numId w:val="8"/>
        </w:numPr>
        <w:rPr>
          <w:b/>
          <w:i/>
        </w:rPr>
      </w:pPr>
      <w:r w:rsidRPr="009A30F1">
        <w:t>‘</w:t>
      </w:r>
      <w:proofErr w:type="spellStart"/>
      <w:r w:rsidRPr="009A30F1">
        <w:t>OrderMax</w:t>
      </w:r>
      <w:proofErr w:type="spellEnd"/>
      <w:r w:rsidRPr="009A30F1">
        <w:t>’</w:t>
      </w:r>
      <w:r w:rsidR="00A67EF8">
        <w:t>,</w:t>
      </w:r>
      <w:r w:rsidRPr="009A30F1">
        <w:t xml:space="preserve"> which supplies office products to commercial and government customers through an online ordering platform (</w:t>
      </w:r>
      <w:hyperlink r:id="rId14" w:history="1">
        <w:r w:rsidRPr="00CA37F1">
          <w:rPr>
            <w:rStyle w:val="Hyperlink"/>
          </w:rPr>
          <w:t>www.ordermax.com.au</w:t>
        </w:r>
      </w:hyperlink>
      <w:r w:rsidRPr="009A30F1">
        <w:t xml:space="preserve">), </w:t>
      </w:r>
      <w:r w:rsidR="00975870">
        <w:t>EDI</w:t>
      </w:r>
      <w:r w:rsidRPr="009A30F1">
        <w:t xml:space="preserve">, over the telephone </w:t>
      </w:r>
      <w:r w:rsidR="00975870">
        <w:t>and</w:t>
      </w:r>
      <w:r w:rsidR="00975870" w:rsidRPr="009A30F1">
        <w:t xml:space="preserve"> </w:t>
      </w:r>
      <w:r w:rsidRPr="009A30F1">
        <w:t xml:space="preserve">by fax </w:t>
      </w:r>
    </w:p>
    <w:p w:rsidR="00CA37F1" w:rsidRPr="009A30F1" w:rsidRDefault="00CA37F1" w:rsidP="00C64242">
      <w:pPr>
        <w:pStyle w:val="Numbered"/>
        <w:numPr>
          <w:ilvl w:val="1"/>
          <w:numId w:val="8"/>
        </w:numPr>
        <w:rPr>
          <w:b/>
          <w:i/>
        </w:rPr>
      </w:pPr>
      <w:r w:rsidRPr="009A30F1">
        <w:t xml:space="preserve">an online store ‘OfficeMax </w:t>
      </w:r>
      <w:proofErr w:type="spellStart"/>
      <w:r w:rsidRPr="009A30F1">
        <w:t>MyBusiness</w:t>
      </w:r>
      <w:proofErr w:type="spellEnd"/>
      <w:r w:rsidRPr="009A30F1">
        <w:t>’ (</w:t>
      </w:r>
      <w:hyperlink r:id="rId15" w:history="1">
        <w:r w:rsidRPr="00CA37F1">
          <w:rPr>
            <w:rStyle w:val="Hyperlink"/>
          </w:rPr>
          <w:t>https://mybusiness.officemax.com.au</w:t>
        </w:r>
      </w:hyperlink>
      <w:r w:rsidRPr="009A30F1">
        <w:t>)</w:t>
      </w:r>
      <w:r w:rsidR="00A67EF8">
        <w:t>,</w:t>
      </w:r>
      <w:r w:rsidRPr="009A30F1">
        <w:t xml:space="preserve"> which typically supplies office products to consumers and small businesses </w:t>
      </w:r>
    </w:p>
    <w:p w:rsidR="00CA37F1" w:rsidRPr="009A30F1" w:rsidRDefault="00CA37F1" w:rsidP="00C64242">
      <w:pPr>
        <w:pStyle w:val="Numbered"/>
        <w:numPr>
          <w:ilvl w:val="1"/>
          <w:numId w:val="8"/>
        </w:numPr>
        <w:rPr>
          <w:b/>
          <w:i/>
        </w:rPr>
      </w:pPr>
      <w:r w:rsidRPr="009A30F1">
        <w:t>an education-specific online store (</w:t>
      </w:r>
      <w:hyperlink r:id="rId16" w:history="1">
        <w:r w:rsidRPr="00CA37F1">
          <w:rPr>
            <w:rStyle w:val="Hyperlink"/>
          </w:rPr>
          <w:t>https://www.officemaxschools.com.au/</w:t>
        </w:r>
      </w:hyperlink>
      <w:r w:rsidRPr="009A30F1">
        <w:t>)</w:t>
      </w:r>
      <w:r w:rsidR="00A67EF8">
        <w:t>,</w:t>
      </w:r>
      <w:r w:rsidRPr="009A30F1">
        <w:t xml:space="preserve"> which supplies education supplies to schools</w:t>
      </w:r>
      <w:r w:rsidR="00216506">
        <w:t xml:space="preserve"> and </w:t>
      </w:r>
      <w:r w:rsidRPr="009A30F1">
        <w:t xml:space="preserve">parents </w:t>
      </w:r>
    </w:p>
    <w:p w:rsidR="00CA37F1" w:rsidRPr="009A30F1" w:rsidRDefault="00CA37F1" w:rsidP="00C64242">
      <w:pPr>
        <w:pStyle w:val="Numbered"/>
        <w:numPr>
          <w:ilvl w:val="1"/>
          <w:numId w:val="8"/>
        </w:numPr>
        <w:rPr>
          <w:b/>
          <w:i/>
        </w:rPr>
      </w:pPr>
      <w:proofErr w:type="gramStart"/>
      <w:r w:rsidRPr="009A30F1">
        <w:t>two</w:t>
      </w:r>
      <w:proofErr w:type="gramEnd"/>
      <w:r w:rsidRPr="009A30F1">
        <w:t xml:space="preserve"> retail stores in Western Australia</w:t>
      </w:r>
      <w:r w:rsidR="00A67EF8">
        <w:t>,</w:t>
      </w:r>
      <w:r w:rsidRPr="009A30F1">
        <w:t xml:space="preserve"> which predominantly supply office products to teachers and students. </w:t>
      </w:r>
    </w:p>
    <w:p w:rsidR="00CA37F1" w:rsidRPr="003B4FD3" w:rsidRDefault="00CA37F1" w:rsidP="00C64242">
      <w:pPr>
        <w:pStyle w:val="Numbered"/>
      </w:pPr>
      <w:r w:rsidRPr="00CA37F1">
        <w:rPr>
          <w:rFonts w:eastAsia="Calibri"/>
        </w:rPr>
        <w:t>OfficeMax operates six distribution centres with sales offices across New South Wales, Tasmania, Queensland, Western Australia and the Northern Territory. It also operates an additional sales office in Melbourne.</w:t>
      </w:r>
    </w:p>
    <w:p w:rsidR="00194D5D" w:rsidRDefault="00194D5D" w:rsidP="00C64242">
      <w:pPr>
        <w:pStyle w:val="Heading4"/>
      </w:pPr>
      <w:bookmarkStart w:id="1" w:name="Acquirer3"/>
      <w:bookmarkEnd w:id="1"/>
      <w:r>
        <w:t xml:space="preserve">The </w:t>
      </w:r>
      <w:r w:rsidR="009E077E">
        <w:t xml:space="preserve">proposed </w:t>
      </w:r>
      <w:r w:rsidR="001864AC">
        <w:t>acquisition</w:t>
      </w:r>
    </w:p>
    <w:p w:rsidR="00015929" w:rsidRDefault="00CD2C8C" w:rsidP="00C64242">
      <w:pPr>
        <w:pStyle w:val="Numbered"/>
      </w:pPr>
      <w:bookmarkStart w:id="2" w:name="_Ref487190691"/>
      <w:r>
        <w:t xml:space="preserve">Following its </w:t>
      </w:r>
      <w:r w:rsidR="00015929">
        <w:t>acqui</w:t>
      </w:r>
      <w:r>
        <w:t xml:space="preserve">sition of </w:t>
      </w:r>
      <w:r w:rsidR="00015929">
        <w:t>the Staples business</w:t>
      </w:r>
      <w:r>
        <w:t>es</w:t>
      </w:r>
      <w:r w:rsidR="00015929">
        <w:t xml:space="preserve"> in Australia and New Zealand</w:t>
      </w:r>
      <w:r>
        <w:t xml:space="preserve"> </w:t>
      </w:r>
      <w:r w:rsidR="00772F93">
        <w:t>from Staples</w:t>
      </w:r>
      <w:r w:rsidR="00231ED2">
        <w:t>,</w:t>
      </w:r>
      <w:r w:rsidR="00772F93">
        <w:t xml:space="preserve"> Inc. </w:t>
      </w:r>
      <w:r>
        <w:t>in early 2017</w:t>
      </w:r>
      <w:r w:rsidR="00015929">
        <w:t xml:space="preserve">, </w:t>
      </w:r>
      <w:r>
        <w:t xml:space="preserve">Platinum Equity now </w:t>
      </w:r>
      <w:r w:rsidR="00015929">
        <w:t>proposes to acquire the Australia</w:t>
      </w:r>
      <w:r>
        <w:t>n</w:t>
      </w:r>
      <w:r w:rsidR="00015929">
        <w:t xml:space="preserve"> and New Zealand </w:t>
      </w:r>
      <w:r>
        <w:t xml:space="preserve">businesses of </w:t>
      </w:r>
      <w:r w:rsidR="00015929">
        <w:t>Office Depot</w:t>
      </w:r>
      <w:r>
        <w:t xml:space="preserve"> (OfficeMax</w:t>
      </w:r>
      <w:r w:rsidR="00C04BCE">
        <w:t xml:space="preserve"> Australia and OfficeMax NZ</w:t>
      </w:r>
      <w:r>
        <w:t>)</w:t>
      </w:r>
      <w:r w:rsidR="00015929">
        <w:t>.</w:t>
      </w:r>
    </w:p>
    <w:p w:rsidR="00CA37F1" w:rsidRDefault="00CA37F1" w:rsidP="00C64242">
      <w:pPr>
        <w:pStyle w:val="Numbered"/>
      </w:pPr>
      <w:r w:rsidRPr="005712DA">
        <w:lastRenderedPageBreak/>
        <w:t>On 1</w:t>
      </w:r>
      <w:r w:rsidR="00DE1358">
        <w:t>8</w:t>
      </w:r>
      <w:r w:rsidRPr="005712DA">
        <w:t xml:space="preserve"> April 2017, Platinum Equity </w:t>
      </w:r>
      <w:r w:rsidR="00DE1358">
        <w:t xml:space="preserve">announced </w:t>
      </w:r>
      <w:r w:rsidR="00BD0DC3">
        <w:t xml:space="preserve">that </w:t>
      </w:r>
      <w:r w:rsidR="00DE1358">
        <w:t xml:space="preserve">it had signed an agreement </w:t>
      </w:r>
      <w:r w:rsidRPr="005712DA">
        <w:t>with Office Depot, Inc. to acquire all of the shares in OfficeMax Australia and OfficeMax NZ</w:t>
      </w:r>
      <w:r>
        <w:t>.</w:t>
      </w:r>
      <w:r>
        <w:rPr>
          <w:rStyle w:val="FootnoteReference"/>
        </w:rPr>
        <w:footnoteReference w:id="2"/>
      </w:r>
      <w:bookmarkEnd w:id="2"/>
    </w:p>
    <w:p w:rsidR="00CA37F1" w:rsidRDefault="00CA37F1" w:rsidP="00CA37F1">
      <w:pPr>
        <w:pStyle w:val="Heading3"/>
      </w:pPr>
      <w:r>
        <w:t>Industry background</w:t>
      </w:r>
    </w:p>
    <w:p w:rsidR="007D598E" w:rsidRDefault="007D598E" w:rsidP="00C64242">
      <w:pPr>
        <w:pStyle w:val="Numbered"/>
      </w:pPr>
      <w:r>
        <w:t>‘</w:t>
      </w:r>
      <w:r w:rsidRPr="00971AF7">
        <w:t>Office products</w:t>
      </w:r>
      <w:r>
        <w:t>’</w:t>
      </w:r>
      <w:r w:rsidRPr="00971AF7">
        <w:t xml:space="preserve"> covers a broad range of products that are used in an office, whether at home or in a business, or more generally in the workplace. Key office product categories include</w:t>
      </w:r>
      <w:r>
        <w:t>:</w:t>
      </w:r>
      <w:r w:rsidRPr="00971AF7">
        <w:t xml:space="preserve"> paper, stationery, ink and toner, business machines (such as tablets, printers, scanners), computer and electronic accessories, kitchen supplies, cleaning and janitorial supplies, office furniture, safety equipment and clothing, packaging supplies, promotional products (</w:t>
      </w:r>
      <w:r w:rsidR="00541277">
        <w:t>that is,</w:t>
      </w:r>
      <w:r w:rsidRPr="00971AF7">
        <w:t xml:space="preserve"> items branded with corporate logos) and printing services</w:t>
      </w:r>
      <w:r>
        <w:t>.</w:t>
      </w:r>
    </w:p>
    <w:p w:rsidR="00CA37F1" w:rsidRDefault="00CA37F1" w:rsidP="00C64242">
      <w:pPr>
        <w:pStyle w:val="Numbered"/>
        <w:rPr>
          <w:bCs/>
        </w:rPr>
      </w:pPr>
      <w:r w:rsidRPr="00AE7B3B">
        <w:t xml:space="preserve">Staples and OfficeMax are both national suppliers of office products, focusing on the supply of office products to </w:t>
      </w:r>
      <w:r w:rsidR="003818F1">
        <w:t>commercial</w:t>
      </w:r>
      <w:r w:rsidR="003818F1" w:rsidRPr="00AE7B3B">
        <w:t xml:space="preserve"> </w:t>
      </w:r>
      <w:r w:rsidRPr="00AE7B3B">
        <w:t xml:space="preserve">and government customers. </w:t>
      </w:r>
    </w:p>
    <w:p w:rsidR="00CA37F1" w:rsidRDefault="00CA37F1" w:rsidP="00C64242">
      <w:pPr>
        <w:pStyle w:val="Numbered"/>
      </w:pPr>
      <w:r w:rsidRPr="00AE7B3B">
        <w:t xml:space="preserve">Industry participants for the supply of office products consist of manufacturers, wholesalers, </w:t>
      </w:r>
      <w:r w:rsidR="00E14C02">
        <w:t>suppliers</w:t>
      </w:r>
      <w:r w:rsidR="00E14C02" w:rsidRPr="00AE7B3B">
        <w:t xml:space="preserve"> </w:t>
      </w:r>
      <w:r w:rsidRPr="00AE7B3B">
        <w:t>and customers</w:t>
      </w:r>
      <w:r w:rsidR="003818F1">
        <w:t>.</w:t>
      </w:r>
    </w:p>
    <w:p w:rsidR="00CA37F1" w:rsidRDefault="00CA37F1" w:rsidP="00C64242">
      <w:pPr>
        <w:pStyle w:val="Numbered"/>
      </w:pPr>
      <w:r w:rsidRPr="00AE7B3B">
        <w:t xml:space="preserve">The main participants in the office products </w:t>
      </w:r>
      <w:r w:rsidR="00D47FF6">
        <w:t xml:space="preserve">industry </w:t>
      </w:r>
      <w:r w:rsidRPr="00AE7B3B">
        <w:t>are as follows</w:t>
      </w:r>
      <w:r>
        <w:t>:</w:t>
      </w:r>
    </w:p>
    <w:p w:rsidR="00CA37F1" w:rsidRPr="008959BB" w:rsidRDefault="00CA37F1" w:rsidP="00C64242">
      <w:pPr>
        <w:pStyle w:val="Numbered"/>
        <w:numPr>
          <w:ilvl w:val="1"/>
          <w:numId w:val="8"/>
        </w:numPr>
        <w:rPr>
          <w:b/>
          <w:i/>
        </w:rPr>
      </w:pPr>
      <w:r w:rsidRPr="005A125C">
        <w:rPr>
          <w:b/>
        </w:rPr>
        <w:t>Manufacturers:</w:t>
      </w:r>
      <w:r w:rsidRPr="008959BB">
        <w:t xml:space="preserve"> include major global corporations across a range of product categories, such as Hewlett-Packard, Canon, Fuji Xerox, Paper Australia, 3M, Faber-Castel</w:t>
      </w:r>
      <w:r w:rsidR="00541277">
        <w:t>l</w:t>
      </w:r>
      <w:r w:rsidRPr="008959BB">
        <w:t xml:space="preserve"> and A</w:t>
      </w:r>
      <w:r>
        <w:t>CCO</w:t>
      </w:r>
      <w:r w:rsidR="003818F1">
        <w:t xml:space="preserve"> Brands</w:t>
      </w:r>
      <w:r w:rsidRPr="008959BB">
        <w:t xml:space="preserve">. Manufacturers sell through wholesalers, direct to suppliers and also, in some cases, direct to end-customers. </w:t>
      </w:r>
    </w:p>
    <w:p w:rsidR="00CA37F1" w:rsidRPr="008959BB" w:rsidRDefault="00CA37F1" w:rsidP="00C64242">
      <w:pPr>
        <w:pStyle w:val="Numbered"/>
        <w:numPr>
          <w:ilvl w:val="1"/>
          <w:numId w:val="8"/>
        </w:numPr>
        <w:rPr>
          <w:b/>
          <w:i/>
        </w:rPr>
      </w:pPr>
      <w:r w:rsidRPr="005A125C">
        <w:rPr>
          <w:b/>
        </w:rPr>
        <w:t>Wholesalers:</w:t>
      </w:r>
      <w:r w:rsidRPr="008959BB">
        <w:t xml:space="preserve"> purchase products from a range of manufacturers and resell them to suppliers, as well as importing products from overseas. Wholesalers include major technology wholesalers such as </w:t>
      </w:r>
      <w:proofErr w:type="spellStart"/>
      <w:r w:rsidRPr="008959BB">
        <w:t>Synnex</w:t>
      </w:r>
      <w:proofErr w:type="spellEnd"/>
      <w:r w:rsidRPr="008959BB">
        <w:t xml:space="preserve"> and Ingram Micro</w:t>
      </w:r>
      <w:r w:rsidR="000B04C9">
        <w:t>;</w:t>
      </w:r>
      <w:r w:rsidRPr="008959BB">
        <w:t xml:space="preserve"> paper and related products wholesaler</w:t>
      </w:r>
      <w:r w:rsidR="006F0BE9">
        <w:t>s</w:t>
      </w:r>
      <w:r w:rsidRPr="008959BB">
        <w:t xml:space="preserve">, </w:t>
      </w:r>
      <w:r w:rsidR="006F0BE9">
        <w:t xml:space="preserve">such as </w:t>
      </w:r>
      <w:r w:rsidRPr="008959BB">
        <w:t>BJ Ball</w:t>
      </w:r>
      <w:r w:rsidR="000B04C9">
        <w:t>;</w:t>
      </w:r>
      <w:r w:rsidRPr="008959BB">
        <w:t xml:space="preserve"> and</w:t>
      </w:r>
      <w:r w:rsidR="000B04C9">
        <w:t xml:space="preserve"> </w:t>
      </w:r>
      <w:r w:rsidRPr="008959BB">
        <w:t>stationery and office products wholesaler</w:t>
      </w:r>
      <w:r w:rsidR="000B04C9">
        <w:t xml:space="preserve">s, such as </w:t>
      </w:r>
      <w:r w:rsidR="000B04C9" w:rsidRPr="008959BB">
        <w:t>GNS</w:t>
      </w:r>
      <w:r w:rsidR="00A22CB2">
        <w:t xml:space="preserve"> Wholesale</w:t>
      </w:r>
      <w:r w:rsidRPr="008959BB">
        <w:t>.</w:t>
      </w:r>
    </w:p>
    <w:p w:rsidR="00CA37F1" w:rsidRPr="008959BB" w:rsidRDefault="00CA37F1" w:rsidP="00C64242">
      <w:pPr>
        <w:pStyle w:val="Numbered"/>
        <w:numPr>
          <w:ilvl w:val="1"/>
          <w:numId w:val="8"/>
        </w:numPr>
        <w:rPr>
          <w:b/>
          <w:i/>
        </w:rPr>
      </w:pPr>
      <w:r w:rsidRPr="005A125C">
        <w:rPr>
          <w:b/>
        </w:rPr>
        <w:t>Suppliers:</w:t>
      </w:r>
      <w:r w:rsidRPr="008959BB">
        <w:t xml:space="preserve"> purchase office products from manufacturers and wholesalers for re-supply to end-customers. Suppliers include:</w:t>
      </w:r>
    </w:p>
    <w:p w:rsidR="00CA37F1" w:rsidRDefault="00CA37F1" w:rsidP="00CA37F1">
      <w:pPr>
        <w:pStyle w:val="Numberedparagraph11"/>
        <w:numPr>
          <w:ilvl w:val="5"/>
          <w:numId w:val="10"/>
        </w:numPr>
        <w:tabs>
          <w:tab w:val="clear" w:pos="2608"/>
          <w:tab w:val="num" w:pos="1843"/>
        </w:tabs>
        <w:ind w:left="1843" w:hanging="425"/>
      </w:pPr>
      <w:proofErr w:type="gramStart"/>
      <w:r w:rsidRPr="00AE7B3B">
        <w:t>general</w:t>
      </w:r>
      <w:proofErr w:type="gramEnd"/>
      <w:r w:rsidRPr="00AE7B3B">
        <w:t xml:space="preserve"> office product suppliers</w:t>
      </w:r>
      <w:r w:rsidR="000D6ED4">
        <w:t>:</w:t>
      </w:r>
      <w:r w:rsidRPr="00AE7B3B">
        <w:t xml:space="preserve"> supply a comprehensive range of office products. </w:t>
      </w:r>
      <w:r w:rsidR="00D33A50">
        <w:t>Examples</w:t>
      </w:r>
      <w:r w:rsidRPr="00AE7B3B">
        <w:t xml:space="preserve"> include </w:t>
      </w:r>
      <w:r w:rsidR="000E6788">
        <w:t>Staples, OfficeMax</w:t>
      </w:r>
      <w:r w:rsidRPr="00AE7B3B">
        <w:t xml:space="preserve">, </w:t>
      </w:r>
      <w:r w:rsidRPr="00B36B44">
        <w:t>COS</w:t>
      </w:r>
      <w:r w:rsidR="00B36B44">
        <w:t>,</w:t>
      </w:r>
      <w:r w:rsidRPr="00AE7B3B">
        <w:t xml:space="preserve"> Lyreco, </w:t>
      </w:r>
      <w:proofErr w:type="spellStart"/>
      <w:r w:rsidRPr="00AE7B3B">
        <w:t>Officeworks</w:t>
      </w:r>
      <w:proofErr w:type="spellEnd"/>
      <w:r w:rsidRPr="00AE7B3B">
        <w:t>, Office National, Office Choice and Quick Corporate</w:t>
      </w:r>
      <w:r w:rsidR="00D33A50">
        <w:t xml:space="preserve"> Australia</w:t>
      </w:r>
    </w:p>
    <w:p w:rsidR="00CA37F1" w:rsidRDefault="00CA37F1" w:rsidP="00CA37F1">
      <w:pPr>
        <w:pStyle w:val="Numberedparagraph11"/>
        <w:numPr>
          <w:ilvl w:val="5"/>
          <w:numId w:val="10"/>
        </w:numPr>
        <w:tabs>
          <w:tab w:val="clear" w:pos="2608"/>
          <w:tab w:val="num" w:pos="1843"/>
        </w:tabs>
        <w:ind w:left="1843" w:hanging="425"/>
      </w:pPr>
      <w:r w:rsidRPr="00AE7B3B">
        <w:t>‘</w:t>
      </w:r>
      <w:proofErr w:type="gramStart"/>
      <w:r w:rsidRPr="00AE7B3B">
        <w:t>specialist</w:t>
      </w:r>
      <w:proofErr w:type="gramEnd"/>
      <w:r w:rsidRPr="00AE7B3B">
        <w:t>’ dealers</w:t>
      </w:r>
      <w:r w:rsidR="000D6ED4">
        <w:t>:</w:t>
      </w:r>
      <w:r w:rsidRPr="00AE7B3B">
        <w:t xml:space="preserve"> tend to focus on particular categories of office products. These can include computer/electronic accessories, business machines, kitchen supplies, cleaning and janitorial supplies, safety equipment and clothing. Spe</w:t>
      </w:r>
      <w:r>
        <w:t>c</w:t>
      </w:r>
      <w:r w:rsidRPr="00AE7B3B">
        <w:t xml:space="preserve">ialist dealers include Bidvest, </w:t>
      </w:r>
      <w:proofErr w:type="spellStart"/>
      <w:r w:rsidRPr="00AE7B3B">
        <w:t>Blackwoods</w:t>
      </w:r>
      <w:proofErr w:type="spellEnd"/>
      <w:r w:rsidRPr="00AE7B3B">
        <w:t xml:space="preserve">, Bunzl, Fuji Xerox, </w:t>
      </w:r>
      <w:proofErr w:type="spellStart"/>
      <w:r w:rsidRPr="00AE7B3B">
        <w:t>Datacom</w:t>
      </w:r>
      <w:proofErr w:type="spellEnd"/>
      <w:r w:rsidRPr="00AE7B3B">
        <w:t xml:space="preserve">, PFD, </w:t>
      </w:r>
      <w:proofErr w:type="spellStart"/>
      <w:r w:rsidRPr="00AE7B3B">
        <w:t>Schiavello</w:t>
      </w:r>
      <w:proofErr w:type="spellEnd"/>
      <w:r w:rsidRPr="00AE7B3B">
        <w:t xml:space="preserve">, </w:t>
      </w:r>
      <w:proofErr w:type="spellStart"/>
      <w:r w:rsidRPr="00AE7B3B">
        <w:t>BlueStar</w:t>
      </w:r>
      <w:proofErr w:type="spellEnd"/>
      <w:r w:rsidRPr="00AE7B3B">
        <w:t xml:space="preserve">, Finsbury and </w:t>
      </w:r>
      <w:proofErr w:type="spellStart"/>
      <w:r w:rsidRPr="00AE7B3B">
        <w:t>Vistaprint</w:t>
      </w:r>
      <w:proofErr w:type="spellEnd"/>
      <w:r w:rsidRPr="00AE7B3B">
        <w:t xml:space="preserve">. Other specialist dealers focus on </w:t>
      </w:r>
      <w:r w:rsidRPr="00AE7B3B">
        <w:lastRenderedPageBreak/>
        <w:t>supply to customers in particular channels, such as Campion or Maxim in the education channel</w:t>
      </w:r>
      <w:r>
        <w:t xml:space="preserve"> </w:t>
      </w:r>
    </w:p>
    <w:p w:rsidR="00CA37F1" w:rsidRDefault="001864AC" w:rsidP="009C08FD">
      <w:pPr>
        <w:pStyle w:val="Numberedparagraph11"/>
        <w:numPr>
          <w:ilvl w:val="5"/>
          <w:numId w:val="10"/>
        </w:numPr>
        <w:tabs>
          <w:tab w:val="clear" w:pos="2608"/>
          <w:tab w:val="num" w:pos="1843"/>
        </w:tabs>
        <w:spacing w:after="240"/>
        <w:ind w:left="1843" w:hanging="425"/>
      </w:pPr>
      <w:r w:rsidRPr="00AE7B3B">
        <w:t>R</w:t>
      </w:r>
      <w:r w:rsidR="00CA37F1" w:rsidRPr="00AE7B3B">
        <w:t>etailers</w:t>
      </w:r>
      <w:r>
        <w:t>:</w:t>
      </w:r>
      <w:r w:rsidR="00CA37F1" w:rsidRPr="00AE7B3B">
        <w:t xml:space="preserve"> such as JB Hi-Fi, Harvey Norman, Woolworths, Coles, Big W, Australia Post and Cartridge World (although some of these, such as JB Hi-Fi</w:t>
      </w:r>
      <w:r>
        <w:t>,</w:t>
      </w:r>
      <w:r w:rsidR="00CA37F1" w:rsidRPr="00AE7B3B">
        <w:t xml:space="preserve"> have a commercial division focusing on </w:t>
      </w:r>
      <w:r w:rsidR="001E0488">
        <w:t>business-to-business</w:t>
      </w:r>
      <w:r w:rsidR="001E0488" w:rsidRPr="00AE7B3B">
        <w:t xml:space="preserve"> </w:t>
      </w:r>
      <w:r w:rsidR="001E0488">
        <w:t>(</w:t>
      </w:r>
      <w:r w:rsidR="00CA37F1" w:rsidRPr="00AE7B3B">
        <w:t>B2B</w:t>
      </w:r>
      <w:r w:rsidR="001E0488">
        <w:t>)</w:t>
      </w:r>
      <w:r w:rsidR="00CA37F1" w:rsidRPr="00AE7B3B">
        <w:t xml:space="preserve"> sales)</w:t>
      </w:r>
      <w:r w:rsidR="00CA37F1">
        <w:t>.</w:t>
      </w:r>
    </w:p>
    <w:p w:rsidR="00CA37F1" w:rsidRDefault="00CA37F1" w:rsidP="00C64242">
      <w:pPr>
        <w:pStyle w:val="Numbered"/>
        <w:numPr>
          <w:ilvl w:val="1"/>
          <w:numId w:val="8"/>
        </w:numPr>
        <w:rPr>
          <w:b/>
          <w:i/>
        </w:rPr>
      </w:pPr>
      <w:r w:rsidRPr="005A125C">
        <w:rPr>
          <w:b/>
        </w:rPr>
        <w:t>End</w:t>
      </w:r>
      <w:r w:rsidR="00FC7478">
        <w:rPr>
          <w:b/>
        </w:rPr>
        <w:t>-</w:t>
      </w:r>
      <w:r w:rsidRPr="005A125C">
        <w:rPr>
          <w:b/>
        </w:rPr>
        <w:t>customers:</w:t>
      </w:r>
      <w:r w:rsidRPr="008959BB">
        <w:t xml:space="preserve"> purchase office products for their own use. They range from individuals and small businesses to </w:t>
      </w:r>
      <w:r w:rsidR="007D598E">
        <w:t>large</w:t>
      </w:r>
      <w:r w:rsidR="007D598E" w:rsidRPr="008959BB">
        <w:t xml:space="preserve"> </w:t>
      </w:r>
      <w:r w:rsidRPr="008959BB">
        <w:t>corporates, schools and government departments and agencies.</w:t>
      </w:r>
      <w:bookmarkStart w:id="3" w:name="_GoBack"/>
      <w:bookmarkEnd w:id="3"/>
    </w:p>
    <w:p w:rsidR="000D582B" w:rsidRPr="00CB797B" w:rsidRDefault="00FC41E2" w:rsidP="00C64242">
      <w:pPr>
        <w:pStyle w:val="Heading4"/>
      </w:pPr>
      <w:r>
        <w:t>O</w:t>
      </w:r>
      <w:r w:rsidR="00420628">
        <w:t>verview of general office products suppliers</w:t>
      </w:r>
      <w:r w:rsidR="00DE02E4" w:rsidRPr="00CB797B">
        <w:t xml:space="preserve"> </w:t>
      </w:r>
    </w:p>
    <w:p w:rsidR="00B60C1C" w:rsidRPr="003209DE" w:rsidRDefault="00D33A50" w:rsidP="00AE3D94">
      <w:pPr>
        <w:pStyle w:val="Default"/>
        <w:numPr>
          <w:ilvl w:val="0"/>
          <w:numId w:val="2"/>
        </w:numPr>
        <w:autoSpaceDE/>
        <w:autoSpaceDN/>
        <w:adjustRightInd/>
        <w:spacing w:after="240"/>
        <w:rPr>
          <w:color w:val="auto"/>
          <w:sz w:val="22"/>
          <w:szCs w:val="22"/>
          <w:lang w:eastAsia="en-US"/>
        </w:rPr>
      </w:pPr>
      <w:r>
        <w:rPr>
          <w:color w:val="auto"/>
          <w:sz w:val="22"/>
          <w:szCs w:val="22"/>
          <w:lang w:eastAsia="en-US"/>
        </w:rPr>
        <w:t xml:space="preserve">Examples of </w:t>
      </w:r>
      <w:r w:rsidR="004E2B03">
        <w:rPr>
          <w:color w:val="auto"/>
          <w:sz w:val="22"/>
          <w:szCs w:val="22"/>
          <w:lang w:eastAsia="en-US"/>
        </w:rPr>
        <w:t>o</w:t>
      </w:r>
      <w:r w:rsidR="00B60C1C">
        <w:rPr>
          <w:color w:val="auto"/>
          <w:sz w:val="22"/>
          <w:szCs w:val="22"/>
          <w:lang w:eastAsia="en-US"/>
        </w:rPr>
        <w:t>ther general office products suppliers include:</w:t>
      </w:r>
    </w:p>
    <w:p w:rsidR="00AE3D94" w:rsidRPr="009B2383" w:rsidRDefault="00AE3D94" w:rsidP="003209DE">
      <w:pPr>
        <w:pStyle w:val="Default"/>
        <w:numPr>
          <w:ilvl w:val="1"/>
          <w:numId w:val="2"/>
        </w:numPr>
        <w:autoSpaceDE/>
        <w:autoSpaceDN/>
        <w:adjustRightInd/>
        <w:spacing w:after="240"/>
        <w:rPr>
          <w:color w:val="auto"/>
          <w:sz w:val="22"/>
          <w:szCs w:val="22"/>
          <w:lang w:eastAsia="en-US"/>
        </w:rPr>
      </w:pPr>
      <w:r>
        <w:t>C</w:t>
      </w:r>
      <w:r w:rsidR="003818F1">
        <w:t>OS</w:t>
      </w:r>
      <w:r w:rsidR="001864AC">
        <w:t>:</w:t>
      </w:r>
      <w:r>
        <w:t xml:space="preserve"> </w:t>
      </w:r>
      <w:r w:rsidRPr="00AE3D94">
        <w:rPr>
          <w:color w:val="auto"/>
          <w:sz w:val="22"/>
          <w:szCs w:val="22"/>
          <w:lang w:eastAsia="en-US"/>
        </w:rPr>
        <w:t xml:space="preserve">an Australian based supplier of office products </w:t>
      </w:r>
      <w:r>
        <w:rPr>
          <w:color w:val="auto"/>
          <w:sz w:val="22"/>
          <w:szCs w:val="22"/>
          <w:lang w:eastAsia="en-US"/>
        </w:rPr>
        <w:t xml:space="preserve">to </w:t>
      </w:r>
      <w:r w:rsidR="003A0BD5">
        <w:rPr>
          <w:color w:val="auto"/>
          <w:sz w:val="22"/>
          <w:szCs w:val="22"/>
          <w:lang w:eastAsia="en-US"/>
        </w:rPr>
        <w:t xml:space="preserve">commercial </w:t>
      </w:r>
      <w:r>
        <w:rPr>
          <w:color w:val="auto"/>
          <w:sz w:val="22"/>
          <w:szCs w:val="22"/>
          <w:lang w:eastAsia="en-US"/>
        </w:rPr>
        <w:t>and government customers.</w:t>
      </w:r>
      <w:r w:rsidR="00C22D72">
        <w:rPr>
          <w:rStyle w:val="FootnoteReference"/>
          <w:color w:val="auto"/>
          <w:lang w:eastAsia="en-US"/>
        </w:rPr>
        <w:footnoteReference w:id="3"/>
      </w:r>
      <w:r>
        <w:rPr>
          <w:color w:val="auto"/>
          <w:sz w:val="22"/>
          <w:szCs w:val="22"/>
          <w:lang w:eastAsia="en-US"/>
        </w:rPr>
        <w:t xml:space="preserve"> It has </w:t>
      </w:r>
      <w:r w:rsidR="00216506" w:rsidRPr="00216506">
        <w:rPr>
          <w:color w:val="auto"/>
          <w:sz w:val="22"/>
          <w:szCs w:val="22"/>
          <w:lang w:eastAsia="en-US"/>
        </w:rPr>
        <w:t xml:space="preserve">nine distribution centres </w:t>
      </w:r>
      <w:r w:rsidR="00216506">
        <w:rPr>
          <w:color w:val="auto"/>
          <w:sz w:val="22"/>
          <w:szCs w:val="22"/>
          <w:lang w:eastAsia="en-US"/>
        </w:rPr>
        <w:t>around Australia</w:t>
      </w:r>
      <w:r w:rsidRPr="00AE3D94">
        <w:rPr>
          <w:color w:val="auto"/>
          <w:sz w:val="22"/>
          <w:szCs w:val="22"/>
          <w:lang w:eastAsia="en-US"/>
        </w:rPr>
        <w:t>.</w:t>
      </w:r>
      <w:r w:rsidR="00C22D72">
        <w:rPr>
          <w:rStyle w:val="FootnoteReference"/>
          <w:color w:val="auto"/>
          <w:lang w:eastAsia="en-US"/>
        </w:rPr>
        <w:footnoteReference w:id="4"/>
      </w:r>
      <w:r w:rsidRPr="00AE3D94">
        <w:rPr>
          <w:color w:val="auto"/>
          <w:sz w:val="22"/>
          <w:szCs w:val="22"/>
          <w:lang w:eastAsia="en-US"/>
        </w:rPr>
        <w:t xml:space="preserve"> </w:t>
      </w:r>
      <w:r w:rsidRPr="00F072A1">
        <w:rPr>
          <w:sz w:val="22"/>
          <w:szCs w:val="22"/>
        </w:rPr>
        <w:t>In addition to its office products business, COS also offers office fit</w:t>
      </w:r>
      <w:r w:rsidR="001864AC" w:rsidRPr="00F072A1">
        <w:rPr>
          <w:sz w:val="22"/>
          <w:szCs w:val="22"/>
        </w:rPr>
        <w:t>-</w:t>
      </w:r>
      <w:r w:rsidRPr="00F072A1">
        <w:rPr>
          <w:sz w:val="22"/>
          <w:szCs w:val="22"/>
        </w:rPr>
        <w:t>out solutions through COS Working Spaces.</w:t>
      </w:r>
      <w:r w:rsidR="00322C56">
        <w:rPr>
          <w:rStyle w:val="FootnoteReference"/>
        </w:rPr>
        <w:footnoteReference w:id="5"/>
      </w:r>
    </w:p>
    <w:p w:rsidR="00AE3D94" w:rsidRDefault="003A0BD5" w:rsidP="00A87C82">
      <w:pPr>
        <w:pStyle w:val="Default"/>
        <w:numPr>
          <w:ilvl w:val="1"/>
          <w:numId w:val="2"/>
        </w:numPr>
        <w:autoSpaceDE/>
        <w:autoSpaceDN/>
        <w:adjustRightInd/>
        <w:spacing w:after="240"/>
      </w:pPr>
      <w:r w:rsidRPr="00A87C82">
        <w:rPr>
          <w:sz w:val="22"/>
          <w:szCs w:val="22"/>
        </w:rPr>
        <w:t>Lyreco</w:t>
      </w:r>
      <w:r w:rsidR="001864AC" w:rsidRPr="00A87C82">
        <w:rPr>
          <w:sz w:val="22"/>
          <w:szCs w:val="22"/>
        </w:rPr>
        <w:t>:</w:t>
      </w:r>
      <w:r w:rsidRPr="00A87C82">
        <w:rPr>
          <w:sz w:val="22"/>
          <w:szCs w:val="22"/>
        </w:rPr>
        <w:t xml:space="preserve"> part of </w:t>
      </w:r>
      <w:r w:rsidR="00AE3D94" w:rsidRPr="00A87C82">
        <w:rPr>
          <w:sz w:val="22"/>
          <w:szCs w:val="22"/>
        </w:rPr>
        <w:t xml:space="preserve">a global </w:t>
      </w:r>
      <w:r w:rsidRPr="00A87C82">
        <w:rPr>
          <w:sz w:val="22"/>
          <w:szCs w:val="22"/>
        </w:rPr>
        <w:t xml:space="preserve">group of companies that </w:t>
      </w:r>
      <w:r w:rsidR="00AE3D94" w:rsidRPr="00A87C82">
        <w:rPr>
          <w:sz w:val="22"/>
          <w:szCs w:val="22"/>
        </w:rPr>
        <w:t>provide workplace s</w:t>
      </w:r>
      <w:r w:rsidR="00B729BB" w:rsidRPr="00A87C82">
        <w:rPr>
          <w:sz w:val="22"/>
          <w:szCs w:val="22"/>
        </w:rPr>
        <w:t>upplies to</w:t>
      </w:r>
      <w:r w:rsidR="00AE3D94" w:rsidRPr="00A87C82">
        <w:rPr>
          <w:sz w:val="22"/>
          <w:szCs w:val="22"/>
        </w:rPr>
        <w:t xml:space="preserve"> commercial and government </w:t>
      </w:r>
      <w:r w:rsidR="001864AC" w:rsidRPr="00A87C82">
        <w:rPr>
          <w:sz w:val="22"/>
          <w:szCs w:val="22"/>
        </w:rPr>
        <w:t>customers</w:t>
      </w:r>
      <w:r w:rsidR="00AE3D94" w:rsidRPr="00A87C82">
        <w:rPr>
          <w:sz w:val="22"/>
          <w:szCs w:val="22"/>
        </w:rPr>
        <w:t>.</w:t>
      </w:r>
      <w:r w:rsidR="00B729BB">
        <w:rPr>
          <w:rStyle w:val="FootnoteReference"/>
        </w:rPr>
        <w:footnoteReference w:id="6"/>
      </w:r>
      <w:r w:rsidR="00AE3D94" w:rsidRPr="00AE3D94">
        <w:t xml:space="preserve"> </w:t>
      </w:r>
      <w:r w:rsidR="00AE3D94" w:rsidRPr="00A87C82">
        <w:rPr>
          <w:sz w:val="22"/>
          <w:szCs w:val="22"/>
        </w:rPr>
        <w:t xml:space="preserve">Lyreco Pty Ltd is </w:t>
      </w:r>
      <w:r w:rsidR="005850C1" w:rsidRPr="00A87C82">
        <w:rPr>
          <w:sz w:val="22"/>
          <w:szCs w:val="22"/>
        </w:rPr>
        <w:t>a</w:t>
      </w:r>
      <w:r w:rsidR="00AE3D94" w:rsidRPr="00A87C82">
        <w:rPr>
          <w:sz w:val="22"/>
          <w:szCs w:val="22"/>
        </w:rPr>
        <w:t xml:space="preserve"> wholly</w:t>
      </w:r>
      <w:r w:rsidR="005850C1" w:rsidRPr="00A87C82">
        <w:rPr>
          <w:sz w:val="22"/>
          <w:szCs w:val="22"/>
        </w:rPr>
        <w:t>-</w:t>
      </w:r>
      <w:r w:rsidR="00AE3D94" w:rsidRPr="00A87C82">
        <w:rPr>
          <w:sz w:val="22"/>
          <w:szCs w:val="22"/>
        </w:rPr>
        <w:t xml:space="preserve">owned </w:t>
      </w:r>
      <w:r w:rsidR="005850C1" w:rsidRPr="00A87C82">
        <w:rPr>
          <w:sz w:val="22"/>
          <w:szCs w:val="22"/>
        </w:rPr>
        <w:t xml:space="preserve">Australian </w:t>
      </w:r>
      <w:r w:rsidR="00AE3D94" w:rsidRPr="00A87C82">
        <w:rPr>
          <w:sz w:val="22"/>
          <w:szCs w:val="22"/>
        </w:rPr>
        <w:t>subsidiary of Lyreco SAS (France). It operates five distribution centres in N</w:t>
      </w:r>
      <w:r w:rsidR="001864AC" w:rsidRPr="00A87C82">
        <w:rPr>
          <w:sz w:val="22"/>
          <w:szCs w:val="22"/>
        </w:rPr>
        <w:t xml:space="preserve">ew </w:t>
      </w:r>
      <w:r w:rsidR="00AE3D94" w:rsidRPr="00A87C82">
        <w:rPr>
          <w:sz w:val="22"/>
          <w:szCs w:val="22"/>
        </w:rPr>
        <w:t>S</w:t>
      </w:r>
      <w:r w:rsidR="001864AC" w:rsidRPr="00A87C82">
        <w:rPr>
          <w:sz w:val="22"/>
          <w:szCs w:val="22"/>
        </w:rPr>
        <w:t xml:space="preserve">outh </w:t>
      </w:r>
      <w:r w:rsidR="00AE3D94" w:rsidRPr="00A87C82">
        <w:rPr>
          <w:sz w:val="22"/>
          <w:szCs w:val="22"/>
        </w:rPr>
        <w:t>W</w:t>
      </w:r>
      <w:r w:rsidR="001864AC" w:rsidRPr="00A87C82">
        <w:rPr>
          <w:sz w:val="22"/>
          <w:szCs w:val="22"/>
        </w:rPr>
        <w:t>ales</w:t>
      </w:r>
      <w:r w:rsidR="00AE3D94" w:rsidRPr="00A87C82">
        <w:rPr>
          <w:sz w:val="22"/>
          <w:szCs w:val="22"/>
        </w:rPr>
        <w:t>, V</w:t>
      </w:r>
      <w:r w:rsidR="001864AC" w:rsidRPr="00A87C82">
        <w:rPr>
          <w:sz w:val="22"/>
          <w:szCs w:val="22"/>
        </w:rPr>
        <w:t>ictoria</w:t>
      </w:r>
      <w:r w:rsidR="00AE3D94" w:rsidRPr="00A87C82">
        <w:rPr>
          <w:sz w:val="22"/>
          <w:szCs w:val="22"/>
        </w:rPr>
        <w:t>, Q</w:t>
      </w:r>
      <w:r w:rsidR="001864AC" w:rsidRPr="00A87C82">
        <w:rPr>
          <w:sz w:val="22"/>
          <w:szCs w:val="22"/>
        </w:rPr>
        <w:t>ueensland</w:t>
      </w:r>
      <w:r w:rsidR="00AE3D94" w:rsidRPr="00A87C82">
        <w:rPr>
          <w:sz w:val="22"/>
          <w:szCs w:val="22"/>
        </w:rPr>
        <w:t>, W</w:t>
      </w:r>
      <w:r w:rsidR="001864AC" w:rsidRPr="00A87C82">
        <w:rPr>
          <w:sz w:val="22"/>
          <w:szCs w:val="22"/>
        </w:rPr>
        <w:t xml:space="preserve">estern </w:t>
      </w:r>
      <w:r w:rsidR="00AE3D94" w:rsidRPr="00A87C82">
        <w:rPr>
          <w:sz w:val="22"/>
          <w:szCs w:val="22"/>
        </w:rPr>
        <w:t>A</w:t>
      </w:r>
      <w:r w:rsidR="001864AC" w:rsidRPr="00A87C82">
        <w:rPr>
          <w:sz w:val="22"/>
          <w:szCs w:val="22"/>
        </w:rPr>
        <w:t>ustralia</w:t>
      </w:r>
      <w:r w:rsidR="004D1BE0" w:rsidRPr="00A87C82">
        <w:rPr>
          <w:sz w:val="22"/>
          <w:szCs w:val="22"/>
        </w:rPr>
        <w:t xml:space="preserve"> and</w:t>
      </w:r>
      <w:r w:rsidR="00AE3D94" w:rsidRPr="00A87C82">
        <w:rPr>
          <w:sz w:val="22"/>
          <w:szCs w:val="22"/>
        </w:rPr>
        <w:t xml:space="preserve"> T</w:t>
      </w:r>
      <w:r w:rsidR="001864AC" w:rsidRPr="00A87C82">
        <w:rPr>
          <w:sz w:val="22"/>
          <w:szCs w:val="22"/>
        </w:rPr>
        <w:t>asmania</w:t>
      </w:r>
      <w:r w:rsidR="00AE3D94" w:rsidRPr="00A87C82">
        <w:rPr>
          <w:sz w:val="22"/>
          <w:szCs w:val="22"/>
        </w:rPr>
        <w:t>.</w:t>
      </w:r>
      <w:r w:rsidR="00B4131F">
        <w:rPr>
          <w:rStyle w:val="FootnoteReference"/>
        </w:rPr>
        <w:footnoteReference w:id="7"/>
      </w:r>
    </w:p>
    <w:p w:rsidR="003B4FD3" w:rsidRDefault="003B4FD3" w:rsidP="00A87C82">
      <w:pPr>
        <w:pStyle w:val="Default"/>
        <w:numPr>
          <w:ilvl w:val="1"/>
          <w:numId w:val="2"/>
        </w:numPr>
        <w:autoSpaceDE/>
        <w:autoSpaceDN/>
        <w:adjustRightInd/>
        <w:spacing w:after="240"/>
      </w:pPr>
      <w:proofErr w:type="spellStart"/>
      <w:r w:rsidRPr="00A87C82">
        <w:rPr>
          <w:sz w:val="22"/>
          <w:szCs w:val="22"/>
        </w:rPr>
        <w:t>Officeworks</w:t>
      </w:r>
      <w:proofErr w:type="spellEnd"/>
      <w:r w:rsidR="009F553D" w:rsidRPr="00A87C82">
        <w:rPr>
          <w:sz w:val="22"/>
          <w:szCs w:val="22"/>
        </w:rPr>
        <w:t>:</w:t>
      </w:r>
      <w:r w:rsidRPr="00A87C82">
        <w:rPr>
          <w:sz w:val="22"/>
          <w:szCs w:val="22"/>
        </w:rPr>
        <w:t xml:space="preserve"> an Australian chain of retail office supplies stores, owned by Wesfarmers</w:t>
      </w:r>
      <w:r w:rsidR="0042551A" w:rsidRPr="00A87C82">
        <w:rPr>
          <w:sz w:val="22"/>
          <w:szCs w:val="22"/>
        </w:rPr>
        <w:t xml:space="preserve"> Limited</w:t>
      </w:r>
      <w:r w:rsidRPr="00A87C82">
        <w:rPr>
          <w:sz w:val="22"/>
          <w:szCs w:val="22"/>
        </w:rPr>
        <w:t>.</w:t>
      </w:r>
      <w:r w:rsidR="00BC5E71">
        <w:rPr>
          <w:rStyle w:val="FootnoteReference"/>
        </w:rPr>
        <w:footnoteReference w:id="8"/>
      </w:r>
      <w:r>
        <w:t xml:space="preserve"> </w:t>
      </w:r>
      <w:r w:rsidRPr="00A87C82">
        <w:rPr>
          <w:sz w:val="22"/>
          <w:szCs w:val="22"/>
        </w:rPr>
        <w:t xml:space="preserve">It focuses on </w:t>
      </w:r>
      <w:r w:rsidR="00366A6E" w:rsidRPr="00A87C82">
        <w:rPr>
          <w:sz w:val="22"/>
          <w:szCs w:val="22"/>
        </w:rPr>
        <w:t xml:space="preserve">the </w:t>
      </w:r>
      <w:r w:rsidRPr="00A87C82">
        <w:rPr>
          <w:sz w:val="22"/>
          <w:szCs w:val="22"/>
        </w:rPr>
        <w:t xml:space="preserve">supply </w:t>
      </w:r>
      <w:r w:rsidR="00366A6E" w:rsidRPr="00A87C82">
        <w:rPr>
          <w:sz w:val="22"/>
          <w:szCs w:val="22"/>
        </w:rPr>
        <w:t xml:space="preserve">of office products </w:t>
      </w:r>
      <w:r w:rsidRPr="00A87C82">
        <w:rPr>
          <w:sz w:val="22"/>
          <w:szCs w:val="22"/>
        </w:rPr>
        <w:t xml:space="preserve">to individuals and </w:t>
      </w:r>
      <w:r w:rsidR="00EB3C8C" w:rsidRPr="00A87C82">
        <w:rPr>
          <w:sz w:val="22"/>
          <w:szCs w:val="22"/>
        </w:rPr>
        <w:t xml:space="preserve">micro, </w:t>
      </w:r>
      <w:r w:rsidRPr="00A87C82">
        <w:rPr>
          <w:sz w:val="22"/>
          <w:szCs w:val="22"/>
        </w:rPr>
        <w:t>small and m</w:t>
      </w:r>
      <w:r w:rsidR="004F7737" w:rsidRPr="00A87C82">
        <w:rPr>
          <w:sz w:val="22"/>
          <w:szCs w:val="22"/>
        </w:rPr>
        <w:t>edium</w:t>
      </w:r>
      <w:r w:rsidR="00F47AC2" w:rsidRPr="00A87C82">
        <w:rPr>
          <w:sz w:val="22"/>
          <w:szCs w:val="22"/>
        </w:rPr>
        <w:t>-</w:t>
      </w:r>
      <w:r w:rsidR="004F7737" w:rsidRPr="00A87C82">
        <w:rPr>
          <w:sz w:val="22"/>
          <w:szCs w:val="22"/>
        </w:rPr>
        <w:t>sized commercial</w:t>
      </w:r>
      <w:r w:rsidRPr="00A87C82">
        <w:rPr>
          <w:sz w:val="22"/>
          <w:szCs w:val="22"/>
        </w:rPr>
        <w:t xml:space="preserve"> customers.</w:t>
      </w:r>
      <w:r>
        <w:rPr>
          <w:rStyle w:val="FootnoteReference"/>
        </w:rPr>
        <w:footnoteReference w:id="9"/>
      </w:r>
      <w:r w:rsidR="009454A6">
        <w:t xml:space="preserve"> </w:t>
      </w:r>
      <w:r w:rsidR="009454A6" w:rsidRPr="00A87C82">
        <w:rPr>
          <w:sz w:val="22"/>
          <w:szCs w:val="22"/>
        </w:rPr>
        <w:t xml:space="preserve">It has </w:t>
      </w:r>
      <w:r w:rsidR="00B36B44" w:rsidRPr="00A87C82">
        <w:rPr>
          <w:sz w:val="22"/>
          <w:szCs w:val="22"/>
        </w:rPr>
        <w:t xml:space="preserve">more than </w:t>
      </w:r>
      <w:r w:rsidR="009454A6" w:rsidRPr="00A87C82">
        <w:rPr>
          <w:sz w:val="22"/>
          <w:szCs w:val="22"/>
        </w:rPr>
        <w:t>160 stores across Australia.</w:t>
      </w:r>
      <w:r w:rsidR="00B36B44">
        <w:rPr>
          <w:rStyle w:val="FootnoteReference"/>
        </w:rPr>
        <w:footnoteReference w:id="10"/>
      </w:r>
    </w:p>
    <w:p w:rsidR="000B7580" w:rsidRDefault="003B4FD3" w:rsidP="00A87C82">
      <w:pPr>
        <w:pStyle w:val="Default"/>
        <w:numPr>
          <w:ilvl w:val="1"/>
          <w:numId w:val="2"/>
        </w:numPr>
        <w:autoSpaceDE/>
        <w:autoSpaceDN/>
        <w:adjustRightInd/>
        <w:spacing w:after="240"/>
      </w:pPr>
      <w:r w:rsidRPr="00A87C82">
        <w:rPr>
          <w:sz w:val="22"/>
          <w:szCs w:val="22"/>
        </w:rPr>
        <w:t>Office National</w:t>
      </w:r>
      <w:r w:rsidR="009F553D" w:rsidRPr="00A87C82">
        <w:rPr>
          <w:sz w:val="22"/>
          <w:szCs w:val="22"/>
        </w:rPr>
        <w:t>:</w:t>
      </w:r>
      <w:r w:rsidRPr="00A87C82">
        <w:rPr>
          <w:sz w:val="22"/>
          <w:szCs w:val="22"/>
        </w:rPr>
        <w:t xml:space="preserve"> </w:t>
      </w:r>
      <w:r w:rsidR="00936162" w:rsidRPr="00A87C82">
        <w:rPr>
          <w:sz w:val="22"/>
          <w:szCs w:val="22"/>
        </w:rPr>
        <w:t xml:space="preserve">a </w:t>
      </w:r>
      <w:r w:rsidR="00AE37ED" w:rsidRPr="00A87C82">
        <w:rPr>
          <w:sz w:val="22"/>
          <w:szCs w:val="22"/>
        </w:rPr>
        <w:t xml:space="preserve">network of independently owned and operated local business supplies stores, supplying a range of products including office supplies, ink and toner, paper, technology, furniture, facilities supplies, print and promotion and </w:t>
      </w:r>
      <w:proofErr w:type="spellStart"/>
      <w:r w:rsidR="00AE37ED" w:rsidRPr="00A87C82">
        <w:rPr>
          <w:sz w:val="22"/>
          <w:szCs w:val="22"/>
        </w:rPr>
        <w:t>workwear</w:t>
      </w:r>
      <w:proofErr w:type="spellEnd"/>
      <w:r w:rsidR="00AE37ED" w:rsidRPr="00A87C82">
        <w:rPr>
          <w:sz w:val="22"/>
          <w:szCs w:val="22"/>
        </w:rPr>
        <w:t>.</w:t>
      </w:r>
      <w:r w:rsidR="00AE37ED">
        <w:rPr>
          <w:rStyle w:val="FootnoteReference"/>
        </w:rPr>
        <w:footnoteReference w:id="11"/>
      </w:r>
      <w:r w:rsidR="00AE37ED">
        <w:t xml:space="preserve"> </w:t>
      </w:r>
    </w:p>
    <w:p w:rsidR="00BC5E71" w:rsidRDefault="003B4FD3" w:rsidP="00A71B45">
      <w:pPr>
        <w:pStyle w:val="Default"/>
        <w:numPr>
          <w:ilvl w:val="1"/>
          <w:numId w:val="2"/>
        </w:numPr>
        <w:autoSpaceDE/>
        <w:autoSpaceDN/>
        <w:adjustRightInd/>
        <w:spacing w:after="240"/>
      </w:pPr>
      <w:r w:rsidRPr="00A71B45">
        <w:rPr>
          <w:sz w:val="22"/>
          <w:szCs w:val="22"/>
        </w:rPr>
        <w:lastRenderedPageBreak/>
        <w:t>Office Choice</w:t>
      </w:r>
      <w:r w:rsidR="009F553D" w:rsidRPr="00A71B45">
        <w:rPr>
          <w:sz w:val="22"/>
          <w:szCs w:val="22"/>
        </w:rPr>
        <w:t>:</w:t>
      </w:r>
      <w:r w:rsidR="009454A6" w:rsidRPr="00A71B45">
        <w:rPr>
          <w:sz w:val="22"/>
          <w:szCs w:val="22"/>
        </w:rPr>
        <w:t xml:space="preserve"> an independent </w:t>
      </w:r>
      <w:r w:rsidR="00BC5E71" w:rsidRPr="00A71B45">
        <w:rPr>
          <w:sz w:val="22"/>
          <w:szCs w:val="22"/>
        </w:rPr>
        <w:t>group of local retailers</w:t>
      </w:r>
      <w:r w:rsidR="009454A6" w:rsidRPr="00A71B45">
        <w:rPr>
          <w:sz w:val="22"/>
          <w:szCs w:val="22"/>
        </w:rPr>
        <w:t>, supplying</w:t>
      </w:r>
      <w:r w:rsidR="000B7580" w:rsidRPr="00A71B45">
        <w:rPr>
          <w:sz w:val="22"/>
          <w:szCs w:val="22"/>
        </w:rPr>
        <w:t xml:space="preserve"> a range of products including </w:t>
      </w:r>
      <w:r w:rsidR="00AE37ED" w:rsidRPr="00A71B45">
        <w:rPr>
          <w:sz w:val="22"/>
          <w:szCs w:val="22"/>
          <w:lang w:val="en"/>
        </w:rPr>
        <w:t>stationery, office supplies, technology and furniture products, in addition to complete office solutions such as canteen, janitorial, first aid supplies and printing services</w:t>
      </w:r>
      <w:r w:rsidR="000B7580" w:rsidRPr="00A71B45">
        <w:rPr>
          <w:sz w:val="22"/>
          <w:szCs w:val="22"/>
        </w:rPr>
        <w:t>.</w:t>
      </w:r>
      <w:r w:rsidR="000B7580" w:rsidRPr="00541277">
        <w:rPr>
          <w:rStyle w:val="FootnoteReference"/>
        </w:rPr>
        <w:footnoteReference w:id="12"/>
      </w:r>
      <w:r w:rsidR="009454A6" w:rsidRPr="00541277">
        <w:t xml:space="preserve"> </w:t>
      </w:r>
      <w:r w:rsidR="00AE37ED" w:rsidRPr="00A71B45">
        <w:rPr>
          <w:sz w:val="22"/>
          <w:szCs w:val="22"/>
          <w:lang w:val="en"/>
        </w:rPr>
        <w:t xml:space="preserve">It caters </w:t>
      </w:r>
      <w:r w:rsidR="00545044" w:rsidRPr="00A71B45">
        <w:rPr>
          <w:sz w:val="22"/>
          <w:szCs w:val="22"/>
        </w:rPr>
        <w:t xml:space="preserve">for </w:t>
      </w:r>
      <w:r w:rsidR="009454A6" w:rsidRPr="00A71B45">
        <w:rPr>
          <w:sz w:val="22"/>
          <w:szCs w:val="22"/>
        </w:rPr>
        <w:t xml:space="preserve">a broad range of customers including </w:t>
      </w:r>
      <w:r w:rsidR="00802AA4" w:rsidRPr="00A71B45">
        <w:rPr>
          <w:sz w:val="22"/>
          <w:szCs w:val="22"/>
        </w:rPr>
        <w:t>small and medium-sized enterprises (</w:t>
      </w:r>
      <w:r w:rsidR="009454A6" w:rsidRPr="00A71B45">
        <w:rPr>
          <w:sz w:val="22"/>
          <w:szCs w:val="22"/>
        </w:rPr>
        <w:t>SMEs</w:t>
      </w:r>
      <w:r w:rsidR="00802AA4" w:rsidRPr="00A71B45">
        <w:rPr>
          <w:sz w:val="22"/>
          <w:szCs w:val="22"/>
        </w:rPr>
        <w:t>)</w:t>
      </w:r>
      <w:r w:rsidR="009454A6" w:rsidRPr="00A71B45">
        <w:rPr>
          <w:sz w:val="22"/>
          <w:szCs w:val="22"/>
        </w:rPr>
        <w:t xml:space="preserve">, government </w:t>
      </w:r>
      <w:r w:rsidR="00802AA4" w:rsidRPr="00A71B45">
        <w:rPr>
          <w:sz w:val="22"/>
          <w:szCs w:val="22"/>
        </w:rPr>
        <w:t>customers</w:t>
      </w:r>
      <w:r w:rsidR="009454A6" w:rsidRPr="00A71B45">
        <w:rPr>
          <w:sz w:val="22"/>
          <w:szCs w:val="22"/>
        </w:rPr>
        <w:t xml:space="preserve">, educational institutions and </w:t>
      </w:r>
      <w:r w:rsidR="00802AA4" w:rsidRPr="00A71B45">
        <w:rPr>
          <w:sz w:val="22"/>
          <w:szCs w:val="22"/>
        </w:rPr>
        <w:t>individual</w:t>
      </w:r>
      <w:r w:rsidR="00545044" w:rsidRPr="00A71B45">
        <w:rPr>
          <w:sz w:val="22"/>
          <w:szCs w:val="22"/>
        </w:rPr>
        <w:t xml:space="preserve"> </w:t>
      </w:r>
      <w:r w:rsidR="009454A6" w:rsidRPr="00A71B45">
        <w:rPr>
          <w:sz w:val="22"/>
          <w:szCs w:val="22"/>
        </w:rPr>
        <w:t>customers.</w:t>
      </w:r>
      <w:r w:rsidR="009454A6">
        <w:rPr>
          <w:rStyle w:val="FootnoteReference"/>
        </w:rPr>
        <w:footnoteReference w:id="13"/>
      </w:r>
      <w:r w:rsidR="009454A6">
        <w:t xml:space="preserve"> </w:t>
      </w:r>
    </w:p>
    <w:p w:rsidR="009454A6" w:rsidRDefault="009454A6" w:rsidP="00A71B45">
      <w:pPr>
        <w:pStyle w:val="Default"/>
        <w:numPr>
          <w:ilvl w:val="1"/>
          <w:numId w:val="2"/>
        </w:numPr>
        <w:autoSpaceDE/>
        <w:autoSpaceDN/>
        <w:adjustRightInd/>
        <w:spacing w:after="240"/>
      </w:pPr>
      <w:r w:rsidRPr="00A71B45">
        <w:rPr>
          <w:sz w:val="22"/>
          <w:szCs w:val="22"/>
        </w:rPr>
        <w:t>Quick Corporate</w:t>
      </w:r>
      <w:r w:rsidR="00AE37ED" w:rsidRPr="00A71B45">
        <w:rPr>
          <w:sz w:val="22"/>
          <w:szCs w:val="22"/>
        </w:rPr>
        <w:t xml:space="preserve"> Australia Pty Ltd</w:t>
      </w:r>
      <w:r w:rsidR="00B729BB" w:rsidRPr="00A71B45">
        <w:rPr>
          <w:sz w:val="22"/>
          <w:szCs w:val="22"/>
        </w:rPr>
        <w:t>:</w:t>
      </w:r>
      <w:r w:rsidRPr="00A71B45">
        <w:rPr>
          <w:sz w:val="22"/>
          <w:szCs w:val="22"/>
        </w:rPr>
        <w:t xml:space="preserve"> a member of the </w:t>
      </w:r>
      <w:r w:rsidR="00646197" w:rsidRPr="00A71B45">
        <w:rPr>
          <w:sz w:val="22"/>
          <w:szCs w:val="22"/>
        </w:rPr>
        <w:t>Office Choice</w:t>
      </w:r>
      <w:r w:rsidR="00F47AC2" w:rsidRPr="00A71B45">
        <w:rPr>
          <w:sz w:val="22"/>
          <w:szCs w:val="22"/>
        </w:rPr>
        <w:t xml:space="preserve"> </w:t>
      </w:r>
      <w:r w:rsidRPr="00A71B45">
        <w:rPr>
          <w:sz w:val="22"/>
          <w:szCs w:val="22"/>
        </w:rPr>
        <w:t>buying group.</w:t>
      </w:r>
      <w:r w:rsidR="00646197">
        <w:rPr>
          <w:rStyle w:val="FootnoteReference"/>
        </w:rPr>
        <w:footnoteReference w:id="14"/>
      </w:r>
      <w:r>
        <w:t xml:space="preserve"> </w:t>
      </w:r>
      <w:r w:rsidR="00646197" w:rsidRPr="00A71B45">
        <w:rPr>
          <w:sz w:val="22"/>
          <w:szCs w:val="22"/>
        </w:rPr>
        <w:t>It provides a range of products, for example, office supplies, paper, ink and toner, technology, facilities supplies, furniture and print management.</w:t>
      </w:r>
      <w:r w:rsidR="00646197">
        <w:rPr>
          <w:rStyle w:val="FootnoteReference"/>
        </w:rPr>
        <w:footnoteReference w:id="15"/>
      </w:r>
      <w:r w:rsidR="00646197">
        <w:t xml:space="preserve"> </w:t>
      </w:r>
      <w:r w:rsidRPr="00A71B45">
        <w:rPr>
          <w:sz w:val="22"/>
          <w:szCs w:val="22"/>
        </w:rPr>
        <w:t xml:space="preserve">It is located in </w:t>
      </w:r>
      <w:r w:rsidR="00C14193" w:rsidRPr="00A71B45">
        <w:rPr>
          <w:sz w:val="22"/>
          <w:szCs w:val="22"/>
        </w:rPr>
        <w:t>New South Wales, Victoria, Queensland, Western Australia and South Australia</w:t>
      </w:r>
      <w:r w:rsidRPr="00A71B45">
        <w:rPr>
          <w:sz w:val="22"/>
          <w:szCs w:val="22"/>
        </w:rPr>
        <w:t>.</w:t>
      </w:r>
      <w:r>
        <w:rPr>
          <w:rStyle w:val="FootnoteReference"/>
        </w:rPr>
        <w:footnoteReference w:id="16"/>
      </w:r>
    </w:p>
    <w:p w:rsidR="004A76DD" w:rsidRDefault="00C74B60" w:rsidP="004A76DD">
      <w:pPr>
        <w:pStyle w:val="Heading3"/>
      </w:pPr>
      <w:r>
        <w:t>Previous ACCC decisions</w:t>
      </w:r>
    </w:p>
    <w:p w:rsidR="004A76DD" w:rsidRPr="004A76DD" w:rsidRDefault="004A76DD" w:rsidP="00C64242">
      <w:pPr>
        <w:pStyle w:val="Heading4"/>
      </w:pPr>
      <w:proofErr w:type="gramStart"/>
      <w:r>
        <w:t xml:space="preserve">2015 ACCC review of </w:t>
      </w:r>
      <w:r w:rsidR="00AC2252">
        <w:t>Staples</w:t>
      </w:r>
      <w:r w:rsidR="00231ED2">
        <w:t>,</w:t>
      </w:r>
      <w:r w:rsidR="00AC2252">
        <w:t xml:space="preserve"> Inc.’s </w:t>
      </w:r>
      <w:r>
        <w:t xml:space="preserve">proposed acquisition </w:t>
      </w:r>
      <w:r w:rsidR="00B061C0">
        <w:t>of Office</w:t>
      </w:r>
      <w:r w:rsidR="00AC2252">
        <w:t xml:space="preserve"> Depot</w:t>
      </w:r>
      <w:r w:rsidR="00231ED2">
        <w:t>,</w:t>
      </w:r>
      <w:r w:rsidR="00AC2252">
        <w:t xml:space="preserve"> Inc.</w:t>
      </w:r>
      <w:proofErr w:type="gramEnd"/>
      <w:r w:rsidR="00AC2252">
        <w:t xml:space="preserve"> </w:t>
      </w:r>
    </w:p>
    <w:p w:rsidR="004A76DD" w:rsidRDefault="00393977" w:rsidP="00C64242">
      <w:pPr>
        <w:pStyle w:val="Numbered"/>
      </w:pPr>
      <w:r>
        <w:t xml:space="preserve">In 2015, </w:t>
      </w:r>
      <w:r w:rsidR="004A76DD">
        <w:t>Staples</w:t>
      </w:r>
      <w:r w:rsidR="00231ED2">
        <w:t>,</w:t>
      </w:r>
      <w:r w:rsidR="004A76DD">
        <w:t xml:space="preserve"> Inc. </w:t>
      </w:r>
      <w:r w:rsidR="00AC2252">
        <w:t xml:space="preserve">proposed to acquire </w:t>
      </w:r>
      <w:r w:rsidR="004A76DD">
        <w:t>Office Depot</w:t>
      </w:r>
      <w:r w:rsidR="00231ED2">
        <w:t>,</w:t>
      </w:r>
      <w:r w:rsidR="004A76DD">
        <w:t xml:space="preserve"> Inc. </w:t>
      </w:r>
      <w:r>
        <w:t xml:space="preserve">The ACCC conducted a public review of </w:t>
      </w:r>
      <w:r w:rsidR="003449BA">
        <w:t xml:space="preserve">that </w:t>
      </w:r>
      <w:r w:rsidR="00DD4878">
        <w:t>transaction</w:t>
      </w:r>
      <w:r>
        <w:t xml:space="preserve"> </w:t>
      </w:r>
      <w:r w:rsidR="003449BA">
        <w:t xml:space="preserve">insofar as it concerned the Australian businesses of Staples and OfficeMax. It </w:t>
      </w:r>
      <w:r w:rsidR="004A76DD">
        <w:t>decided not to oppose th</w:t>
      </w:r>
      <w:r w:rsidR="00DD4878">
        <w:t>at transaction</w:t>
      </w:r>
      <w:r w:rsidR="00B70D19">
        <w:t xml:space="preserve">. On the basis of its </w:t>
      </w:r>
      <w:r w:rsidR="00D33F81">
        <w:t xml:space="preserve">review </w:t>
      </w:r>
      <w:r w:rsidR="00B70D19">
        <w:t>at that time</w:t>
      </w:r>
      <w:r w:rsidR="001312F1">
        <w:t>, the ACCC considered that the acquisition was unlikely to raise competition concerns in Australia.</w:t>
      </w:r>
      <w:r w:rsidR="001312F1">
        <w:rPr>
          <w:rStyle w:val="FootnoteReference"/>
        </w:rPr>
        <w:footnoteReference w:id="17"/>
      </w:r>
      <w:r w:rsidR="001312F1">
        <w:t xml:space="preserve"> Staples</w:t>
      </w:r>
      <w:r w:rsidR="00231ED2">
        <w:t>,</w:t>
      </w:r>
      <w:r w:rsidR="001312F1">
        <w:t xml:space="preserve"> Inc. and Office Depot</w:t>
      </w:r>
      <w:r w:rsidR="00231ED2">
        <w:t>,</w:t>
      </w:r>
      <w:r w:rsidR="001312F1">
        <w:t xml:space="preserve"> Inc. decided to terminate the global transaction in May 2016 after </w:t>
      </w:r>
      <w:r w:rsidR="001C76C2">
        <w:t xml:space="preserve">a </w:t>
      </w:r>
      <w:r w:rsidR="001312F1">
        <w:t>U</w:t>
      </w:r>
      <w:r w:rsidR="001C76C2">
        <w:t xml:space="preserve">nited </w:t>
      </w:r>
      <w:r w:rsidR="001312F1">
        <w:t>S</w:t>
      </w:r>
      <w:r w:rsidR="001C76C2">
        <w:t>tates</w:t>
      </w:r>
      <w:r w:rsidR="001312F1">
        <w:t xml:space="preserve"> District Court granted a preliminary injunction after the </w:t>
      </w:r>
      <w:r w:rsidR="001C76C2">
        <w:t xml:space="preserve">United States </w:t>
      </w:r>
      <w:r w:rsidR="001312F1">
        <w:t xml:space="preserve">Federal Trade Commission filed an administrative complaint challenging the </w:t>
      </w:r>
      <w:r w:rsidR="001C76C2">
        <w:t>transaction</w:t>
      </w:r>
      <w:r w:rsidR="001312F1">
        <w:t>.</w:t>
      </w:r>
      <w:r w:rsidR="00B70D19">
        <w:rPr>
          <w:rStyle w:val="FootnoteReference"/>
        </w:rPr>
        <w:footnoteReference w:id="18"/>
      </w:r>
    </w:p>
    <w:p w:rsidR="00DF41FD" w:rsidRDefault="00063745" w:rsidP="00C64242">
      <w:pPr>
        <w:pStyle w:val="Numbered"/>
      </w:pPr>
      <w:r>
        <w:t xml:space="preserve">The </w:t>
      </w:r>
      <w:r w:rsidR="00DF41FD" w:rsidRPr="00FC578B">
        <w:t xml:space="preserve">ACCC </w:t>
      </w:r>
      <w:r w:rsidR="001528A9">
        <w:t xml:space="preserve">notes that </w:t>
      </w:r>
      <w:r w:rsidR="00DF41FD" w:rsidRPr="00FC578B">
        <w:t xml:space="preserve">in </w:t>
      </w:r>
      <w:r w:rsidR="001528A9">
        <w:t>2015 v</w:t>
      </w:r>
      <w:r w:rsidR="001528A9" w:rsidRPr="00D82681">
        <w:t xml:space="preserve">ery few concerns were expressed by market participants and the ACCC considered that </w:t>
      </w:r>
      <w:proofErr w:type="spellStart"/>
      <w:r w:rsidR="001528A9" w:rsidRPr="00D82681">
        <w:t>Officeworks</w:t>
      </w:r>
      <w:proofErr w:type="spellEnd"/>
      <w:r w:rsidR="00473985">
        <w:t xml:space="preserve">, </w:t>
      </w:r>
      <w:r w:rsidR="00473985" w:rsidRPr="00D71086">
        <w:rPr>
          <w:lang w:val="en"/>
        </w:rPr>
        <w:t>the largest supplier in the wider Australian office products industry,</w:t>
      </w:r>
      <w:r w:rsidR="001528A9" w:rsidRPr="00D82681">
        <w:t xml:space="preserve"> </w:t>
      </w:r>
      <w:r w:rsidR="00473985">
        <w:t xml:space="preserve">was </w:t>
      </w:r>
      <w:r w:rsidR="001528A9" w:rsidRPr="00D82681">
        <w:t>likely, in the future, to be a credible competitive threat</w:t>
      </w:r>
      <w:r w:rsidR="001528A9">
        <w:t xml:space="preserve"> to the merged firm</w:t>
      </w:r>
      <w:r w:rsidR="001528A9" w:rsidRPr="00D82681">
        <w:t xml:space="preserve">. A higher level of concern is being expressed from market participants </w:t>
      </w:r>
      <w:r w:rsidR="001528A9">
        <w:t>in the context of the proposed acquisition this time round</w:t>
      </w:r>
      <w:r w:rsidR="001528A9" w:rsidRPr="00D82681">
        <w:t xml:space="preserve">, and </w:t>
      </w:r>
      <w:r w:rsidR="00473985">
        <w:t xml:space="preserve">market inquiries suggest that </w:t>
      </w:r>
      <w:proofErr w:type="spellStart"/>
      <w:r w:rsidR="001528A9">
        <w:t>Officeworks</w:t>
      </w:r>
      <w:proofErr w:type="spellEnd"/>
      <w:r w:rsidR="001528A9">
        <w:t xml:space="preserve"> </w:t>
      </w:r>
      <w:r w:rsidR="00473985">
        <w:t xml:space="preserve">has not </w:t>
      </w:r>
      <w:r w:rsidR="001528A9">
        <w:t xml:space="preserve">expanded </w:t>
      </w:r>
      <w:r w:rsidR="00FB6807">
        <w:t xml:space="preserve">significantly </w:t>
      </w:r>
      <w:r w:rsidR="00473985">
        <w:t>int</w:t>
      </w:r>
      <w:r w:rsidR="001528A9">
        <w:t xml:space="preserve">o </w:t>
      </w:r>
      <w:r w:rsidR="00473985">
        <w:t xml:space="preserve">the </w:t>
      </w:r>
      <w:r w:rsidR="001528A9">
        <w:t xml:space="preserve">supply </w:t>
      </w:r>
      <w:r w:rsidR="00F739FA">
        <w:t xml:space="preserve">of </w:t>
      </w:r>
      <w:r w:rsidR="001528A9">
        <w:t>large customers</w:t>
      </w:r>
      <w:r w:rsidR="00F739FA">
        <w:t xml:space="preserve"> and </w:t>
      </w:r>
      <w:r w:rsidR="00F739FA" w:rsidRPr="00FC578B">
        <w:t>appears to have no plans to do so</w:t>
      </w:r>
      <w:r w:rsidR="001528A9">
        <w:t>.</w:t>
      </w:r>
    </w:p>
    <w:p w:rsidR="00B061C0" w:rsidRDefault="00B061C0" w:rsidP="00B660E0">
      <w:pPr>
        <w:pStyle w:val="Heading3"/>
        <w:keepLines/>
      </w:pPr>
      <w:r>
        <w:lastRenderedPageBreak/>
        <w:t>Related reviews</w:t>
      </w:r>
    </w:p>
    <w:p w:rsidR="004A76DD" w:rsidRDefault="004A76DD" w:rsidP="00C64242">
      <w:pPr>
        <w:pStyle w:val="Heading4"/>
      </w:pPr>
      <w:r>
        <w:t>Proposed acquisition of OfficeMax Australia by C</w:t>
      </w:r>
      <w:r w:rsidR="00B061C0">
        <w:t>omplete Office Supplies</w:t>
      </w:r>
    </w:p>
    <w:p w:rsidR="004A76DD" w:rsidRPr="004A76DD" w:rsidRDefault="00467437" w:rsidP="00C64242">
      <w:pPr>
        <w:pStyle w:val="Numbered"/>
        <w:numPr>
          <w:ilvl w:val="0"/>
          <w:numId w:val="8"/>
        </w:numPr>
      </w:pPr>
      <w:r>
        <w:t xml:space="preserve">On 20 July 2017, the ACCC commenced a public review of a </w:t>
      </w:r>
      <w:r w:rsidR="00F02A76">
        <w:t xml:space="preserve">proposal </w:t>
      </w:r>
      <w:r w:rsidR="00E70750">
        <w:t xml:space="preserve">by COS </w:t>
      </w:r>
      <w:r w:rsidR="00F02A76">
        <w:t xml:space="preserve">to acquire </w:t>
      </w:r>
      <w:r>
        <w:t>OfficeMax.</w:t>
      </w:r>
      <w:r w:rsidR="00F02A76">
        <w:t xml:space="preserve"> Th</w:t>
      </w:r>
      <w:r w:rsidR="00E70750">
        <w:t xml:space="preserve">at </w:t>
      </w:r>
      <w:r w:rsidR="00F02A76">
        <w:t xml:space="preserve">review is ongoing, and </w:t>
      </w:r>
      <w:r w:rsidR="00E70750">
        <w:t xml:space="preserve">information </w:t>
      </w:r>
      <w:r w:rsidR="00F02A76">
        <w:t xml:space="preserve">is available on the ACCC’s </w:t>
      </w:r>
      <w:hyperlink r:id="rId17" w:history="1">
        <w:r w:rsidR="00931FB2">
          <w:rPr>
            <w:rStyle w:val="Hyperlink"/>
          </w:rPr>
          <w:t>public register</w:t>
        </w:r>
      </w:hyperlink>
      <w:r w:rsidR="00F02A76">
        <w:t>.</w:t>
      </w:r>
    </w:p>
    <w:p w:rsidR="009170BF" w:rsidRPr="00004E1E" w:rsidRDefault="009170BF" w:rsidP="00F072A1">
      <w:pPr>
        <w:pStyle w:val="Heading3"/>
      </w:pPr>
      <w:r w:rsidRPr="00004E1E">
        <w:t>Market definition</w:t>
      </w:r>
    </w:p>
    <w:p w:rsidR="009170BF" w:rsidRPr="00C64242" w:rsidRDefault="009170BF" w:rsidP="00C64242">
      <w:pPr>
        <w:pStyle w:val="Numbered"/>
        <w:numPr>
          <w:ilvl w:val="0"/>
          <w:numId w:val="8"/>
        </w:numPr>
        <w:rPr>
          <w:rFonts w:eastAsia="Calibri"/>
        </w:rPr>
      </w:pPr>
      <w:r w:rsidRPr="00004E1E">
        <w:t xml:space="preserve">The ACCC’s preliminary view is that the relevant market for assessing the competitive effects of the proposed acquisition is </w:t>
      </w:r>
      <w:r w:rsidR="00A41588">
        <w:t xml:space="preserve">likely to be </w:t>
      </w:r>
      <w:r w:rsidRPr="00004E1E">
        <w:t>the</w:t>
      </w:r>
      <w:r w:rsidR="00A87AD9">
        <w:t xml:space="preserve"> </w:t>
      </w:r>
      <w:r w:rsidRPr="00004E1E">
        <w:t xml:space="preserve">supply of </w:t>
      </w:r>
      <w:r>
        <w:t xml:space="preserve">traditional </w:t>
      </w:r>
      <w:r w:rsidRPr="00004E1E">
        <w:t xml:space="preserve">office products to </w:t>
      </w:r>
      <w:r w:rsidRPr="002E1279">
        <w:t>large</w:t>
      </w:r>
      <w:r w:rsidRPr="00004E1E">
        <w:t xml:space="preserve"> </w:t>
      </w:r>
      <w:r w:rsidR="00CA40EE">
        <w:t xml:space="preserve">commercial and government </w:t>
      </w:r>
      <w:r w:rsidRPr="00004E1E">
        <w:t>customers</w:t>
      </w:r>
      <w:r w:rsidR="00CA40EE">
        <w:t xml:space="preserve"> in Australia</w:t>
      </w:r>
      <w:r w:rsidRPr="00004E1E">
        <w:t>.</w:t>
      </w:r>
    </w:p>
    <w:p w:rsidR="009170BF" w:rsidRPr="00004E1E" w:rsidRDefault="009170BF" w:rsidP="00C64242">
      <w:pPr>
        <w:pStyle w:val="Heading4"/>
      </w:pPr>
      <w:r w:rsidRPr="00004E1E">
        <w:t>Product dimension of the market</w:t>
      </w:r>
    </w:p>
    <w:p w:rsidR="009170BF" w:rsidRPr="00C64242" w:rsidRDefault="009170BF" w:rsidP="00C64242">
      <w:pPr>
        <w:pStyle w:val="Numbered"/>
        <w:numPr>
          <w:ilvl w:val="0"/>
          <w:numId w:val="8"/>
        </w:numPr>
        <w:rPr>
          <w:rFonts w:eastAsia="Calibri"/>
        </w:rPr>
      </w:pPr>
      <w:r w:rsidRPr="00004E1E">
        <w:t xml:space="preserve">The ACCC’s starting point for delineating relevant markets to assess the competitive effects of the proposed acquisition involves identifying the products actually or potentially supplied by the merger parties. The ACCC then considers what other products </w:t>
      </w:r>
      <w:r w:rsidR="008A4D0E">
        <w:t xml:space="preserve">and sources of supply </w:t>
      </w:r>
      <w:r w:rsidRPr="00004E1E">
        <w:t>constitute sufficiently close substitutes to provide a significant source of constraint on the merged firm.</w:t>
      </w:r>
    </w:p>
    <w:p w:rsidR="009170BF" w:rsidRPr="006D5392" w:rsidRDefault="009170BF" w:rsidP="00C64242">
      <w:pPr>
        <w:pStyle w:val="Numbered"/>
        <w:numPr>
          <w:ilvl w:val="0"/>
          <w:numId w:val="0"/>
        </w:numPr>
        <w:rPr>
          <w:i/>
        </w:rPr>
      </w:pPr>
      <w:r w:rsidRPr="006D5392">
        <w:rPr>
          <w:i/>
        </w:rPr>
        <w:t>Office product categories</w:t>
      </w:r>
    </w:p>
    <w:p w:rsidR="009170BF" w:rsidRPr="00004E1E" w:rsidRDefault="009170BF" w:rsidP="00C64242">
      <w:pPr>
        <w:pStyle w:val="Numbered"/>
        <w:numPr>
          <w:ilvl w:val="0"/>
          <w:numId w:val="8"/>
        </w:numPr>
      </w:pPr>
      <w:r>
        <w:t>T</w:t>
      </w:r>
      <w:r w:rsidRPr="00004E1E">
        <w:t>wo broad categories of office products</w:t>
      </w:r>
      <w:r>
        <w:t xml:space="preserve"> can be distinguished</w:t>
      </w:r>
      <w:r w:rsidRPr="00004E1E">
        <w:t xml:space="preserve">: ‘core’ and ‘non-core’ products, which are also referred to as ‘traditional’ and ‘non-traditional’ products respectively. </w:t>
      </w:r>
      <w:r>
        <w:t xml:space="preserve">Industry reports produced by </w:t>
      </w:r>
      <w:proofErr w:type="spellStart"/>
      <w:r>
        <w:t>Penfold</w:t>
      </w:r>
      <w:proofErr w:type="spellEnd"/>
      <w:r>
        <w:t xml:space="preserve"> Research for the Australian office products industry (which </w:t>
      </w:r>
      <w:r w:rsidR="00253BCD">
        <w:t xml:space="preserve">include information obtained from </w:t>
      </w:r>
      <w:r>
        <w:t xml:space="preserve">industry participants) </w:t>
      </w:r>
      <w:r w:rsidRPr="00004E1E">
        <w:t>defin</w:t>
      </w:r>
      <w:r>
        <w:t>e those categories</w:t>
      </w:r>
      <w:r w:rsidRPr="00004E1E">
        <w:t xml:space="preserve"> a</w:t>
      </w:r>
      <w:r w:rsidR="00615849">
        <w:t>long the following lines</w:t>
      </w:r>
      <w:r w:rsidRPr="00004E1E">
        <w:t>:</w:t>
      </w:r>
    </w:p>
    <w:p w:rsidR="009170BF" w:rsidRPr="00004E1E" w:rsidRDefault="009170BF" w:rsidP="00C64242">
      <w:pPr>
        <w:pStyle w:val="Numbered"/>
        <w:numPr>
          <w:ilvl w:val="1"/>
          <w:numId w:val="8"/>
        </w:numPr>
      </w:pPr>
      <w:r w:rsidRPr="00004E1E">
        <w:t>‘Core’ office products: include consumable office products such as writing instruments, paper, labels, envelopes, filing and presentation products, general stationery, ink and toner.</w:t>
      </w:r>
    </w:p>
    <w:p w:rsidR="009170BF" w:rsidRPr="00004E1E" w:rsidRDefault="009170BF" w:rsidP="00C64242">
      <w:pPr>
        <w:pStyle w:val="Numbered"/>
        <w:numPr>
          <w:ilvl w:val="1"/>
          <w:numId w:val="8"/>
        </w:numPr>
      </w:pPr>
      <w:r w:rsidRPr="00004E1E">
        <w:t xml:space="preserve">‘Non-core’ products: comprise a broader range of products used in the workplace that have not traditionally been supplied by office product suppliers. These include printing solutions, </w:t>
      </w:r>
      <w:r w:rsidR="00615849" w:rsidRPr="00615849">
        <w:rPr>
          <w:lang w:val="en"/>
        </w:rPr>
        <w:t xml:space="preserve">cleaning </w:t>
      </w:r>
      <w:r w:rsidR="00615849">
        <w:rPr>
          <w:lang w:val="en"/>
        </w:rPr>
        <w:t>and</w:t>
      </w:r>
      <w:r w:rsidR="00615849" w:rsidRPr="00615849">
        <w:rPr>
          <w:lang w:val="en"/>
        </w:rPr>
        <w:t xml:space="preserve"> janitorial products</w:t>
      </w:r>
      <w:r w:rsidR="00615849">
        <w:rPr>
          <w:lang w:val="en"/>
        </w:rPr>
        <w:t>,</w:t>
      </w:r>
      <w:r w:rsidRPr="00004E1E">
        <w:t xml:space="preserve"> kitchen supplies, office furniture, work wear and safety equipment.</w:t>
      </w:r>
      <w:r w:rsidR="008631F5">
        <w:rPr>
          <w:rStyle w:val="FootnoteReference"/>
        </w:rPr>
        <w:footnoteReference w:id="19"/>
      </w:r>
    </w:p>
    <w:p w:rsidR="009170BF" w:rsidRDefault="009170BF" w:rsidP="00C64242">
      <w:pPr>
        <w:pStyle w:val="Numbered"/>
        <w:numPr>
          <w:ilvl w:val="0"/>
          <w:numId w:val="8"/>
        </w:numPr>
      </w:pPr>
      <w:r w:rsidRPr="008928EA">
        <w:t xml:space="preserve">The ACCC has considered whether the relevant product market in which to assess the competitive impact of the proposed </w:t>
      </w:r>
      <w:r w:rsidR="00F36217">
        <w:t>acquisition</w:t>
      </w:r>
      <w:r w:rsidR="00F36217" w:rsidRPr="008928EA">
        <w:t xml:space="preserve"> </w:t>
      </w:r>
      <w:r w:rsidRPr="008928EA">
        <w:t>is a broad market</w:t>
      </w:r>
      <w:r>
        <w:t xml:space="preserve"> including </w:t>
      </w:r>
      <w:proofErr w:type="gramStart"/>
      <w:r>
        <w:t>both ‘core’ and ‘non-core’ office products</w:t>
      </w:r>
      <w:r w:rsidRPr="008928EA">
        <w:t>, or</w:t>
      </w:r>
      <w:proofErr w:type="gramEnd"/>
      <w:r w:rsidRPr="008928EA">
        <w:t xml:space="preserve"> a </w:t>
      </w:r>
      <w:r w:rsidR="0005749B">
        <w:t xml:space="preserve">narrower </w:t>
      </w:r>
      <w:r w:rsidRPr="008928EA">
        <w:t xml:space="preserve">market for </w:t>
      </w:r>
      <w:r>
        <w:t xml:space="preserve">‘core’ or </w:t>
      </w:r>
      <w:r w:rsidR="00541277">
        <w:t>‘</w:t>
      </w:r>
      <w:r>
        <w:t xml:space="preserve">traditional’ office </w:t>
      </w:r>
      <w:r w:rsidR="00253BCD">
        <w:t>products</w:t>
      </w:r>
      <w:r>
        <w:t>.</w:t>
      </w:r>
      <w:r w:rsidRPr="008928EA">
        <w:t xml:space="preserve"> </w:t>
      </w:r>
    </w:p>
    <w:p w:rsidR="00C46FB5" w:rsidRDefault="003D378F" w:rsidP="00C64242">
      <w:pPr>
        <w:pStyle w:val="Numbered"/>
        <w:numPr>
          <w:ilvl w:val="0"/>
          <w:numId w:val="8"/>
        </w:numPr>
      </w:pPr>
      <w:r>
        <w:t xml:space="preserve">The ACCC is of the preliminary view that </w:t>
      </w:r>
      <w:r w:rsidRPr="00004E1E">
        <w:t xml:space="preserve">the </w:t>
      </w:r>
      <w:r w:rsidR="00F81C48">
        <w:t xml:space="preserve">relevant market for assessing the </w:t>
      </w:r>
      <w:r w:rsidR="0048790F">
        <w:t xml:space="preserve">potential </w:t>
      </w:r>
      <w:r w:rsidR="00F81C48">
        <w:t xml:space="preserve">impact </w:t>
      </w:r>
      <w:r w:rsidR="0048790F">
        <w:t xml:space="preserve">on competition </w:t>
      </w:r>
      <w:r w:rsidR="00F81C48">
        <w:t xml:space="preserve">of the proposed acquisition </w:t>
      </w:r>
      <w:r w:rsidRPr="00004E1E">
        <w:t>i</w:t>
      </w:r>
      <w:r w:rsidR="00F81C48">
        <w:t>s</w:t>
      </w:r>
      <w:r w:rsidRPr="00004E1E">
        <w:t xml:space="preserve"> </w:t>
      </w:r>
      <w:r w:rsidR="00607BA1">
        <w:t xml:space="preserve">likely to be </w:t>
      </w:r>
      <w:r w:rsidRPr="00004E1E">
        <w:t xml:space="preserve">the market for the supply of </w:t>
      </w:r>
      <w:r>
        <w:t xml:space="preserve">traditional </w:t>
      </w:r>
      <w:r w:rsidRPr="00004E1E">
        <w:t>office products</w:t>
      </w:r>
      <w:r>
        <w:t xml:space="preserve">. </w:t>
      </w:r>
    </w:p>
    <w:p w:rsidR="00C46FB5" w:rsidRDefault="00C46FB5" w:rsidP="00C64242">
      <w:pPr>
        <w:pStyle w:val="Numbered"/>
        <w:numPr>
          <w:ilvl w:val="0"/>
          <w:numId w:val="8"/>
        </w:numPr>
      </w:pPr>
      <w:r>
        <w:lastRenderedPageBreak/>
        <w:t>The ACCC acknowledges that ‘traditional’ or ‘core’ office products suppliers, such as Staples and OfficeMax, appear to have broadened their product ranges in recent years to include ‘non-traditional’ or ‘non-core’ products.</w:t>
      </w:r>
      <w:r w:rsidR="004F3D3D">
        <w:t xml:space="preserve"> However, the ACCC notes that for ‘non-traditional’ office product</w:t>
      </w:r>
      <w:r w:rsidR="00B729BB">
        <w:t>s</w:t>
      </w:r>
      <w:r w:rsidR="00F5005D">
        <w:t>,</w:t>
      </w:r>
      <w:r w:rsidR="004F3D3D">
        <w:t xml:space="preserve"> customers are more able to substitute to alternatives than for ‘</w:t>
      </w:r>
      <w:r w:rsidR="009B5FC1">
        <w:t>traditional’</w:t>
      </w:r>
      <w:r w:rsidR="004F3D3D">
        <w:t xml:space="preserve"> office products, such that a combined Staples-OfficeMax would not be able to profitably raise the prices of those products. In particular, there is a range of other suppliers of ‘non-core’ office products, such as Bunzl (cleaning services) and Woolworths (kitchen supplies).</w:t>
      </w:r>
    </w:p>
    <w:p w:rsidR="00886FDB" w:rsidRDefault="00987882" w:rsidP="00C64242">
      <w:pPr>
        <w:pStyle w:val="Numbered"/>
        <w:numPr>
          <w:ilvl w:val="0"/>
          <w:numId w:val="8"/>
        </w:numPr>
      </w:pPr>
      <w:r>
        <w:t xml:space="preserve">There is </w:t>
      </w:r>
      <w:r w:rsidR="00642F69">
        <w:t xml:space="preserve">also </w:t>
      </w:r>
      <w:r>
        <w:t xml:space="preserve">a question as to whether </w:t>
      </w:r>
      <w:r w:rsidR="00CA1FCD">
        <w:t xml:space="preserve">customers may be more able to substitute to alternative suppliers for </w:t>
      </w:r>
      <w:r>
        <w:t xml:space="preserve">some of the products </w:t>
      </w:r>
      <w:r w:rsidR="00CA1FCD">
        <w:t xml:space="preserve">included </w:t>
      </w:r>
      <w:r>
        <w:t xml:space="preserve">in the </w:t>
      </w:r>
      <w:r w:rsidR="00540811">
        <w:t>‘</w:t>
      </w:r>
      <w:r>
        <w:t>core</w:t>
      </w:r>
      <w:r w:rsidR="00540811">
        <w:t xml:space="preserve">’ </w:t>
      </w:r>
      <w:r w:rsidR="00CA1FCD">
        <w:t xml:space="preserve">or ‘traditional’ </w:t>
      </w:r>
      <w:r w:rsidR="00540811">
        <w:t xml:space="preserve">office </w:t>
      </w:r>
      <w:r>
        <w:t xml:space="preserve">products </w:t>
      </w:r>
      <w:r w:rsidR="00CA1FCD">
        <w:t>category, such as ink and toner, or paper, such that the combined Staples-OfficeMax may not have the ability or incentive to raise the price of such products</w:t>
      </w:r>
      <w:r>
        <w:t xml:space="preserve">. For example, </w:t>
      </w:r>
      <w:r w:rsidR="00540811">
        <w:t xml:space="preserve">it appears that </w:t>
      </w:r>
      <w:r>
        <w:t>i</w:t>
      </w:r>
      <w:r w:rsidR="009170BF">
        <w:t xml:space="preserve">nk and toner </w:t>
      </w:r>
      <w:r w:rsidR="0068381F">
        <w:t xml:space="preserve">are </w:t>
      </w:r>
      <w:r w:rsidR="009170BF">
        <w:t xml:space="preserve">often </w:t>
      </w:r>
      <w:r>
        <w:t xml:space="preserve">supplied </w:t>
      </w:r>
      <w:r w:rsidR="009170BF">
        <w:t xml:space="preserve">separately by vendors of managed print services (MPS), such as Hewlett-Packard and Fuji Xerox. </w:t>
      </w:r>
    </w:p>
    <w:p w:rsidR="009170BF" w:rsidRPr="00004E1E" w:rsidRDefault="00886FDB" w:rsidP="00C64242">
      <w:pPr>
        <w:pStyle w:val="Numbered"/>
        <w:numPr>
          <w:ilvl w:val="0"/>
          <w:numId w:val="8"/>
        </w:numPr>
      </w:pPr>
      <w:r>
        <w:t>A</w:t>
      </w:r>
      <w:r w:rsidR="009170BF">
        <w:t>t this stage, the ACCC considers that it can be left open whether separate product market</w:t>
      </w:r>
      <w:r w:rsidR="00553F27">
        <w:t>s</w:t>
      </w:r>
      <w:r w:rsidR="009170BF">
        <w:t xml:space="preserve"> </w:t>
      </w:r>
      <w:r>
        <w:t>sh</w:t>
      </w:r>
      <w:r w:rsidR="009170BF">
        <w:t>ould be defined for separate product categories, such as ink and toner</w:t>
      </w:r>
      <w:r w:rsidR="00607BA1">
        <w:t>,</w:t>
      </w:r>
      <w:r w:rsidR="009170BF">
        <w:t xml:space="preserve"> </w:t>
      </w:r>
      <w:r w:rsidR="00320D1D">
        <w:t>or paper</w:t>
      </w:r>
      <w:r>
        <w:t>. T</w:t>
      </w:r>
      <w:r w:rsidR="009170BF">
        <w:t xml:space="preserve">he proposed acquisition raises preliminary </w:t>
      </w:r>
      <w:r w:rsidR="0094552D">
        <w:t xml:space="preserve">competition </w:t>
      </w:r>
      <w:r w:rsidR="009170BF">
        <w:t xml:space="preserve">concerns irrespective of whether the </w:t>
      </w:r>
      <w:r>
        <w:t xml:space="preserve">relevant </w:t>
      </w:r>
      <w:r w:rsidR="009170BF">
        <w:t xml:space="preserve">market is defined more narrowly. </w:t>
      </w:r>
      <w:r w:rsidR="009170BF" w:rsidRPr="00004E1E">
        <w:t xml:space="preserve">However, the ACCC is continuing to </w:t>
      </w:r>
      <w:r w:rsidR="009170BF">
        <w:t xml:space="preserve">examine </w:t>
      </w:r>
      <w:r w:rsidR="009170BF" w:rsidRPr="00004E1E">
        <w:t xml:space="preserve">whether particular office product categories should be included </w:t>
      </w:r>
      <w:r w:rsidR="00607BA1">
        <w:t xml:space="preserve">in </w:t>
      </w:r>
      <w:r w:rsidR="009170BF" w:rsidRPr="00004E1E">
        <w:t>or excluded from the relevant product market.</w:t>
      </w:r>
      <w:r w:rsidR="009170BF">
        <w:t xml:space="preserve"> </w:t>
      </w:r>
    </w:p>
    <w:p w:rsidR="009170BF" w:rsidRPr="006D5392" w:rsidRDefault="009170BF" w:rsidP="00C64242">
      <w:pPr>
        <w:pStyle w:val="Numbered"/>
        <w:numPr>
          <w:ilvl w:val="0"/>
          <w:numId w:val="0"/>
        </w:numPr>
        <w:rPr>
          <w:i/>
        </w:rPr>
      </w:pPr>
      <w:r w:rsidRPr="006D5392">
        <w:rPr>
          <w:i/>
        </w:rPr>
        <w:t>Customer type and size</w:t>
      </w:r>
    </w:p>
    <w:p w:rsidR="009170BF" w:rsidRPr="00004E1E" w:rsidRDefault="009170BF" w:rsidP="00C64242">
      <w:pPr>
        <w:pStyle w:val="Numbered"/>
        <w:numPr>
          <w:ilvl w:val="0"/>
          <w:numId w:val="8"/>
        </w:numPr>
      </w:pPr>
      <w:r w:rsidRPr="00004E1E">
        <w:t xml:space="preserve">The information before the ACCC indicates that different customer types and sizes have different </w:t>
      </w:r>
      <w:r>
        <w:t xml:space="preserve">demand </w:t>
      </w:r>
      <w:r w:rsidRPr="00004E1E">
        <w:t xml:space="preserve">characteristics for their office products supplier. </w:t>
      </w:r>
    </w:p>
    <w:p w:rsidR="009170BF" w:rsidRPr="00004E1E" w:rsidRDefault="009170BF" w:rsidP="00C64242">
      <w:pPr>
        <w:pStyle w:val="Numbered"/>
        <w:numPr>
          <w:ilvl w:val="0"/>
          <w:numId w:val="8"/>
        </w:numPr>
      </w:pPr>
      <w:r w:rsidRPr="007D1B4F">
        <w:t>Small to medium</w:t>
      </w:r>
      <w:r w:rsidR="003818F1">
        <w:t>-sized</w:t>
      </w:r>
      <w:r w:rsidRPr="00004E1E">
        <w:t xml:space="preserve"> customers typically have less structured purchasing requirements and are less likely to require delivery to multiple locations. The</w:t>
      </w:r>
      <w:r>
        <w:t>y</w:t>
      </w:r>
      <w:r w:rsidRPr="00004E1E">
        <w:t xml:space="preserve"> are more likely to make </w:t>
      </w:r>
      <w:r w:rsidRPr="00C64242">
        <w:rPr>
          <w:i/>
        </w:rPr>
        <w:t>ad hoc</w:t>
      </w:r>
      <w:r w:rsidRPr="00004E1E">
        <w:t xml:space="preserve"> purchases of particular products when required, including from retail stores, rather than purchasing </w:t>
      </w:r>
      <w:r w:rsidR="00C713AB">
        <w:t xml:space="preserve">under </w:t>
      </w:r>
      <w:r w:rsidRPr="00004E1E">
        <w:t xml:space="preserve">a contract </w:t>
      </w:r>
      <w:r w:rsidR="00C713AB">
        <w:t xml:space="preserve">with a specialist </w:t>
      </w:r>
      <w:r w:rsidRPr="00004E1E">
        <w:t>dealer.</w:t>
      </w:r>
    </w:p>
    <w:p w:rsidR="009170BF" w:rsidRPr="00004E1E" w:rsidRDefault="009170BF" w:rsidP="00C64242">
      <w:pPr>
        <w:pStyle w:val="Numbered"/>
        <w:numPr>
          <w:ilvl w:val="0"/>
          <w:numId w:val="8"/>
        </w:numPr>
      </w:pPr>
      <w:bookmarkStart w:id="4" w:name="_Ref490823907"/>
      <w:r w:rsidRPr="00004E1E">
        <w:t xml:space="preserve">In </w:t>
      </w:r>
      <w:r w:rsidRPr="007D1B4F">
        <w:t>contrast, large</w:t>
      </w:r>
      <w:r w:rsidR="001142F6">
        <w:t xml:space="preserve"> commercial and government</w:t>
      </w:r>
      <w:r>
        <w:t xml:space="preserve"> </w:t>
      </w:r>
      <w:r w:rsidRPr="00004E1E">
        <w:t>customers require their office products supplier to exhibit distinct characteristics, including in relation to:</w:t>
      </w:r>
      <w:bookmarkEnd w:id="4"/>
    </w:p>
    <w:p w:rsidR="009170BF" w:rsidRPr="00004E1E" w:rsidRDefault="009170BF" w:rsidP="00C64242">
      <w:pPr>
        <w:pStyle w:val="Numbered"/>
        <w:numPr>
          <w:ilvl w:val="1"/>
          <w:numId w:val="8"/>
        </w:numPr>
      </w:pPr>
      <w:r w:rsidRPr="00004E1E">
        <w:t>Product range: customers typical</w:t>
      </w:r>
      <w:r w:rsidR="00C64242">
        <w:t xml:space="preserve">ly prefer a ‘one stop </w:t>
      </w:r>
      <w:r w:rsidRPr="00004E1E">
        <w:t xml:space="preserve">shop’ </w:t>
      </w:r>
      <w:r>
        <w:t xml:space="preserve">for the </w:t>
      </w:r>
      <w:r w:rsidRPr="00004E1E">
        <w:t>purchase of a broad range of office products</w:t>
      </w:r>
      <w:r>
        <w:t>.</w:t>
      </w:r>
      <w:r w:rsidRPr="00004E1E" w:rsidDel="00393B91">
        <w:rPr>
          <w:highlight w:val="green"/>
        </w:rPr>
        <w:t xml:space="preserve"> </w:t>
      </w:r>
    </w:p>
    <w:p w:rsidR="009170BF" w:rsidRPr="00004E1E" w:rsidRDefault="009170BF" w:rsidP="00C64242">
      <w:pPr>
        <w:pStyle w:val="Numbered"/>
        <w:numPr>
          <w:ilvl w:val="1"/>
          <w:numId w:val="8"/>
        </w:numPr>
      </w:pPr>
      <w:r w:rsidRPr="00004E1E">
        <w:t xml:space="preserve">Services: such as </w:t>
      </w:r>
      <w:r w:rsidR="00140FC8">
        <w:t xml:space="preserve">integrated </w:t>
      </w:r>
      <w:proofErr w:type="gramStart"/>
      <w:r w:rsidRPr="00004E1E">
        <w:t>IT processing</w:t>
      </w:r>
      <w:proofErr w:type="gramEnd"/>
      <w:r w:rsidRPr="00004E1E">
        <w:t xml:space="preserve"> systems with specialised ordering, </w:t>
      </w:r>
      <w:r w:rsidR="00140FC8">
        <w:t>EDI</w:t>
      </w:r>
      <w:r w:rsidR="003C2E81">
        <w:t xml:space="preserve"> capability</w:t>
      </w:r>
      <w:r w:rsidR="00140FC8">
        <w:t xml:space="preserve">, </w:t>
      </w:r>
      <w:r w:rsidRPr="00004E1E">
        <w:t>account management and reporting capabilities</w:t>
      </w:r>
      <w:r>
        <w:t>.</w:t>
      </w:r>
      <w:r w:rsidRPr="00004E1E" w:rsidDel="00393B91">
        <w:rPr>
          <w:highlight w:val="green"/>
        </w:rPr>
        <w:t xml:space="preserve"> </w:t>
      </w:r>
    </w:p>
    <w:p w:rsidR="00E955D0" w:rsidRPr="007D1B4F" w:rsidRDefault="009170BF" w:rsidP="00C64242">
      <w:pPr>
        <w:pStyle w:val="Numbered"/>
        <w:numPr>
          <w:ilvl w:val="1"/>
          <w:numId w:val="8"/>
        </w:numPr>
      </w:pPr>
      <w:r w:rsidRPr="007D1B4F">
        <w:t xml:space="preserve">Distribution capacity: including the infrastructure to supply high volumes </w:t>
      </w:r>
      <w:r w:rsidR="00E955D0">
        <w:t xml:space="preserve">and </w:t>
      </w:r>
      <w:r w:rsidR="00BE1EC8">
        <w:t xml:space="preserve">a </w:t>
      </w:r>
      <w:r w:rsidR="00E955D0" w:rsidRPr="00E955D0">
        <w:t xml:space="preserve">wide variety </w:t>
      </w:r>
      <w:r w:rsidR="006C1660">
        <w:t xml:space="preserve">of office products </w:t>
      </w:r>
      <w:r w:rsidRPr="007D1B4F">
        <w:t xml:space="preserve">to multiple geographic locations within </w:t>
      </w:r>
      <w:r w:rsidR="00E955D0">
        <w:t xml:space="preserve">very </w:t>
      </w:r>
      <w:r w:rsidRPr="007D1B4F">
        <w:t>s</w:t>
      </w:r>
      <w:r w:rsidR="00E955D0">
        <w:t xml:space="preserve">hort </w:t>
      </w:r>
      <w:r w:rsidRPr="007D1B4F">
        <w:t xml:space="preserve">delivery timeframes, typically next-day. </w:t>
      </w:r>
    </w:p>
    <w:p w:rsidR="009170BF" w:rsidRPr="00004E1E" w:rsidRDefault="009170BF" w:rsidP="00EF1D51">
      <w:pPr>
        <w:pStyle w:val="Numbered"/>
        <w:keepNext/>
        <w:numPr>
          <w:ilvl w:val="0"/>
          <w:numId w:val="8"/>
        </w:numPr>
      </w:pPr>
      <w:r>
        <w:lastRenderedPageBreak/>
        <w:t>D</w:t>
      </w:r>
      <w:r w:rsidRPr="00004E1E">
        <w:t xml:space="preserve">ifferent suppliers </w:t>
      </w:r>
      <w:r w:rsidR="006C1660">
        <w:t>have</w:t>
      </w:r>
      <w:r w:rsidR="006C1660" w:rsidRPr="00004E1E">
        <w:t xml:space="preserve"> </w:t>
      </w:r>
      <w:r w:rsidRPr="00004E1E">
        <w:t xml:space="preserve">different </w:t>
      </w:r>
      <w:r w:rsidR="006C1660">
        <w:t xml:space="preserve">criteria </w:t>
      </w:r>
      <w:r w:rsidRPr="00004E1E">
        <w:t xml:space="preserve">to </w:t>
      </w:r>
      <w:r w:rsidR="006C1660">
        <w:t xml:space="preserve">categorise </w:t>
      </w:r>
      <w:r w:rsidRPr="00004E1E">
        <w:t xml:space="preserve">customers, and </w:t>
      </w:r>
      <w:r>
        <w:t xml:space="preserve">it appears </w:t>
      </w:r>
      <w:r w:rsidRPr="00004E1E">
        <w:t xml:space="preserve">that there is no generally accepted industry </w:t>
      </w:r>
      <w:r>
        <w:t>standard</w:t>
      </w:r>
      <w:r w:rsidRPr="00004E1E">
        <w:t xml:space="preserve">. </w:t>
      </w:r>
      <w:r>
        <w:t xml:space="preserve">The main industry reference report, the </w:t>
      </w:r>
      <w:proofErr w:type="spellStart"/>
      <w:r>
        <w:t>Penfold</w:t>
      </w:r>
      <w:proofErr w:type="spellEnd"/>
      <w:r>
        <w:t xml:space="preserve"> Research Report, </w:t>
      </w:r>
      <w:r w:rsidRPr="00004E1E">
        <w:t>distinguishe</w:t>
      </w:r>
      <w:r>
        <w:t>s</w:t>
      </w:r>
      <w:r w:rsidRPr="00004E1E">
        <w:t xml:space="preserve"> </w:t>
      </w:r>
      <w:r>
        <w:t xml:space="preserve">business </w:t>
      </w:r>
      <w:r w:rsidRPr="00004E1E">
        <w:t xml:space="preserve">customers </w:t>
      </w:r>
      <w:r>
        <w:t>as follows</w:t>
      </w:r>
      <w:r w:rsidRPr="00004E1E">
        <w:t>:</w:t>
      </w:r>
    </w:p>
    <w:p w:rsidR="009170BF" w:rsidRDefault="009170BF" w:rsidP="00C64242">
      <w:pPr>
        <w:pStyle w:val="Numbered"/>
        <w:numPr>
          <w:ilvl w:val="1"/>
          <w:numId w:val="8"/>
        </w:numPr>
      </w:pPr>
      <w:r>
        <w:t>Micro: less than 5</w:t>
      </w:r>
      <w:r w:rsidRPr="00004E1E">
        <w:t xml:space="preserve"> full-time equivalent employees (FTE)</w:t>
      </w:r>
    </w:p>
    <w:p w:rsidR="009170BF" w:rsidRDefault="009170BF" w:rsidP="00C64242">
      <w:pPr>
        <w:pStyle w:val="Numbered"/>
        <w:numPr>
          <w:ilvl w:val="1"/>
          <w:numId w:val="8"/>
        </w:numPr>
      </w:pPr>
      <w:r>
        <w:t>Small: 5-19 FTE</w:t>
      </w:r>
    </w:p>
    <w:p w:rsidR="009170BF" w:rsidRDefault="009170BF" w:rsidP="00C64242">
      <w:pPr>
        <w:pStyle w:val="Numbered"/>
        <w:numPr>
          <w:ilvl w:val="1"/>
          <w:numId w:val="8"/>
        </w:numPr>
      </w:pPr>
      <w:r>
        <w:t>Medium: 20-99 FTE</w:t>
      </w:r>
    </w:p>
    <w:p w:rsidR="009170BF" w:rsidRDefault="009170BF" w:rsidP="00C64242">
      <w:pPr>
        <w:pStyle w:val="Numbered"/>
        <w:numPr>
          <w:ilvl w:val="1"/>
          <w:numId w:val="8"/>
        </w:numPr>
      </w:pPr>
      <w:r>
        <w:t>Large: 100+ FTE</w:t>
      </w:r>
      <w:r w:rsidR="00B4131F">
        <w:t>; and</w:t>
      </w:r>
    </w:p>
    <w:p w:rsidR="009170BF" w:rsidRPr="00004E1E" w:rsidRDefault="009170BF" w:rsidP="00C64242">
      <w:pPr>
        <w:pStyle w:val="Numbered"/>
        <w:numPr>
          <w:ilvl w:val="1"/>
          <w:numId w:val="8"/>
        </w:numPr>
      </w:pPr>
      <w:r>
        <w:t>Government</w:t>
      </w:r>
      <w:r w:rsidR="00B4131F">
        <w:t>.</w:t>
      </w:r>
      <w:r w:rsidR="008631F5">
        <w:rPr>
          <w:rStyle w:val="FootnoteReference"/>
        </w:rPr>
        <w:footnoteReference w:id="20"/>
      </w:r>
    </w:p>
    <w:p w:rsidR="009170BF" w:rsidRPr="00004E1E" w:rsidRDefault="009170BF" w:rsidP="00C64242">
      <w:pPr>
        <w:pStyle w:val="Numbered"/>
        <w:numPr>
          <w:ilvl w:val="0"/>
          <w:numId w:val="8"/>
        </w:numPr>
      </w:pPr>
      <w:r>
        <w:t xml:space="preserve">Other </w:t>
      </w:r>
      <w:r w:rsidR="005F2EAB">
        <w:t xml:space="preserve">categorisations </w:t>
      </w:r>
      <w:r>
        <w:t xml:space="preserve">are based on </w:t>
      </w:r>
      <w:r w:rsidRPr="00004E1E">
        <w:t xml:space="preserve">the </w:t>
      </w:r>
      <w:r>
        <w:t xml:space="preserve">total </w:t>
      </w:r>
      <w:r w:rsidRPr="00004E1E">
        <w:t xml:space="preserve">amount of </w:t>
      </w:r>
      <w:r>
        <w:t xml:space="preserve">annual </w:t>
      </w:r>
      <w:r w:rsidRPr="00004E1E">
        <w:t>expenditure on office products</w:t>
      </w:r>
      <w:r>
        <w:t xml:space="preserve"> or the total annual spend per employee, or a combination of both annual spend and number of FTEs.</w:t>
      </w:r>
    </w:p>
    <w:p w:rsidR="009170BF" w:rsidRPr="0008559B" w:rsidRDefault="009170BF" w:rsidP="00C64242">
      <w:pPr>
        <w:pStyle w:val="Numbered"/>
        <w:numPr>
          <w:ilvl w:val="0"/>
          <w:numId w:val="8"/>
        </w:numPr>
      </w:pPr>
      <w:r>
        <w:t>The ACCC’s market in</w:t>
      </w:r>
      <w:r w:rsidR="00140AAF">
        <w:t xml:space="preserve">quiries have </w:t>
      </w:r>
      <w:r w:rsidRPr="00004E1E">
        <w:t>indicated that</w:t>
      </w:r>
      <w:r>
        <w:t xml:space="preserve"> large </w:t>
      </w:r>
      <w:r w:rsidR="00140AAF">
        <w:t xml:space="preserve">commercial </w:t>
      </w:r>
      <w:r>
        <w:t>customers generally enter into contracts with office supplies providers to supply all of their traditi</w:t>
      </w:r>
      <w:r w:rsidR="00C64242">
        <w:t xml:space="preserve">onal office supplies, in a ‘one </w:t>
      </w:r>
      <w:r>
        <w:t xml:space="preserve">stop shop’ arrangement. These contracts are often awarded on the basis of tenders and are typically of several years’ duration. In addition, </w:t>
      </w:r>
      <w:r w:rsidR="00607BA1">
        <w:t xml:space="preserve">as set out in paragraph </w:t>
      </w:r>
      <w:r w:rsidR="00607BA1">
        <w:fldChar w:fldCharType="begin"/>
      </w:r>
      <w:r w:rsidR="00607BA1">
        <w:instrText xml:space="preserve"> REF _Ref490823907 \r \h </w:instrText>
      </w:r>
      <w:r w:rsidR="00607BA1">
        <w:fldChar w:fldCharType="separate"/>
      </w:r>
      <w:r w:rsidR="0074520B">
        <w:t>40</w:t>
      </w:r>
      <w:r w:rsidR="00607BA1">
        <w:fldChar w:fldCharType="end"/>
      </w:r>
      <w:r w:rsidR="00607BA1">
        <w:t xml:space="preserve"> above, </w:t>
      </w:r>
      <w:r>
        <w:t xml:space="preserve">suppliers to large customers need to meet specific requirements concerning, </w:t>
      </w:r>
      <w:r w:rsidR="00235799">
        <w:t>among other things</w:t>
      </w:r>
      <w:r>
        <w:t xml:space="preserve">, </w:t>
      </w:r>
      <w:r w:rsidR="00541277">
        <w:t>EDI capability</w:t>
      </w:r>
      <w:r w:rsidR="00B12A94" w:rsidRPr="00B12A94">
        <w:t xml:space="preserve"> </w:t>
      </w:r>
      <w:r w:rsidR="00B12A94">
        <w:t xml:space="preserve">and </w:t>
      </w:r>
      <w:r>
        <w:t xml:space="preserve">logistics, </w:t>
      </w:r>
      <w:r w:rsidRPr="0008559B">
        <w:t>product range</w:t>
      </w:r>
      <w:r>
        <w:t>, service,</w:t>
      </w:r>
      <w:r w:rsidRPr="0008559B">
        <w:t xml:space="preserve"> processing systems</w:t>
      </w:r>
      <w:r>
        <w:t xml:space="preserve">, and invoicing.  </w:t>
      </w:r>
    </w:p>
    <w:p w:rsidR="009170BF" w:rsidRDefault="008F046F" w:rsidP="00C64242">
      <w:pPr>
        <w:pStyle w:val="Numbered"/>
        <w:numPr>
          <w:ilvl w:val="0"/>
          <w:numId w:val="8"/>
        </w:numPr>
      </w:pPr>
      <w:r>
        <w:t>T</w:t>
      </w:r>
      <w:r w:rsidR="009170BF" w:rsidRPr="00004E1E">
        <w:t xml:space="preserve">he ACCC </w:t>
      </w:r>
      <w:r w:rsidR="009170BF">
        <w:t xml:space="preserve">is still considering the most appropriate way to define </w:t>
      </w:r>
      <w:r w:rsidR="009170BF" w:rsidRPr="00004E1E">
        <w:t>‘large’ customer</w:t>
      </w:r>
      <w:r w:rsidR="001472EB">
        <w:t>s</w:t>
      </w:r>
      <w:r w:rsidR="009170BF">
        <w:t xml:space="preserve">, noting that it may not be </w:t>
      </w:r>
      <w:r w:rsidR="009170BF" w:rsidRPr="008B0873">
        <w:t xml:space="preserve">necessary to identify or define </w:t>
      </w:r>
      <w:r w:rsidR="009170BF">
        <w:t xml:space="preserve">that term </w:t>
      </w:r>
      <w:r w:rsidR="009170BF" w:rsidRPr="008B0873">
        <w:t xml:space="preserve">precisely as it </w:t>
      </w:r>
      <w:r w:rsidR="009170BF">
        <w:t xml:space="preserve">may </w:t>
      </w:r>
      <w:r w:rsidR="009170BF" w:rsidRPr="008B0873">
        <w:t>not be determinative of the ACCC's competition assessment</w:t>
      </w:r>
      <w:r w:rsidR="009170BF" w:rsidRPr="00004E1E">
        <w:t xml:space="preserve">. </w:t>
      </w:r>
    </w:p>
    <w:p w:rsidR="004C5C1F" w:rsidRPr="00004E1E" w:rsidRDefault="004C5C1F" w:rsidP="00C64242">
      <w:pPr>
        <w:pStyle w:val="Numbered"/>
        <w:numPr>
          <w:ilvl w:val="0"/>
          <w:numId w:val="8"/>
        </w:numPr>
      </w:pPr>
      <w:r>
        <w:t xml:space="preserve">At this stage, the ACCC has included government customers in the relevant market. However, it is considering whether </w:t>
      </w:r>
      <w:r w:rsidR="0008255F">
        <w:t xml:space="preserve">government customers procure office supplies </w:t>
      </w:r>
      <w:r w:rsidR="008E4277">
        <w:t xml:space="preserve">differently </w:t>
      </w:r>
      <w:r w:rsidR="0008255F">
        <w:t>to private businesses</w:t>
      </w:r>
      <w:r w:rsidR="008E4277">
        <w:t xml:space="preserve"> such that they </w:t>
      </w:r>
      <w:r w:rsidR="00170756">
        <w:t xml:space="preserve">form </w:t>
      </w:r>
      <w:r w:rsidR="008E4277">
        <w:t>a separate relevant market</w:t>
      </w:r>
      <w:r w:rsidR="0008255F">
        <w:t xml:space="preserve">. For example, government customers </w:t>
      </w:r>
      <w:r w:rsidR="001472EB">
        <w:t xml:space="preserve">may be more inclined to use panel arrangements with multiple suppliers, allowing them to multi-source. </w:t>
      </w:r>
    </w:p>
    <w:p w:rsidR="004509C1" w:rsidRPr="004509C1" w:rsidRDefault="004509C1" w:rsidP="00C64242">
      <w:pPr>
        <w:pStyle w:val="Numbered"/>
        <w:numPr>
          <w:ilvl w:val="0"/>
          <w:numId w:val="8"/>
        </w:numPr>
      </w:pPr>
      <w:r>
        <w:t>Supply-side considerations (in particular</w:t>
      </w:r>
      <w:r w:rsidR="008E4277">
        <w:t>,</w:t>
      </w:r>
      <w:r>
        <w:t xml:space="preserve"> t</w:t>
      </w:r>
      <w:r w:rsidRPr="004509C1">
        <w:t xml:space="preserve">he </w:t>
      </w:r>
      <w:r>
        <w:t xml:space="preserve">ability </w:t>
      </w:r>
      <w:r w:rsidRPr="004509C1">
        <w:t xml:space="preserve">of </w:t>
      </w:r>
      <w:r>
        <w:t xml:space="preserve">suppliers </w:t>
      </w:r>
      <w:r w:rsidR="001F4307">
        <w:t xml:space="preserve">that </w:t>
      </w:r>
      <w:r>
        <w:t xml:space="preserve">supply </w:t>
      </w:r>
      <w:r w:rsidR="0068381F">
        <w:t xml:space="preserve">other products to large businesses to switch to traditional office products; or the ability of suppliers </w:t>
      </w:r>
      <w:r w:rsidR="008E030C">
        <w:t xml:space="preserve">who do not currently supply large commercial and government customers to commence supplying </w:t>
      </w:r>
      <w:r w:rsidR="008E4277">
        <w:t xml:space="preserve">to </w:t>
      </w:r>
      <w:r w:rsidR="008E030C">
        <w:t>such customers</w:t>
      </w:r>
      <w:r>
        <w:t xml:space="preserve">) are </w:t>
      </w:r>
      <w:r w:rsidR="00670F2D">
        <w:t xml:space="preserve">examined </w:t>
      </w:r>
      <w:r w:rsidR="00340EF3">
        <w:t xml:space="preserve">in the </w:t>
      </w:r>
      <w:r w:rsidR="00E64FEF">
        <w:t>competitive assessment sections below</w:t>
      </w:r>
      <w:r>
        <w:t xml:space="preserve">. </w:t>
      </w:r>
    </w:p>
    <w:p w:rsidR="009170BF" w:rsidRPr="00004E1E" w:rsidRDefault="009170BF" w:rsidP="00C64242">
      <w:pPr>
        <w:pStyle w:val="Heading4"/>
      </w:pPr>
      <w:r w:rsidRPr="00004E1E">
        <w:t>Geographic scope of the market</w:t>
      </w:r>
    </w:p>
    <w:p w:rsidR="009170BF" w:rsidRPr="00C64242" w:rsidRDefault="009170BF" w:rsidP="00C64242">
      <w:pPr>
        <w:pStyle w:val="Numbered"/>
        <w:numPr>
          <w:ilvl w:val="0"/>
          <w:numId w:val="8"/>
        </w:numPr>
        <w:rPr>
          <w:rFonts w:eastAsia="Calibri"/>
        </w:rPr>
      </w:pPr>
      <w:r w:rsidRPr="00004E1E">
        <w:t xml:space="preserve">The ACCC’s preliminary view is that the geographic </w:t>
      </w:r>
      <w:r w:rsidR="00DA1F6B">
        <w:t xml:space="preserve">scope of the </w:t>
      </w:r>
      <w:r w:rsidRPr="00004E1E">
        <w:t xml:space="preserve">market is national. The parties and their competitors compete for </w:t>
      </w:r>
      <w:r w:rsidR="00DA1F6B">
        <w:t xml:space="preserve">large customer </w:t>
      </w:r>
      <w:r w:rsidRPr="00004E1E">
        <w:t xml:space="preserve">contracts across Australia, and market participants refer to the importance of </w:t>
      </w:r>
      <w:r w:rsidR="002F2E11">
        <w:t xml:space="preserve">being able to supply nationally and of </w:t>
      </w:r>
      <w:r w:rsidRPr="00004E1E">
        <w:t>national distribution networks.</w:t>
      </w:r>
    </w:p>
    <w:p w:rsidR="009170BF" w:rsidRPr="00FE3F9F" w:rsidRDefault="009170BF" w:rsidP="00C64242">
      <w:pPr>
        <w:pStyle w:val="commentbox"/>
      </w:pPr>
      <w:r w:rsidRPr="00B854F5">
        <w:lastRenderedPageBreak/>
        <w:t>The ACCC invites comments from market participants on its preliminary views about the definition of the relevant market(s). In particular</w:t>
      </w:r>
      <w:r w:rsidR="00170756">
        <w:t>,</w:t>
      </w:r>
      <w:r w:rsidRPr="00B854F5">
        <w:t xml:space="preserve"> market participants may wish to comment on:</w:t>
      </w:r>
    </w:p>
    <w:p w:rsidR="00BE48BB" w:rsidRDefault="009170BF" w:rsidP="00C64242">
      <w:pPr>
        <w:pStyle w:val="commentbox"/>
        <w:numPr>
          <w:ilvl w:val="0"/>
          <w:numId w:val="4"/>
        </w:numPr>
      </w:pPr>
      <w:r w:rsidRPr="004B5E0E">
        <w:t xml:space="preserve">The extent to which </w:t>
      </w:r>
      <w:r w:rsidR="00DA1F6B">
        <w:t xml:space="preserve">alternative sources of supply for traditional </w:t>
      </w:r>
      <w:r w:rsidRPr="004B5E0E">
        <w:t>office product</w:t>
      </w:r>
      <w:r w:rsidR="00DA1F6B">
        <w:t>s</w:t>
      </w:r>
      <w:r w:rsidRPr="004B5E0E">
        <w:t xml:space="preserve"> </w:t>
      </w:r>
      <w:r w:rsidR="00DA1F6B">
        <w:t>are readily available</w:t>
      </w:r>
      <w:r w:rsidR="000911D1">
        <w:t xml:space="preserve"> for large customers</w:t>
      </w:r>
      <w:r w:rsidR="00DA1F6B">
        <w:t>.</w:t>
      </w:r>
      <w:r w:rsidR="00BE48BB">
        <w:t xml:space="preserve"> </w:t>
      </w:r>
      <w:r w:rsidRPr="004B5E0E">
        <w:t xml:space="preserve"> </w:t>
      </w:r>
    </w:p>
    <w:p w:rsidR="009170BF" w:rsidRDefault="009170BF" w:rsidP="00C64242">
      <w:pPr>
        <w:pStyle w:val="commentbox"/>
        <w:numPr>
          <w:ilvl w:val="0"/>
          <w:numId w:val="4"/>
        </w:numPr>
      </w:pPr>
      <w:r>
        <w:t>The relevant t</w:t>
      </w:r>
      <w:r w:rsidRPr="004B5E0E">
        <w:t xml:space="preserve">hreshold for defining </w:t>
      </w:r>
      <w:r>
        <w:t>different business customer categories, in particular ‘</w:t>
      </w:r>
      <w:r w:rsidRPr="004B5E0E">
        <w:t>large</w:t>
      </w:r>
      <w:r>
        <w:t>’</w:t>
      </w:r>
      <w:r w:rsidRPr="004B5E0E">
        <w:t xml:space="preserve"> </w:t>
      </w:r>
      <w:r w:rsidR="00700195">
        <w:t xml:space="preserve">commercial and government </w:t>
      </w:r>
      <w:r w:rsidRPr="004B5E0E">
        <w:t>customers</w:t>
      </w:r>
      <w:r>
        <w:t>.</w:t>
      </w:r>
      <w:r w:rsidR="00BE48BB">
        <w:t xml:space="preserve"> </w:t>
      </w:r>
      <w:r w:rsidR="00BE48BB" w:rsidRPr="004B5E0E">
        <w:t>Which types of customers are more likely to require a ‘one stop shop’ for a broad range of office products?</w:t>
      </w:r>
      <w:r w:rsidR="00F921D7">
        <w:t xml:space="preserve"> </w:t>
      </w:r>
    </w:p>
    <w:p w:rsidR="00F921D7" w:rsidRDefault="00F921D7" w:rsidP="00C64242">
      <w:pPr>
        <w:pStyle w:val="commentbox"/>
        <w:numPr>
          <w:ilvl w:val="0"/>
          <w:numId w:val="4"/>
        </w:numPr>
      </w:pPr>
      <w:r>
        <w:t xml:space="preserve">The extent to which government customers </w:t>
      </w:r>
      <w:r w:rsidR="006D36DE">
        <w:t xml:space="preserve">procure office supplies differently to private businesses (for example, whether </w:t>
      </w:r>
      <w:r w:rsidR="006D0709">
        <w:t xml:space="preserve">government customers </w:t>
      </w:r>
      <w:r w:rsidR="006D36DE">
        <w:t>are more likely to multi-source than commercial customers)</w:t>
      </w:r>
      <w:r>
        <w:t>.</w:t>
      </w:r>
    </w:p>
    <w:p w:rsidR="009170BF" w:rsidRPr="004B5E0E" w:rsidRDefault="009170BF" w:rsidP="00C64242">
      <w:pPr>
        <w:pStyle w:val="commentbox"/>
        <w:numPr>
          <w:ilvl w:val="0"/>
          <w:numId w:val="4"/>
        </w:numPr>
      </w:pPr>
      <w:r w:rsidRPr="004B5E0E">
        <w:t>The extent to which there may be separate</w:t>
      </w:r>
      <w:r>
        <w:t>,</w:t>
      </w:r>
      <w:r w:rsidRPr="004B5E0E">
        <w:t xml:space="preserve"> narrower</w:t>
      </w:r>
      <w:r>
        <w:t xml:space="preserve"> </w:t>
      </w:r>
      <w:r w:rsidRPr="004B5E0E">
        <w:t xml:space="preserve">regional </w:t>
      </w:r>
      <w:r w:rsidR="000911D1">
        <w:t xml:space="preserve">and/or local </w:t>
      </w:r>
      <w:r w:rsidRPr="004B5E0E">
        <w:t>markets</w:t>
      </w:r>
      <w:r>
        <w:t xml:space="preserve"> for the supply of office products</w:t>
      </w:r>
      <w:r w:rsidR="00D30AB8">
        <w:t xml:space="preserve"> across Australia</w:t>
      </w:r>
      <w:r w:rsidRPr="004B5E0E">
        <w:t>.</w:t>
      </w:r>
    </w:p>
    <w:p w:rsidR="009170BF" w:rsidRPr="00004E1E" w:rsidRDefault="009170BF" w:rsidP="009170BF">
      <w:pPr>
        <w:pStyle w:val="Heading3"/>
      </w:pPr>
      <w:r w:rsidRPr="00004E1E">
        <w:t xml:space="preserve">Issue </w:t>
      </w:r>
      <w:r w:rsidRPr="009164AD">
        <w:t>that may raise</w:t>
      </w:r>
      <w:r w:rsidR="00BE785D" w:rsidRPr="009164AD">
        <w:t xml:space="preserve"> concerns:</w:t>
      </w:r>
      <w:r w:rsidRPr="00004E1E">
        <w:t xml:space="preserve"> reduction in competition in the supply of </w:t>
      </w:r>
      <w:r>
        <w:t xml:space="preserve">traditional </w:t>
      </w:r>
      <w:r w:rsidRPr="00004E1E">
        <w:t xml:space="preserve">office products to large </w:t>
      </w:r>
      <w:r w:rsidR="009164AD">
        <w:t xml:space="preserve">commercial and government </w:t>
      </w:r>
      <w:r w:rsidRPr="00004E1E">
        <w:t>customers</w:t>
      </w:r>
    </w:p>
    <w:p w:rsidR="009170BF" w:rsidRPr="00C64242" w:rsidRDefault="009170BF" w:rsidP="00C64242">
      <w:pPr>
        <w:pStyle w:val="Numbered"/>
        <w:numPr>
          <w:ilvl w:val="0"/>
          <w:numId w:val="8"/>
        </w:numPr>
        <w:rPr>
          <w:rFonts w:eastAsia="Calibri"/>
        </w:rPr>
      </w:pPr>
      <w:r w:rsidRPr="00004E1E">
        <w:t xml:space="preserve">Based upon its inquiries to date, the ACCC’s preliminary view is that the proposed acquisition </w:t>
      </w:r>
      <w:r w:rsidRPr="00144F66">
        <w:t>may</w:t>
      </w:r>
      <w:r>
        <w:t xml:space="preserve"> </w:t>
      </w:r>
      <w:r w:rsidRPr="00004E1E">
        <w:t>substantial</w:t>
      </w:r>
      <w:r>
        <w:t>ly</w:t>
      </w:r>
      <w:r w:rsidRPr="00004E1E">
        <w:t xml:space="preserve"> lessen competition in the supply of </w:t>
      </w:r>
      <w:r>
        <w:t>traditional</w:t>
      </w:r>
      <w:r w:rsidRPr="00004E1E">
        <w:t xml:space="preserve"> office products to </w:t>
      </w:r>
      <w:r w:rsidRPr="007D57E3">
        <w:t>large</w:t>
      </w:r>
      <w:r w:rsidRPr="00004E1E">
        <w:t xml:space="preserve"> </w:t>
      </w:r>
      <w:r w:rsidR="00F21648">
        <w:t xml:space="preserve">commercial and government </w:t>
      </w:r>
      <w:r w:rsidRPr="00004E1E">
        <w:t>customers in Australia.</w:t>
      </w:r>
    </w:p>
    <w:p w:rsidR="009170BF" w:rsidRPr="00004E1E" w:rsidRDefault="009170BF" w:rsidP="00C64242">
      <w:pPr>
        <w:pStyle w:val="Heading4"/>
      </w:pPr>
      <w:r w:rsidRPr="00004E1E">
        <w:t>Increased market concentration</w:t>
      </w:r>
    </w:p>
    <w:p w:rsidR="009170BF" w:rsidRPr="007D57E3" w:rsidRDefault="009170BF" w:rsidP="00C64242">
      <w:pPr>
        <w:pStyle w:val="Numbered"/>
        <w:numPr>
          <w:ilvl w:val="0"/>
          <w:numId w:val="8"/>
        </w:numPr>
      </w:pPr>
      <w:r>
        <w:t>T</w:t>
      </w:r>
      <w:r w:rsidRPr="00004E1E">
        <w:t xml:space="preserve">he </w:t>
      </w:r>
      <w:r>
        <w:t xml:space="preserve">ACCC’s market </w:t>
      </w:r>
      <w:r w:rsidR="00064473">
        <w:t>inquiries have</w:t>
      </w:r>
      <w:r>
        <w:t xml:space="preserve"> revealed that there are </w:t>
      </w:r>
      <w:r w:rsidRPr="007D57E3">
        <w:t xml:space="preserve">four </w:t>
      </w:r>
      <w:r>
        <w:t>main suppliers</w:t>
      </w:r>
      <w:r w:rsidR="0091339C">
        <w:t xml:space="preserve"> of traditional office products to large </w:t>
      </w:r>
      <w:r w:rsidR="00B443BB">
        <w:t xml:space="preserve">commercial and government </w:t>
      </w:r>
      <w:r w:rsidR="0091339C">
        <w:t>customers</w:t>
      </w:r>
      <w:r w:rsidR="003F5E01">
        <w:t xml:space="preserve"> in Australia</w:t>
      </w:r>
      <w:r>
        <w:t>:</w:t>
      </w:r>
    </w:p>
    <w:p w:rsidR="009170BF" w:rsidRPr="00004E1E" w:rsidRDefault="009170BF" w:rsidP="00C64242">
      <w:pPr>
        <w:pStyle w:val="Numbered"/>
        <w:numPr>
          <w:ilvl w:val="1"/>
          <w:numId w:val="8"/>
        </w:numPr>
      </w:pPr>
      <w:r w:rsidRPr="00004E1E">
        <w:t>Staples</w:t>
      </w:r>
    </w:p>
    <w:p w:rsidR="009170BF" w:rsidRPr="00004E1E" w:rsidRDefault="009170BF" w:rsidP="00C64242">
      <w:pPr>
        <w:pStyle w:val="Numbered"/>
        <w:numPr>
          <w:ilvl w:val="1"/>
          <w:numId w:val="8"/>
        </w:numPr>
      </w:pPr>
      <w:r w:rsidRPr="00004E1E">
        <w:t xml:space="preserve">OfficeMax </w:t>
      </w:r>
    </w:p>
    <w:p w:rsidR="009170BF" w:rsidRPr="00004E1E" w:rsidRDefault="009170BF" w:rsidP="00C64242">
      <w:pPr>
        <w:pStyle w:val="Numbered"/>
        <w:numPr>
          <w:ilvl w:val="1"/>
          <w:numId w:val="8"/>
        </w:numPr>
      </w:pPr>
      <w:r w:rsidRPr="00004E1E">
        <w:t>COS; and</w:t>
      </w:r>
    </w:p>
    <w:p w:rsidR="009170BF" w:rsidRPr="00004E1E" w:rsidRDefault="009170BF" w:rsidP="00C64242">
      <w:pPr>
        <w:pStyle w:val="Numbered"/>
        <w:numPr>
          <w:ilvl w:val="1"/>
          <w:numId w:val="8"/>
        </w:numPr>
      </w:pPr>
      <w:r w:rsidRPr="00004E1E">
        <w:t>Lyreco.</w:t>
      </w:r>
    </w:p>
    <w:p w:rsidR="009170BF" w:rsidRDefault="00432CB7" w:rsidP="00C64242">
      <w:pPr>
        <w:pStyle w:val="Numbered"/>
        <w:numPr>
          <w:ilvl w:val="0"/>
          <w:numId w:val="8"/>
        </w:numPr>
      </w:pPr>
      <w:r>
        <w:t>Information</w:t>
      </w:r>
      <w:r w:rsidR="009170BF" w:rsidRPr="00DD060F">
        <w:t xml:space="preserve"> </w:t>
      </w:r>
      <w:r>
        <w:t>obtained</w:t>
      </w:r>
      <w:r w:rsidRPr="00DD060F">
        <w:t xml:space="preserve"> </w:t>
      </w:r>
      <w:r w:rsidR="009170BF" w:rsidRPr="00DD060F">
        <w:t>during market in</w:t>
      </w:r>
      <w:r w:rsidR="009170BF">
        <w:t>quiries</w:t>
      </w:r>
      <w:r w:rsidR="009170BF" w:rsidRPr="00DD060F">
        <w:t xml:space="preserve"> suggest</w:t>
      </w:r>
      <w:r w:rsidR="002249C4">
        <w:t>s</w:t>
      </w:r>
      <w:r w:rsidR="009170BF" w:rsidRPr="00DD060F">
        <w:t xml:space="preserve"> that </w:t>
      </w:r>
      <w:r w:rsidR="009170BF">
        <w:t xml:space="preserve">Staples is the market leader, with the largest share of the relevant market, followed by OfficeMax, with COS and Lyreco some way behind. </w:t>
      </w:r>
    </w:p>
    <w:p w:rsidR="009170BF" w:rsidRDefault="00CD6C6C" w:rsidP="00C64242">
      <w:pPr>
        <w:pStyle w:val="Numbered"/>
        <w:numPr>
          <w:ilvl w:val="0"/>
          <w:numId w:val="8"/>
        </w:numPr>
      </w:pPr>
      <w:r>
        <w:t>T</w:t>
      </w:r>
      <w:r w:rsidR="00926451">
        <w:t>he information available to date</w:t>
      </w:r>
      <w:r>
        <w:t xml:space="preserve"> suggests that</w:t>
      </w:r>
      <w:r w:rsidR="009170BF">
        <w:t xml:space="preserve"> </w:t>
      </w:r>
      <w:r w:rsidR="00740107">
        <w:t>a</w:t>
      </w:r>
      <w:r w:rsidR="009170BF">
        <w:t xml:space="preserve"> </w:t>
      </w:r>
      <w:r w:rsidR="00151AE6">
        <w:t xml:space="preserve">combined Staples-OfficeMax </w:t>
      </w:r>
      <w:r w:rsidR="009170BF">
        <w:t xml:space="preserve">would </w:t>
      </w:r>
      <w:r w:rsidR="009170BF" w:rsidRPr="00004E1E">
        <w:t xml:space="preserve">account for </w:t>
      </w:r>
      <w:r w:rsidR="00AC11E3">
        <w:t xml:space="preserve">a </w:t>
      </w:r>
      <w:r w:rsidR="0059398D">
        <w:t>substantial</w:t>
      </w:r>
      <w:r w:rsidR="00AC11E3">
        <w:t xml:space="preserve"> share </w:t>
      </w:r>
      <w:r w:rsidR="009170BF">
        <w:t xml:space="preserve">of traditional office products </w:t>
      </w:r>
      <w:r w:rsidR="009170BF" w:rsidRPr="00004E1E">
        <w:t xml:space="preserve">to large </w:t>
      </w:r>
      <w:r w:rsidR="008238DB">
        <w:t xml:space="preserve">commercial </w:t>
      </w:r>
      <w:r w:rsidR="009170BF" w:rsidRPr="00004E1E">
        <w:t>and government customers</w:t>
      </w:r>
      <w:r w:rsidR="00170756">
        <w:t xml:space="preserve"> in Australia</w:t>
      </w:r>
      <w:r w:rsidR="009170BF">
        <w:t>, and that t</w:t>
      </w:r>
      <w:r w:rsidR="009170BF" w:rsidRPr="005D220B">
        <w:t>he next largest competitors</w:t>
      </w:r>
      <w:r w:rsidR="009170BF">
        <w:t xml:space="preserve">, COS and Lyreco, </w:t>
      </w:r>
      <w:r w:rsidR="009170BF" w:rsidRPr="005D220B">
        <w:t>would have a significantly smaller share</w:t>
      </w:r>
      <w:r w:rsidR="009170BF">
        <w:t xml:space="preserve">. </w:t>
      </w:r>
    </w:p>
    <w:p w:rsidR="00F35A7F" w:rsidRDefault="00597456" w:rsidP="00C64242">
      <w:pPr>
        <w:pStyle w:val="Numbered"/>
        <w:numPr>
          <w:ilvl w:val="0"/>
          <w:numId w:val="8"/>
        </w:numPr>
      </w:pPr>
      <w:r>
        <w:lastRenderedPageBreak/>
        <w:t xml:space="preserve">Staples </w:t>
      </w:r>
      <w:r w:rsidR="00F35A7F" w:rsidRPr="00BF05B0">
        <w:t>submit</w:t>
      </w:r>
      <w:r w:rsidR="00080E85">
        <w:t>s</w:t>
      </w:r>
      <w:r w:rsidR="00F35A7F" w:rsidRPr="00BF05B0">
        <w:t xml:space="preserve"> that there are no accurate third party sources of data </w:t>
      </w:r>
      <w:r w:rsidR="00F35A7F">
        <w:t xml:space="preserve">regarding </w:t>
      </w:r>
      <w:r w:rsidR="00F35A7F" w:rsidRPr="00BF05B0">
        <w:t>the supply of office products in Australia</w:t>
      </w:r>
      <w:r w:rsidR="00F35A7F">
        <w:t xml:space="preserve">, </w:t>
      </w:r>
      <w:r w:rsidR="00080E85">
        <w:t xml:space="preserve">and </w:t>
      </w:r>
      <w:r w:rsidR="00801652">
        <w:t xml:space="preserve">that it is difficult to </w:t>
      </w:r>
      <w:r w:rsidR="00080E85">
        <w:t xml:space="preserve">estimate </w:t>
      </w:r>
      <w:r w:rsidR="00801652">
        <w:t>market shares.</w:t>
      </w:r>
    </w:p>
    <w:p w:rsidR="00611538" w:rsidRDefault="009170BF" w:rsidP="00C64242">
      <w:pPr>
        <w:pStyle w:val="Numbered"/>
        <w:numPr>
          <w:ilvl w:val="0"/>
          <w:numId w:val="8"/>
        </w:numPr>
      </w:pPr>
      <w:r>
        <w:t xml:space="preserve">The data submitted by </w:t>
      </w:r>
      <w:r w:rsidR="00080E85">
        <w:t>Staples and OfficeMax</w:t>
      </w:r>
      <w:r>
        <w:t xml:space="preserve"> to </w:t>
      </w:r>
      <w:r w:rsidR="00080E85">
        <w:t xml:space="preserve">indicate </w:t>
      </w:r>
      <w:r>
        <w:t xml:space="preserve">market shares is subject to considerable uncertainty as it is based on a number of assumptions, including in relation to the relevant products included </w:t>
      </w:r>
      <w:r w:rsidR="00432CB7">
        <w:t xml:space="preserve">in the market </w:t>
      </w:r>
      <w:r>
        <w:t xml:space="preserve">and the customer delineation. Therefore, in order to obtain a clearer picture of </w:t>
      </w:r>
      <w:r w:rsidR="008E4B3F">
        <w:t>concentration</w:t>
      </w:r>
      <w:r>
        <w:t>, t</w:t>
      </w:r>
      <w:r w:rsidRPr="00DD060F">
        <w:t xml:space="preserve">he </w:t>
      </w:r>
      <w:r>
        <w:t xml:space="preserve">ACCC is continuing to gather data, including </w:t>
      </w:r>
      <w:r w:rsidR="008E4B3F">
        <w:t xml:space="preserve">tender and customer acquisition </w:t>
      </w:r>
      <w:r w:rsidRPr="00DD060F">
        <w:t>data</w:t>
      </w:r>
      <w:r>
        <w:t xml:space="preserve">. </w:t>
      </w:r>
    </w:p>
    <w:p w:rsidR="009170BF" w:rsidRDefault="00080E85" w:rsidP="00C64242">
      <w:pPr>
        <w:pStyle w:val="Numbered"/>
        <w:numPr>
          <w:ilvl w:val="0"/>
          <w:numId w:val="8"/>
        </w:numPr>
      </w:pPr>
      <w:r>
        <w:t>T</w:t>
      </w:r>
      <w:r w:rsidR="009170BF">
        <w:t xml:space="preserve">he </w:t>
      </w:r>
      <w:r w:rsidR="007749F9">
        <w:t xml:space="preserve">information </w:t>
      </w:r>
      <w:r w:rsidR="00611538">
        <w:t xml:space="preserve">obtained during market inquiries </w:t>
      </w:r>
      <w:r w:rsidR="00336F7B">
        <w:t xml:space="preserve">to date </w:t>
      </w:r>
      <w:r w:rsidR="009170BF">
        <w:t xml:space="preserve">indicates that </w:t>
      </w:r>
      <w:r>
        <w:t>Staples and OfficeMax</w:t>
      </w:r>
      <w:r w:rsidR="009170BF" w:rsidRPr="00DD060F">
        <w:t xml:space="preserve"> are close competitors</w:t>
      </w:r>
      <w:r w:rsidR="009170BF">
        <w:t>, and the ACCC is of the preliminary view that t</w:t>
      </w:r>
      <w:r w:rsidR="009170BF" w:rsidRPr="00004E1E">
        <w:t xml:space="preserve">he proposed acquisition would </w:t>
      </w:r>
      <w:r w:rsidR="009170BF" w:rsidRPr="00D232F3">
        <w:t xml:space="preserve">further increase </w:t>
      </w:r>
      <w:r w:rsidR="009170BF">
        <w:t>concentration in what is already a concentrated market</w:t>
      </w:r>
      <w:r w:rsidR="00336F7B">
        <w:t xml:space="preserve">. The proposed acquisition </w:t>
      </w:r>
      <w:r w:rsidR="009170BF">
        <w:t xml:space="preserve">would result in </w:t>
      </w:r>
      <w:r w:rsidR="009170BF" w:rsidRPr="00004E1E">
        <w:t>the horizontal aggregation of the two l</w:t>
      </w:r>
      <w:r w:rsidR="006D0709">
        <w:t>eading</w:t>
      </w:r>
      <w:r w:rsidR="009170BF">
        <w:t xml:space="preserve"> </w:t>
      </w:r>
      <w:r w:rsidR="009170BF" w:rsidRPr="00004E1E">
        <w:t xml:space="preserve">suppliers of </w:t>
      </w:r>
      <w:r w:rsidR="009170BF">
        <w:t xml:space="preserve">traditional </w:t>
      </w:r>
      <w:r w:rsidR="009170BF" w:rsidRPr="00004E1E">
        <w:t xml:space="preserve">office products to </w:t>
      </w:r>
      <w:r>
        <w:t xml:space="preserve">large </w:t>
      </w:r>
      <w:r w:rsidR="009170BF" w:rsidRPr="00004E1E">
        <w:t>customers in Australia</w:t>
      </w:r>
      <w:r w:rsidR="009170BF">
        <w:t>, thus reinforcing Staples’ current position as market leader</w:t>
      </w:r>
      <w:r w:rsidR="009170BF" w:rsidRPr="00004E1E">
        <w:t xml:space="preserve">. </w:t>
      </w:r>
    </w:p>
    <w:p w:rsidR="009170BF" w:rsidRPr="00CA52A0" w:rsidRDefault="009170BF" w:rsidP="00C64242">
      <w:pPr>
        <w:pStyle w:val="Numbered"/>
        <w:numPr>
          <w:ilvl w:val="0"/>
          <w:numId w:val="8"/>
        </w:numPr>
      </w:pPr>
      <w:r w:rsidRPr="0061013D">
        <w:t xml:space="preserve">The most direct effect of the proposed acquisition would be the loss of competition between </w:t>
      </w:r>
      <w:r w:rsidR="00080E85">
        <w:t>Staples and OfficeMax</w:t>
      </w:r>
      <w:r w:rsidRPr="0061013D">
        <w:t>.</w:t>
      </w:r>
    </w:p>
    <w:p w:rsidR="009170BF" w:rsidRPr="00004E1E" w:rsidRDefault="009170BF" w:rsidP="00C64242">
      <w:pPr>
        <w:pStyle w:val="Heading4"/>
      </w:pPr>
      <w:r w:rsidRPr="00004E1E">
        <w:t>Removal of competitive rivalry and lack of viable alternative suppliers</w:t>
      </w:r>
    </w:p>
    <w:p w:rsidR="009170BF" w:rsidRDefault="009170BF" w:rsidP="00C64242">
      <w:pPr>
        <w:pStyle w:val="Numbered"/>
        <w:numPr>
          <w:ilvl w:val="0"/>
          <w:numId w:val="8"/>
        </w:numPr>
      </w:pPr>
      <w:r w:rsidRPr="00004E1E">
        <w:t xml:space="preserve">The ACCC’s </w:t>
      </w:r>
      <w:r>
        <w:t xml:space="preserve">market inquiries indicate that large </w:t>
      </w:r>
      <w:r w:rsidR="008238DB">
        <w:t xml:space="preserve">commercial </w:t>
      </w:r>
      <w:r>
        <w:t xml:space="preserve">and government customers </w:t>
      </w:r>
      <w:r w:rsidRPr="006D2DEC">
        <w:t xml:space="preserve">have benefited </w:t>
      </w:r>
      <w:r w:rsidR="0041600A">
        <w:t xml:space="preserve">historically </w:t>
      </w:r>
      <w:r w:rsidRPr="006D2DEC">
        <w:t xml:space="preserve">from competition between </w:t>
      </w:r>
      <w:r>
        <w:t>Staples and OfficeMax</w:t>
      </w:r>
      <w:r w:rsidRPr="006D2DEC">
        <w:t xml:space="preserve"> when </w:t>
      </w:r>
      <w:r>
        <w:t>tendering for office supplies</w:t>
      </w:r>
      <w:r w:rsidRPr="006D2DEC">
        <w:t>.</w:t>
      </w:r>
      <w:r>
        <w:t xml:space="preserve"> </w:t>
      </w:r>
      <w:r w:rsidR="00F466F0">
        <w:t>Some m</w:t>
      </w:r>
      <w:r w:rsidRPr="00695BD6">
        <w:t xml:space="preserve">arket participants have expressed concerns that this competitive tension would be lost as a result of the proposed </w:t>
      </w:r>
      <w:r>
        <w:t>acquisition</w:t>
      </w:r>
      <w:r w:rsidRPr="00695BD6">
        <w:t xml:space="preserve"> and that </w:t>
      </w:r>
      <w:r w:rsidR="00170756">
        <w:t>a</w:t>
      </w:r>
      <w:r w:rsidR="00170756" w:rsidRPr="00695BD6">
        <w:t xml:space="preserve"> </w:t>
      </w:r>
      <w:r w:rsidR="00CE2785">
        <w:t>combined Staples-OfficeMax</w:t>
      </w:r>
      <w:r w:rsidRPr="00695BD6">
        <w:t xml:space="preserve"> would have the ability to </w:t>
      </w:r>
      <w:r w:rsidR="00A44CE1">
        <w:t xml:space="preserve">profitably </w:t>
      </w:r>
      <w:r w:rsidRPr="00695BD6">
        <w:t xml:space="preserve">increase </w:t>
      </w:r>
      <w:r>
        <w:t>prices and</w:t>
      </w:r>
      <w:r w:rsidR="006D0709">
        <w:t>/or</w:t>
      </w:r>
      <w:r>
        <w:t xml:space="preserve"> </w:t>
      </w:r>
      <w:r w:rsidRPr="00695BD6">
        <w:t>reduce service levels</w:t>
      </w:r>
      <w:r>
        <w:t>.</w:t>
      </w:r>
    </w:p>
    <w:p w:rsidR="009170BF" w:rsidRPr="00E47438" w:rsidRDefault="009170BF" w:rsidP="00C64242">
      <w:pPr>
        <w:pStyle w:val="Numbered"/>
        <w:numPr>
          <w:ilvl w:val="0"/>
          <w:numId w:val="8"/>
        </w:numPr>
      </w:pPr>
      <w:r>
        <w:t xml:space="preserve">The ACCC is of the </w:t>
      </w:r>
      <w:r w:rsidRPr="00004E1E">
        <w:t xml:space="preserve">preliminary view that Staples and OfficeMax compete very closely, and </w:t>
      </w:r>
      <w:r w:rsidRPr="00751E43">
        <w:t>may be each other’s closest competitors</w:t>
      </w:r>
      <w:r>
        <w:t xml:space="preserve"> in providing a </w:t>
      </w:r>
      <w:r w:rsidR="00C64242">
        <w:t xml:space="preserve">‘one </w:t>
      </w:r>
      <w:r w:rsidRPr="00004E1E">
        <w:t xml:space="preserve">stop shop’ for </w:t>
      </w:r>
      <w:r w:rsidR="00A44CE1">
        <w:t xml:space="preserve">large </w:t>
      </w:r>
      <w:r>
        <w:t xml:space="preserve">customers’ </w:t>
      </w:r>
      <w:r w:rsidRPr="00004E1E">
        <w:t xml:space="preserve">office product needs, in terms of their product ranges, pricing, tendering activity, target customers, services (for example, IT processing systems and delivery times) and </w:t>
      </w:r>
      <w:r>
        <w:t xml:space="preserve">their ability to supply nationwide </w:t>
      </w:r>
      <w:r w:rsidRPr="00004E1E">
        <w:t>(including distribution capacity).</w:t>
      </w:r>
      <w:r>
        <w:t xml:space="preserve"> Indeed, s</w:t>
      </w:r>
      <w:r w:rsidRPr="00004E1E">
        <w:t xml:space="preserve">ome customers consider that Staples and OfficeMax are the only two suppliers who can provide </w:t>
      </w:r>
      <w:r>
        <w:t xml:space="preserve">this </w:t>
      </w:r>
      <w:r w:rsidR="00C64242">
        <w:t xml:space="preserve">‘one </w:t>
      </w:r>
      <w:r w:rsidRPr="00004E1E">
        <w:t>stop shop’</w:t>
      </w:r>
      <w:r>
        <w:t xml:space="preserve"> service</w:t>
      </w:r>
      <w:r w:rsidRPr="00004E1E">
        <w:t xml:space="preserve">. </w:t>
      </w:r>
    </w:p>
    <w:p w:rsidR="009F1518" w:rsidRDefault="009170BF" w:rsidP="00C64242">
      <w:pPr>
        <w:pStyle w:val="Numbered"/>
        <w:numPr>
          <w:ilvl w:val="0"/>
          <w:numId w:val="8"/>
        </w:numPr>
      </w:pPr>
      <w:r>
        <w:t>The ACCC’s investigation suggests that t</w:t>
      </w:r>
      <w:r w:rsidRPr="00004E1E">
        <w:t xml:space="preserve">here </w:t>
      </w:r>
      <w:r>
        <w:t xml:space="preserve">are </w:t>
      </w:r>
      <w:r w:rsidRPr="00004E1E">
        <w:t>a limited number of alternative suppliers to Staples and OfficeMax with the necessary product range, processing systems and logistical capability to satisfy the requirements of large customers</w:t>
      </w:r>
      <w:r w:rsidRPr="00CB7697">
        <w:t>.</w:t>
      </w:r>
      <w:r>
        <w:t xml:space="preserve"> A number of m</w:t>
      </w:r>
      <w:r w:rsidRPr="00004E1E">
        <w:t xml:space="preserve">arket participants </w:t>
      </w:r>
      <w:r>
        <w:t xml:space="preserve">have </w:t>
      </w:r>
      <w:r w:rsidRPr="00004E1E">
        <w:t>identified COS and Lyreco</w:t>
      </w:r>
      <w:r>
        <w:t xml:space="preserve"> </w:t>
      </w:r>
      <w:r w:rsidRPr="00004E1E">
        <w:t>as po</w:t>
      </w:r>
      <w:r>
        <w:t xml:space="preserve">ssible </w:t>
      </w:r>
      <w:r w:rsidRPr="00004E1E">
        <w:t>alternative</w:t>
      </w:r>
      <w:r>
        <w:t xml:space="preserve"> </w:t>
      </w:r>
      <w:r w:rsidRPr="00004E1E">
        <w:t>s</w:t>
      </w:r>
      <w:r>
        <w:t xml:space="preserve">uppliers. In particular, </w:t>
      </w:r>
      <w:r w:rsidRPr="00CB7697">
        <w:t xml:space="preserve">COS and Lyreco </w:t>
      </w:r>
      <w:r>
        <w:t xml:space="preserve">supply a number of large customers and </w:t>
      </w:r>
      <w:r w:rsidRPr="00CB7697">
        <w:t xml:space="preserve">have won </w:t>
      </w:r>
      <w:r>
        <w:t xml:space="preserve">customers </w:t>
      </w:r>
      <w:r w:rsidRPr="00CB7697">
        <w:t xml:space="preserve">from </w:t>
      </w:r>
      <w:r w:rsidR="00A44CE1">
        <w:t>Staples and OfficeMax</w:t>
      </w:r>
      <w:r>
        <w:t>. COS in particular has had success in achieving positions on government tender panels</w:t>
      </w:r>
      <w:r w:rsidR="001B7FCD">
        <w:t xml:space="preserve">, although the ACCC </w:t>
      </w:r>
      <w:r w:rsidR="009F1518">
        <w:t>understands</w:t>
      </w:r>
      <w:r w:rsidR="001B7FCD">
        <w:t xml:space="preserve"> that winning a position on a panel is not a guarantee of </w:t>
      </w:r>
      <w:r w:rsidR="009357DF">
        <w:t>sales</w:t>
      </w:r>
      <w:r>
        <w:t xml:space="preserve">. </w:t>
      </w:r>
      <w:r w:rsidR="009F1518">
        <w:t xml:space="preserve">This is because </w:t>
      </w:r>
      <w:r w:rsidR="004E2B03">
        <w:t xml:space="preserve">under a panel arrangement </w:t>
      </w:r>
      <w:r w:rsidR="009F1518">
        <w:t xml:space="preserve">individual government departments and agencies </w:t>
      </w:r>
      <w:r w:rsidR="004E2B03">
        <w:t xml:space="preserve">can choose which panel member to source from, and </w:t>
      </w:r>
      <w:r w:rsidR="009F1518">
        <w:t xml:space="preserve">often conduct a further </w:t>
      </w:r>
      <w:r w:rsidR="0089799D">
        <w:t>competitive process between the panellists before entering contractual arrangements.</w:t>
      </w:r>
    </w:p>
    <w:p w:rsidR="009170BF" w:rsidRDefault="009170BF" w:rsidP="00C64242">
      <w:pPr>
        <w:pStyle w:val="Numbered"/>
        <w:numPr>
          <w:ilvl w:val="0"/>
          <w:numId w:val="8"/>
        </w:numPr>
      </w:pPr>
      <w:r>
        <w:lastRenderedPageBreak/>
        <w:t xml:space="preserve">The ACCC is of the preliminary view that COS and Lyreco compete with </w:t>
      </w:r>
      <w:r w:rsidR="00A44CE1">
        <w:t xml:space="preserve">Staples and OfficeMax </w:t>
      </w:r>
      <w:r>
        <w:t xml:space="preserve">for large customers. However, </w:t>
      </w:r>
      <w:r w:rsidRPr="00004E1E">
        <w:t xml:space="preserve">they </w:t>
      </w:r>
      <w:r w:rsidR="00290F73">
        <w:t xml:space="preserve">appear to </w:t>
      </w:r>
      <w:r w:rsidRPr="00004E1E">
        <w:t>operate on a smaller scale</w:t>
      </w:r>
      <w:r>
        <w:t xml:space="preserve">, and to focus </w:t>
      </w:r>
      <w:r w:rsidR="00AB5B3D">
        <w:t xml:space="preserve">more </w:t>
      </w:r>
      <w:r>
        <w:t>on medium</w:t>
      </w:r>
      <w:r w:rsidR="00170756">
        <w:t>-sized</w:t>
      </w:r>
      <w:r>
        <w:t xml:space="preserve"> customers</w:t>
      </w:r>
      <w:r w:rsidRPr="00004E1E">
        <w:t xml:space="preserve">. </w:t>
      </w:r>
      <w:r w:rsidR="00491C09">
        <w:t>In addition, s</w:t>
      </w:r>
      <w:r w:rsidRPr="00004E1E">
        <w:t xml:space="preserve">ome </w:t>
      </w:r>
      <w:r>
        <w:t xml:space="preserve">doubts have been expressed as to </w:t>
      </w:r>
      <w:r w:rsidRPr="00004E1E">
        <w:t xml:space="preserve">the </w:t>
      </w:r>
      <w:r>
        <w:t xml:space="preserve">capacity of COS and Lyreco and their </w:t>
      </w:r>
      <w:r w:rsidRPr="00004E1E">
        <w:t>ability to scale</w:t>
      </w:r>
      <w:r w:rsidR="008E7B8C">
        <w:t>-</w:t>
      </w:r>
      <w:r w:rsidRPr="00004E1E">
        <w:t>up</w:t>
      </w:r>
      <w:r w:rsidR="00F54036">
        <w:t xml:space="preserve"> </w:t>
      </w:r>
      <w:r w:rsidRPr="00004E1E">
        <w:t xml:space="preserve">to compete effectively with </w:t>
      </w:r>
      <w:r w:rsidR="00A44CE1">
        <w:t>a combined Staples-OfficeMax</w:t>
      </w:r>
      <w:r w:rsidRPr="00004E1E">
        <w:t xml:space="preserve">. </w:t>
      </w:r>
    </w:p>
    <w:p w:rsidR="009170BF" w:rsidRPr="00004E1E" w:rsidRDefault="009170BF" w:rsidP="00C64242">
      <w:pPr>
        <w:pStyle w:val="Numbered"/>
        <w:numPr>
          <w:ilvl w:val="0"/>
          <w:numId w:val="8"/>
        </w:numPr>
      </w:pPr>
      <w:r>
        <w:t xml:space="preserve">Other suppliers include </w:t>
      </w:r>
      <w:r w:rsidRPr="00004E1E">
        <w:t xml:space="preserve">buying groups, such as Office Brands and Office Choice, </w:t>
      </w:r>
      <w:r w:rsidR="00C70135">
        <w:t>groupings of</w:t>
      </w:r>
      <w:r w:rsidR="002F25AE">
        <w:t xml:space="preserve"> independent</w:t>
      </w:r>
      <w:r w:rsidR="00C70135">
        <w:t xml:space="preserve"> local retailers</w:t>
      </w:r>
      <w:r w:rsidR="00541277">
        <w:t>.</w:t>
      </w:r>
      <w:r w:rsidR="00C70135">
        <w:t xml:space="preserve"> </w:t>
      </w:r>
      <w:r w:rsidR="00541277">
        <w:t>They</w:t>
      </w:r>
      <w:r w:rsidR="002F25AE">
        <w:t xml:space="preserve"> </w:t>
      </w:r>
      <w:r>
        <w:t xml:space="preserve">appear </w:t>
      </w:r>
      <w:r w:rsidR="00971879" w:rsidRPr="00004E1E">
        <w:t xml:space="preserve">generally </w:t>
      </w:r>
      <w:r>
        <w:t xml:space="preserve">to be </w:t>
      </w:r>
      <w:r w:rsidRPr="00004E1E">
        <w:t>u</w:t>
      </w:r>
      <w:r>
        <w:t>sed</w:t>
      </w:r>
      <w:r w:rsidRPr="00004E1E">
        <w:t xml:space="preserve"> by small </w:t>
      </w:r>
      <w:r>
        <w:t xml:space="preserve">and </w:t>
      </w:r>
      <w:r w:rsidRPr="00004E1E">
        <w:t xml:space="preserve">medium-sized businesses and operate </w:t>
      </w:r>
      <w:r>
        <w:t xml:space="preserve">under </w:t>
      </w:r>
      <w:r w:rsidRPr="00004E1E">
        <w:t>region</w:t>
      </w:r>
      <w:r>
        <w:t xml:space="preserve">al </w:t>
      </w:r>
      <w:r w:rsidRPr="00004E1E">
        <w:t xml:space="preserve">networks. Market participants have suggested that </w:t>
      </w:r>
      <w:r w:rsidR="00652A3A">
        <w:t xml:space="preserve">such suppliers </w:t>
      </w:r>
      <w:r w:rsidRPr="00004E1E">
        <w:t xml:space="preserve">are less likely to be able to supply a broad range of office products at competitive prices, and are </w:t>
      </w:r>
      <w:r>
        <w:t xml:space="preserve">generally </w:t>
      </w:r>
      <w:r w:rsidRPr="00004E1E">
        <w:t xml:space="preserve">unable to provide the specialised IT systems required by large customers with high volume purchases. </w:t>
      </w:r>
      <w:r>
        <w:t xml:space="preserve">The available </w:t>
      </w:r>
      <w:r w:rsidR="00652A3A">
        <w:t xml:space="preserve">information </w:t>
      </w:r>
      <w:r>
        <w:t xml:space="preserve">indicates </w:t>
      </w:r>
      <w:r w:rsidRPr="00004E1E">
        <w:t xml:space="preserve">that there are limited instances where such buying groups have been </w:t>
      </w:r>
      <w:r>
        <w:t xml:space="preserve">successful in securing large </w:t>
      </w:r>
      <w:r w:rsidR="008238DB">
        <w:t xml:space="preserve">commercial </w:t>
      </w:r>
      <w:r>
        <w:t xml:space="preserve">and </w:t>
      </w:r>
      <w:r w:rsidRPr="00004E1E">
        <w:t xml:space="preserve">government </w:t>
      </w:r>
      <w:r>
        <w:t>customers, and that where they have been successful this has tended to be limited to specific geographical locations</w:t>
      </w:r>
      <w:r w:rsidRPr="00004E1E">
        <w:t>.</w:t>
      </w:r>
    </w:p>
    <w:p w:rsidR="009170BF" w:rsidRPr="00004E1E" w:rsidRDefault="009170BF" w:rsidP="00C64242">
      <w:pPr>
        <w:pStyle w:val="Numbered"/>
        <w:numPr>
          <w:ilvl w:val="0"/>
          <w:numId w:val="8"/>
        </w:numPr>
      </w:pPr>
      <w:r w:rsidRPr="00004E1E">
        <w:t xml:space="preserve">Category specialist suppliers, such as suppliers of ink, toner and/or paper (for example, </w:t>
      </w:r>
      <w:r w:rsidR="00170756">
        <w:t>Hewlett-Packard</w:t>
      </w:r>
      <w:r w:rsidRPr="00004E1E">
        <w:t>)</w:t>
      </w:r>
      <w:r>
        <w:t>,</w:t>
      </w:r>
      <w:r w:rsidRPr="00004E1E">
        <w:t xml:space="preserve"> and original equipment manufacturers (such as Dell)</w:t>
      </w:r>
      <w:r>
        <w:t>,</w:t>
      </w:r>
      <w:r w:rsidRPr="00004E1E">
        <w:t xml:space="preserve"> supply specific product categories only. As noted</w:t>
      </w:r>
      <w:r>
        <w:t xml:space="preserve"> above</w:t>
      </w:r>
      <w:r w:rsidRPr="00004E1E">
        <w:t xml:space="preserve">, </w:t>
      </w:r>
      <w:r w:rsidR="009357DF">
        <w:t xml:space="preserve">many </w:t>
      </w:r>
      <w:r w:rsidRPr="00004E1E">
        <w:t xml:space="preserve">large customers prefer a </w:t>
      </w:r>
      <w:r>
        <w:t xml:space="preserve">contractual arrangement </w:t>
      </w:r>
      <w:r w:rsidR="009357DF">
        <w:t xml:space="preserve">with </w:t>
      </w:r>
      <w:r w:rsidR="00170756">
        <w:t xml:space="preserve">a single </w:t>
      </w:r>
      <w:r w:rsidR="009357DF">
        <w:t xml:space="preserve">supplier </w:t>
      </w:r>
      <w:r>
        <w:t xml:space="preserve">for </w:t>
      </w:r>
      <w:r w:rsidRPr="00004E1E">
        <w:t xml:space="preserve">a broad range of office products. </w:t>
      </w:r>
      <w:r w:rsidR="009357DF">
        <w:t>While large customers appear to utilise other sources</w:t>
      </w:r>
      <w:r w:rsidR="00381B70" w:rsidRPr="00381B70">
        <w:t xml:space="preserve"> </w:t>
      </w:r>
      <w:r w:rsidR="00381B70">
        <w:t>from time to time</w:t>
      </w:r>
      <w:r w:rsidR="009357DF">
        <w:t>, such as s</w:t>
      </w:r>
      <w:r w:rsidRPr="00004E1E">
        <w:t xml:space="preserve">upermarkets and other retailers such as </w:t>
      </w:r>
      <w:proofErr w:type="spellStart"/>
      <w:r w:rsidR="00882EB9">
        <w:t>Officeworks</w:t>
      </w:r>
      <w:proofErr w:type="spellEnd"/>
      <w:r w:rsidR="00882EB9">
        <w:t xml:space="preserve">, </w:t>
      </w:r>
      <w:r w:rsidRPr="00004E1E">
        <w:t>Woolworths, Coles, Big W and Australia Post</w:t>
      </w:r>
      <w:r>
        <w:t>, (</w:t>
      </w:r>
      <w:r w:rsidR="00CB6419">
        <w:t>often referred to as ‘</w:t>
      </w:r>
      <w:r>
        <w:t>off-contract spend</w:t>
      </w:r>
      <w:r w:rsidR="00CB6419">
        <w:t>’</w:t>
      </w:r>
      <w:r w:rsidR="00233F5E">
        <w:t xml:space="preserve"> or ‘leakage’</w:t>
      </w:r>
      <w:r>
        <w:t>),</w:t>
      </w:r>
      <w:r w:rsidRPr="00004E1E">
        <w:t xml:space="preserve"> </w:t>
      </w:r>
      <w:r w:rsidR="00381B70">
        <w:t xml:space="preserve">such suppliers </w:t>
      </w:r>
      <w:r w:rsidRPr="00004E1E">
        <w:t>do not offer the full product range required by large customers</w:t>
      </w:r>
      <w:r>
        <w:t>, or have the technical expertise required</w:t>
      </w:r>
      <w:r w:rsidRPr="00004E1E">
        <w:t xml:space="preserve">. </w:t>
      </w:r>
      <w:r w:rsidR="00381B70">
        <w:t xml:space="preserve">The ACCC does not consider that such suppliers are likely to impose a sufficient competitive constraint on a </w:t>
      </w:r>
      <w:r w:rsidR="00541277">
        <w:t>combined</w:t>
      </w:r>
      <w:r w:rsidR="00381B70">
        <w:t xml:space="preserve"> Staples-OfficeMax </w:t>
      </w:r>
      <w:r w:rsidR="002C28D6">
        <w:t xml:space="preserve">such as </w:t>
      </w:r>
      <w:r w:rsidR="00381B70">
        <w:t>to prevent a price rise</w:t>
      </w:r>
      <w:r w:rsidR="006D0709">
        <w:t xml:space="preserve"> and/or a decrease in service levels</w:t>
      </w:r>
      <w:r w:rsidR="00381B70">
        <w:t xml:space="preserve">. </w:t>
      </w:r>
    </w:p>
    <w:p w:rsidR="009170BF" w:rsidRPr="00004E1E" w:rsidRDefault="00951D37" w:rsidP="00C64242">
      <w:pPr>
        <w:pStyle w:val="Numbered"/>
        <w:numPr>
          <w:ilvl w:val="0"/>
          <w:numId w:val="8"/>
        </w:numPr>
      </w:pPr>
      <w:r>
        <w:t xml:space="preserve">Staples and OfficeMax have submitted </w:t>
      </w:r>
      <w:r w:rsidR="009170BF">
        <w:t xml:space="preserve">that </w:t>
      </w:r>
      <w:proofErr w:type="spellStart"/>
      <w:r w:rsidR="009170BF" w:rsidRPr="00004E1E">
        <w:t>Officeworks</w:t>
      </w:r>
      <w:proofErr w:type="spellEnd"/>
      <w:r w:rsidR="009170BF">
        <w:t xml:space="preserve"> competes for large customers. However, b</w:t>
      </w:r>
      <w:r w:rsidR="009170BF" w:rsidRPr="00004E1E">
        <w:t xml:space="preserve">ased on </w:t>
      </w:r>
      <w:r w:rsidR="00CE2785">
        <w:t>the ACCC’s</w:t>
      </w:r>
      <w:r w:rsidR="00CE2785" w:rsidRPr="00004E1E">
        <w:t xml:space="preserve"> </w:t>
      </w:r>
      <w:r w:rsidR="009170BF" w:rsidRPr="00004E1E">
        <w:t xml:space="preserve">inquiries to date, </w:t>
      </w:r>
      <w:r w:rsidR="007F53E6">
        <w:t xml:space="preserve">it appears </w:t>
      </w:r>
      <w:r w:rsidR="009170BF" w:rsidRPr="00004E1E">
        <w:t xml:space="preserve">that </w:t>
      </w:r>
      <w:proofErr w:type="spellStart"/>
      <w:r w:rsidR="009170BF" w:rsidRPr="00004E1E">
        <w:t>Officeworks</w:t>
      </w:r>
      <w:proofErr w:type="spellEnd"/>
      <w:r w:rsidR="009170BF">
        <w:t>’ focus is on retail customers and small to medium business customers. Its website states that it caters for “</w:t>
      </w:r>
      <w:r w:rsidR="009170BF" w:rsidRPr="00C64242">
        <w:rPr>
          <w:i/>
        </w:rPr>
        <w:t>micro, small and medium business customers</w:t>
      </w:r>
      <w:r w:rsidR="009170BF">
        <w:t xml:space="preserve">”, and its CEO has recently stated publicly </w:t>
      </w:r>
      <w:r w:rsidR="009170BF" w:rsidRPr="002B1094">
        <w:t>that</w:t>
      </w:r>
      <w:r w:rsidR="009170BF" w:rsidRPr="00C64242">
        <w:rPr>
          <w:color w:val="1B2F6F"/>
        </w:rPr>
        <w:t xml:space="preserve"> </w:t>
      </w:r>
      <w:r w:rsidR="009170BF" w:rsidRPr="00951D37">
        <w:t>the</w:t>
      </w:r>
      <w:r w:rsidR="009170BF" w:rsidRPr="00C64242">
        <w:rPr>
          <w:color w:val="1B2F6F"/>
        </w:rPr>
        <w:t xml:space="preserve"> </w:t>
      </w:r>
      <w:r w:rsidR="009170BF" w:rsidRPr="00C64242">
        <w:rPr>
          <w:color w:val="000000"/>
        </w:rPr>
        <w:t>customer set it chooses to serve is</w:t>
      </w:r>
      <w:r w:rsidR="009170BF" w:rsidRPr="00BB4B78">
        <w:t xml:space="preserve"> “</w:t>
      </w:r>
      <w:r w:rsidR="009170BF" w:rsidRPr="00C64242">
        <w:rPr>
          <w:i/>
          <w:color w:val="000000"/>
        </w:rPr>
        <w:t>small, micro and medium business customers, householders and students</w:t>
      </w:r>
      <w:r w:rsidR="009170BF">
        <w:t>”</w:t>
      </w:r>
      <w:r w:rsidR="007F53E6">
        <w:t>.</w:t>
      </w:r>
      <w:r w:rsidR="000554A1">
        <w:rPr>
          <w:rStyle w:val="FootnoteReference"/>
        </w:rPr>
        <w:footnoteReference w:id="21"/>
      </w:r>
      <w:r w:rsidR="009170BF">
        <w:t xml:space="preserve"> </w:t>
      </w:r>
      <w:r w:rsidR="009170BF" w:rsidRPr="00004E1E">
        <w:t>M</w:t>
      </w:r>
      <w:r w:rsidR="003C74F9">
        <w:t xml:space="preserve">arket inquiries suggest that many </w:t>
      </w:r>
      <w:r w:rsidR="009170BF" w:rsidRPr="00004E1E">
        <w:t xml:space="preserve">market participants do not consider </w:t>
      </w:r>
      <w:proofErr w:type="spellStart"/>
      <w:r w:rsidR="009170BF" w:rsidRPr="00004E1E">
        <w:t>Officeworks</w:t>
      </w:r>
      <w:proofErr w:type="spellEnd"/>
      <w:r w:rsidR="009170BF" w:rsidRPr="00004E1E">
        <w:t xml:space="preserve"> to be a </w:t>
      </w:r>
      <w:r w:rsidR="009170BF">
        <w:t>credible</w:t>
      </w:r>
      <w:r w:rsidR="009170BF" w:rsidRPr="00004E1E">
        <w:t xml:space="preserve"> supplier to </w:t>
      </w:r>
      <w:r w:rsidR="00170756">
        <w:t xml:space="preserve">large </w:t>
      </w:r>
      <w:r w:rsidR="008238DB">
        <w:t xml:space="preserve">commercial </w:t>
      </w:r>
      <w:r w:rsidR="009170BF" w:rsidRPr="00004E1E">
        <w:t xml:space="preserve">and government customers. In particular, </w:t>
      </w:r>
      <w:r w:rsidR="009170BF">
        <w:t>some</w:t>
      </w:r>
      <w:r w:rsidR="009170BF" w:rsidRPr="00004E1E">
        <w:t xml:space="preserve"> large customers have indicated that </w:t>
      </w:r>
      <w:proofErr w:type="spellStart"/>
      <w:r w:rsidR="009170BF" w:rsidRPr="00004E1E">
        <w:t>Officeworks</w:t>
      </w:r>
      <w:proofErr w:type="spellEnd"/>
      <w:r w:rsidR="009170BF" w:rsidRPr="00004E1E">
        <w:t xml:space="preserve"> has limited ability to meet their requirements for a broad product range and service level capabilities (including EDI capability and logistics).</w:t>
      </w:r>
      <w:r w:rsidR="009170BF">
        <w:t xml:space="preserve"> </w:t>
      </w:r>
      <w:r w:rsidR="00C739B2">
        <w:t xml:space="preserve">As noted above, </w:t>
      </w:r>
      <w:proofErr w:type="spellStart"/>
      <w:r w:rsidR="00FC578B" w:rsidRPr="00FC578B">
        <w:t>Officeworks</w:t>
      </w:r>
      <w:proofErr w:type="spellEnd"/>
      <w:r w:rsidR="00FC578B" w:rsidRPr="00FC578B">
        <w:t xml:space="preserve"> does not appear to have expanded </w:t>
      </w:r>
      <w:r w:rsidR="00DD50B5">
        <w:t xml:space="preserve">significantly </w:t>
      </w:r>
      <w:r w:rsidR="00FC578B" w:rsidRPr="00FC578B">
        <w:t xml:space="preserve">into </w:t>
      </w:r>
      <w:r w:rsidR="00C739B2">
        <w:t xml:space="preserve">the </w:t>
      </w:r>
      <w:r w:rsidR="00FC578B" w:rsidRPr="00FC578B">
        <w:t>supply</w:t>
      </w:r>
      <w:r w:rsidR="00C739B2">
        <w:t xml:space="preserve"> of</w:t>
      </w:r>
      <w:r w:rsidR="00FC578B" w:rsidRPr="00FC578B">
        <w:t xml:space="preserve"> large commercial and government customers in the last few years.</w:t>
      </w:r>
    </w:p>
    <w:p w:rsidR="009170BF" w:rsidRPr="00004E1E" w:rsidRDefault="006801A3" w:rsidP="00C64242">
      <w:pPr>
        <w:pStyle w:val="Numbered"/>
        <w:numPr>
          <w:ilvl w:val="0"/>
          <w:numId w:val="8"/>
        </w:numPr>
      </w:pPr>
      <w:r>
        <w:lastRenderedPageBreak/>
        <w:t xml:space="preserve">Staples and OfficeMax </w:t>
      </w:r>
      <w:r w:rsidR="009170BF">
        <w:t xml:space="preserve">have also referred to </w:t>
      </w:r>
      <w:r w:rsidR="009170BF" w:rsidRPr="00004E1E">
        <w:t xml:space="preserve">Amazon </w:t>
      </w:r>
      <w:r w:rsidR="009170BF">
        <w:t xml:space="preserve">as </w:t>
      </w:r>
      <w:r w:rsidR="009170BF" w:rsidRPr="00004E1E">
        <w:t xml:space="preserve">a credible supplier in the foreseeable future. </w:t>
      </w:r>
      <w:r w:rsidR="009170BF">
        <w:t xml:space="preserve">However, </w:t>
      </w:r>
      <w:r w:rsidR="009170BF" w:rsidRPr="00004E1E">
        <w:t xml:space="preserve">Amazon is not yet established in Australia, and </w:t>
      </w:r>
      <w:r w:rsidR="009170BF">
        <w:t xml:space="preserve">the ACCC understands that </w:t>
      </w:r>
      <w:r w:rsidR="009170BF" w:rsidRPr="00004E1E">
        <w:t>it</w:t>
      </w:r>
      <w:r w:rsidR="009170BF">
        <w:t>s</w:t>
      </w:r>
      <w:r w:rsidR="009170BF" w:rsidRPr="00004E1E">
        <w:t xml:space="preserve"> </w:t>
      </w:r>
      <w:r w:rsidR="009170BF">
        <w:t xml:space="preserve">current entry plans focus on the </w:t>
      </w:r>
      <w:r w:rsidR="009170BF" w:rsidRPr="00004E1E">
        <w:t xml:space="preserve">retail </w:t>
      </w:r>
      <w:r w:rsidR="009170BF">
        <w:t>level.</w:t>
      </w:r>
      <w:r w:rsidR="00F036E8">
        <w:rPr>
          <w:rStyle w:val="FootnoteReference"/>
        </w:rPr>
        <w:footnoteReference w:id="22"/>
      </w:r>
      <w:r w:rsidR="009170BF" w:rsidRPr="00004E1E">
        <w:t xml:space="preserve"> </w:t>
      </w:r>
    </w:p>
    <w:p w:rsidR="00B946CB" w:rsidRDefault="00D93028" w:rsidP="00C64242">
      <w:pPr>
        <w:pStyle w:val="Numbered"/>
        <w:numPr>
          <w:ilvl w:val="0"/>
          <w:numId w:val="8"/>
        </w:numPr>
      </w:pPr>
      <w:r>
        <w:t xml:space="preserve">In the light of the above, </w:t>
      </w:r>
      <w:r w:rsidR="00B946CB">
        <w:t>it appears that the</w:t>
      </w:r>
      <w:r w:rsidR="00A87C82">
        <w:t xml:space="preserve">re may be </w:t>
      </w:r>
      <w:r>
        <w:t xml:space="preserve">a lack of viable alternative suppliers </w:t>
      </w:r>
      <w:r w:rsidR="00985AAF">
        <w:t xml:space="preserve">that will </w:t>
      </w:r>
      <w:r>
        <w:t xml:space="preserve">place </w:t>
      </w:r>
      <w:r w:rsidR="00B946CB">
        <w:t>a s</w:t>
      </w:r>
      <w:r>
        <w:t xml:space="preserve">ufficient </w:t>
      </w:r>
      <w:r w:rsidR="00B946CB">
        <w:t>competitive constraint on a combined Staples-OfficeMax.</w:t>
      </w:r>
    </w:p>
    <w:p w:rsidR="009170BF" w:rsidRPr="00F4365B" w:rsidRDefault="00533377" w:rsidP="00C64242">
      <w:pPr>
        <w:pStyle w:val="Numbered"/>
        <w:numPr>
          <w:ilvl w:val="0"/>
          <w:numId w:val="8"/>
        </w:numPr>
      </w:pPr>
      <w:r>
        <w:t>A</w:t>
      </w:r>
      <w:r w:rsidR="009170BF" w:rsidRPr="00F4365B">
        <w:t>lternative suppliers are considered further in the section on ‘Barriers to entry and expansion’ below.</w:t>
      </w:r>
    </w:p>
    <w:p w:rsidR="009170BF" w:rsidRPr="00004E1E" w:rsidRDefault="009170BF" w:rsidP="00C64242">
      <w:pPr>
        <w:pStyle w:val="Heading4"/>
      </w:pPr>
      <w:r w:rsidRPr="00004E1E">
        <w:t>Barriers to entry and expansion</w:t>
      </w:r>
    </w:p>
    <w:p w:rsidR="009170BF" w:rsidRPr="00C64242" w:rsidRDefault="009170BF" w:rsidP="00C64242">
      <w:pPr>
        <w:pStyle w:val="Numbered"/>
        <w:numPr>
          <w:ilvl w:val="0"/>
          <w:numId w:val="8"/>
        </w:numPr>
        <w:rPr>
          <w:rFonts w:eastAsia="Calibri"/>
        </w:rPr>
      </w:pPr>
      <w:r w:rsidRPr="00004E1E">
        <w:t xml:space="preserve">The ACCC’s preliminary view is that the threat of new entry or expansion in the relevant market </w:t>
      </w:r>
      <w:r w:rsidR="00743CF0">
        <w:t xml:space="preserve">may not </w:t>
      </w:r>
      <w:r w:rsidRPr="00D8362B">
        <w:t xml:space="preserve">constrain a price increase or a decrease in service levels imposed by </w:t>
      </w:r>
      <w:r w:rsidR="006801A3">
        <w:t>a combined Staples-OfficeMax</w:t>
      </w:r>
      <w:r w:rsidRPr="00004E1E">
        <w:t xml:space="preserve">. </w:t>
      </w:r>
    </w:p>
    <w:p w:rsidR="009170BF" w:rsidRDefault="009170BF" w:rsidP="00C64242">
      <w:pPr>
        <w:pStyle w:val="Numbered"/>
        <w:numPr>
          <w:ilvl w:val="0"/>
          <w:numId w:val="8"/>
        </w:numPr>
      </w:pPr>
      <w:r w:rsidRPr="00004E1E">
        <w:t xml:space="preserve">The information before the ACCC indicates that there are barriers </w:t>
      </w:r>
      <w:r w:rsidRPr="003A2D23">
        <w:t xml:space="preserve">to new entry and </w:t>
      </w:r>
      <w:r w:rsidRPr="00004E1E">
        <w:t>to expansion</w:t>
      </w:r>
      <w:r>
        <w:t xml:space="preserve"> </w:t>
      </w:r>
      <w:r w:rsidRPr="003A2D23">
        <w:t>by existing competitors</w:t>
      </w:r>
      <w:r w:rsidRPr="00004E1E">
        <w:t xml:space="preserve">. </w:t>
      </w:r>
    </w:p>
    <w:p w:rsidR="009170BF" w:rsidRPr="00004E1E" w:rsidRDefault="009170BF" w:rsidP="00C64242">
      <w:pPr>
        <w:pStyle w:val="Numbered"/>
        <w:numPr>
          <w:ilvl w:val="0"/>
          <w:numId w:val="8"/>
        </w:numPr>
      </w:pPr>
      <w:r>
        <w:t>Barriers</w:t>
      </w:r>
      <w:r w:rsidRPr="00004E1E">
        <w:t xml:space="preserve"> include:</w:t>
      </w:r>
    </w:p>
    <w:p w:rsidR="009170BF" w:rsidRPr="00004E1E" w:rsidRDefault="00652A3A" w:rsidP="00C64242">
      <w:pPr>
        <w:pStyle w:val="Numbered"/>
        <w:numPr>
          <w:ilvl w:val="1"/>
          <w:numId w:val="8"/>
        </w:numPr>
      </w:pPr>
      <w:r>
        <w:t>S</w:t>
      </w:r>
      <w:r w:rsidR="009170BF" w:rsidRPr="00004E1E">
        <w:t xml:space="preserve">unk capital expenditure to invest in </w:t>
      </w:r>
      <w:r>
        <w:t>distribution</w:t>
      </w:r>
      <w:r w:rsidR="009170BF" w:rsidRPr="00004E1E">
        <w:t xml:space="preserve"> centre</w:t>
      </w:r>
      <w:r>
        <w:t>s</w:t>
      </w:r>
      <w:r w:rsidR="009170BF" w:rsidRPr="00004E1E">
        <w:t xml:space="preserve"> of adequate size to offer a</w:t>
      </w:r>
      <w:r w:rsidR="009170BF">
        <w:t xml:space="preserve"> sufficiently </w:t>
      </w:r>
      <w:r w:rsidR="009170BF" w:rsidRPr="00004E1E">
        <w:t>broad product range; obtaining ISO certifications;</w:t>
      </w:r>
      <w:r w:rsidR="00B4131F">
        <w:rPr>
          <w:rStyle w:val="FootnoteReference"/>
        </w:rPr>
        <w:footnoteReference w:id="23"/>
      </w:r>
      <w:r w:rsidR="009170BF" w:rsidRPr="00004E1E">
        <w:t xml:space="preserve"> </w:t>
      </w:r>
      <w:r w:rsidR="00D83483">
        <w:t xml:space="preserve">integrated </w:t>
      </w:r>
      <w:r w:rsidR="009170BF" w:rsidRPr="00004E1E">
        <w:t>IT systems with appropriate account management and reporting capabilities; national distribution capability.</w:t>
      </w:r>
      <w:r w:rsidR="009170BF">
        <w:t xml:space="preserve"> </w:t>
      </w:r>
    </w:p>
    <w:p w:rsidR="00170756" w:rsidRPr="00004E1E" w:rsidRDefault="00170756" w:rsidP="00C64242">
      <w:pPr>
        <w:pStyle w:val="Numbered"/>
        <w:numPr>
          <w:ilvl w:val="1"/>
          <w:numId w:val="8"/>
        </w:numPr>
      </w:pPr>
      <w:r w:rsidRPr="00004E1E">
        <w:t xml:space="preserve">Incumbency advantages in retaining customers and </w:t>
      </w:r>
      <w:r>
        <w:t>rebates</w:t>
      </w:r>
      <w:r w:rsidRPr="00004E1E">
        <w:t xml:space="preserve"> used to gain and retain business, which smaller competitors would have difficulty competing with.</w:t>
      </w:r>
      <w:r>
        <w:t xml:space="preserve"> Available information suggests that customer retention rates are high.</w:t>
      </w:r>
    </w:p>
    <w:p w:rsidR="009170BF" w:rsidRPr="00004E1E" w:rsidRDefault="009170BF" w:rsidP="00C64242">
      <w:pPr>
        <w:pStyle w:val="Numbered"/>
        <w:numPr>
          <w:ilvl w:val="1"/>
          <w:numId w:val="8"/>
        </w:numPr>
      </w:pPr>
      <w:r w:rsidRPr="00004E1E">
        <w:t xml:space="preserve">Previous experience and </w:t>
      </w:r>
      <w:r w:rsidR="009E7E3A">
        <w:t>a track record</w:t>
      </w:r>
      <w:r w:rsidR="009E7E3A" w:rsidRPr="00004E1E">
        <w:t xml:space="preserve"> </w:t>
      </w:r>
      <w:r w:rsidRPr="00004E1E">
        <w:t>in meeting delivery requirements</w:t>
      </w:r>
      <w:r>
        <w:t>,</w:t>
      </w:r>
      <w:r w:rsidRPr="00004E1E">
        <w:t xml:space="preserve"> </w:t>
      </w:r>
      <w:r w:rsidRPr="00BB4B78">
        <w:t>including national delivery,</w:t>
      </w:r>
      <w:r w:rsidRPr="00004E1E">
        <w:t xml:space="preserve"> within </w:t>
      </w:r>
      <w:r w:rsidR="00EA2A1E">
        <w:t xml:space="preserve">very short </w:t>
      </w:r>
      <w:r w:rsidRPr="00004E1E">
        <w:t>timeframes</w:t>
      </w:r>
      <w:r w:rsidR="00EA2A1E">
        <w:t>, typically next-day</w:t>
      </w:r>
      <w:r w:rsidRPr="00004E1E">
        <w:t xml:space="preserve">. </w:t>
      </w:r>
    </w:p>
    <w:p w:rsidR="006801A3" w:rsidRPr="006801A3" w:rsidRDefault="003D5F0D" w:rsidP="00C64242">
      <w:pPr>
        <w:pStyle w:val="Numbered"/>
      </w:pPr>
      <w:r>
        <w:t>N</w:t>
      </w:r>
      <w:r w:rsidR="009170BF" w:rsidRPr="004057EA">
        <w:t xml:space="preserve">ew </w:t>
      </w:r>
      <w:r w:rsidR="009170BF">
        <w:t xml:space="preserve">entrants </w:t>
      </w:r>
      <w:r w:rsidR="009170BF" w:rsidRPr="004057EA">
        <w:t xml:space="preserve">would </w:t>
      </w:r>
      <w:r>
        <w:t xml:space="preserve">also </w:t>
      </w:r>
      <w:r w:rsidR="009170BF" w:rsidRPr="004057EA">
        <w:t xml:space="preserve">have to compete with </w:t>
      </w:r>
      <w:r>
        <w:t>a</w:t>
      </w:r>
      <w:r w:rsidR="009170BF" w:rsidRPr="004057EA">
        <w:t xml:space="preserve"> </w:t>
      </w:r>
      <w:r w:rsidR="006801A3">
        <w:t>combined Staples-OfficeMax</w:t>
      </w:r>
      <w:r w:rsidR="006801A3" w:rsidRPr="004057EA">
        <w:t xml:space="preserve"> </w:t>
      </w:r>
      <w:r w:rsidR="009170BF" w:rsidRPr="004057EA">
        <w:t xml:space="preserve">on price, one of the most important criteria for </w:t>
      </w:r>
      <w:r w:rsidR="00E424A3">
        <w:t xml:space="preserve">large </w:t>
      </w:r>
      <w:r w:rsidR="009170BF" w:rsidRPr="004057EA">
        <w:t xml:space="preserve">customers. </w:t>
      </w:r>
      <w:r w:rsidR="009170BF">
        <w:t>Market feedback suggests that it is already difficult for smaller firms to compete on price.</w:t>
      </w:r>
      <w:r w:rsidR="00562D75">
        <w:t xml:space="preserve"> A</w:t>
      </w:r>
      <w:r w:rsidR="006801A3" w:rsidRPr="006801A3">
        <w:t xml:space="preserve"> combined Staples-OfficeMax </w:t>
      </w:r>
      <w:r w:rsidR="00562D75">
        <w:t xml:space="preserve">is likely to be </w:t>
      </w:r>
      <w:r w:rsidR="006801A3" w:rsidRPr="006801A3">
        <w:t xml:space="preserve">able to take advantage of additional economies of scale </w:t>
      </w:r>
      <w:r w:rsidR="00562D75">
        <w:t xml:space="preserve">and network density </w:t>
      </w:r>
      <w:r w:rsidR="006801A3" w:rsidRPr="006801A3">
        <w:t xml:space="preserve">in operating a large scale delivery operation with </w:t>
      </w:r>
      <w:r w:rsidR="0093003D">
        <w:t xml:space="preserve">integrated </w:t>
      </w:r>
      <w:r w:rsidR="006801A3" w:rsidRPr="006801A3">
        <w:t>IT systems which provide the ordering and reporting features that large busines</w:t>
      </w:r>
      <w:r w:rsidR="00C64242">
        <w:t xml:space="preserve">s customers require, and a ‘one </w:t>
      </w:r>
      <w:r w:rsidR="006801A3" w:rsidRPr="006801A3">
        <w:t xml:space="preserve">stop shop’ for all of their customers’ office product needs. </w:t>
      </w:r>
      <w:r w:rsidR="006801A3">
        <w:t xml:space="preserve"> </w:t>
      </w:r>
    </w:p>
    <w:p w:rsidR="009170BF" w:rsidRDefault="003D5F0D" w:rsidP="00C64242">
      <w:pPr>
        <w:pStyle w:val="Numbered"/>
      </w:pPr>
      <w:r>
        <w:t>In addition</w:t>
      </w:r>
      <w:r w:rsidR="00D510C2">
        <w:t xml:space="preserve">, the ACCC’s market inquiries suggest that </w:t>
      </w:r>
      <w:r w:rsidR="00D510C2" w:rsidRPr="00D510C2">
        <w:t xml:space="preserve">sales of traditional office products </w:t>
      </w:r>
      <w:r w:rsidR="00D510C2">
        <w:t xml:space="preserve">have been declining </w:t>
      </w:r>
      <w:r w:rsidR="00D510C2" w:rsidRPr="00D510C2">
        <w:t>as a result of the digitisation of the workplace</w:t>
      </w:r>
      <w:r w:rsidR="00D510C2">
        <w:t xml:space="preserve">, and that </w:t>
      </w:r>
      <w:r w:rsidR="00D510C2" w:rsidRPr="00D510C2">
        <w:t xml:space="preserve">this trend </w:t>
      </w:r>
      <w:r w:rsidR="00D510C2">
        <w:t xml:space="preserve">is </w:t>
      </w:r>
      <w:r w:rsidR="00D510C2" w:rsidRPr="00D510C2">
        <w:t>expected to continue.</w:t>
      </w:r>
      <w:r w:rsidR="00AD3DA1">
        <w:t xml:space="preserve"> </w:t>
      </w:r>
      <w:r w:rsidR="009170BF">
        <w:t xml:space="preserve">A number of market participants have indicated that it would </w:t>
      </w:r>
      <w:r w:rsidR="001E05D5">
        <w:t xml:space="preserve">not make </w:t>
      </w:r>
      <w:r w:rsidR="00FC578B">
        <w:t>commercial</w:t>
      </w:r>
      <w:r w:rsidR="00C64242">
        <w:t xml:space="preserve"> sense</w:t>
      </w:r>
      <w:r w:rsidR="009170BF">
        <w:t xml:space="preserve"> to enter or expand into the </w:t>
      </w:r>
      <w:r w:rsidR="009170BF" w:rsidRPr="003A0290">
        <w:lastRenderedPageBreak/>
        <w:t>supply of office products</w:t>
      </w:r>
      <w:r w:rsidR="009170BF">
        <w:t xml:space="preserve"> to large customers in current </w:t>
      </w:r>
      <w:r w:rsidR="00D510C2">
        <w:t>market conditions</w:t>
      </w:r>
      <w:r w:rsidR="009170BF">
        <w:t xml:space="preserve">. </w:t>
      </w:r>
      <w:r w:rsidR="00CE4CDC">
        <w:t xml:space="preserve">As already noted, market inquiries suggest </w:t>
      </w:r>
      <w:r w:rsidR="009170BF">
        <w:t xml:space="preserve">that </w:t>
      </w:r>
      <w:proofErr w:type="spellStart"/>
      <w:r w:rsidR="009170BF">
        <w:t>Officeworks</w:t>
      </w:r>
      <w:proofErr w:type="spellEnd"/>
      <w:r w:rsidR="009170BF">
        <w:t xml:space="preserve"> </w:t>
      </w:r>
      <w:r w:rsidR="00530F51">
        <w:t xml:space="preserve">has </w:t>
      </w:r>
      <w:r w:rsidR="009170BF">
        <w:t xml:space="preserve">not expanded </w:t>
      </w:r>
      <w:r w:rsidR="00985AAF">
        <w:t xml:space="preserve">significantly </w:t>
      </w:r>
      <w:r w:rsidR="009170BF">
        <w:t xml:space="preserve">into supplying large </w:t>
      </w:r>
      <w:r w:rsidR="00405E5A">
        <w:t xml:space="preserve">commercial and government </w:t>
      </w:r>
      <w:r w:rsidR="009170BF">
        <w:t xml:space="preserve">customers in the last </w:t>
      </w:r>
      <w:r w:rsidR="00405E5A">
        <w:t xml:space="preserve">few </w:t>
      </w:r>
      <w:r w:rsidR="009170BF">
        <w:t>years</w:t>
      </w:r>
      <w:r w:rsidR="00671A8C">
        <w:t>, and has no current plans to do so</w:t>
      </w:r>
      <w:r w:rsidR="009170BF">
        <w:t>.</w:t>
      </w:r>
    </w:p>
    <w:p w:rsidR="009170BF" w:rsidRDefault="009170BF" w:rsidP="00C64242">
      <w:pPr>
        <w:pStyle w:val="Numbered"/>
      </w:pPr>
      <w:r w:rsidRPr="002D182B">
        <w:t xml:space="preserve">These barriers to </w:t>
      </w:r>
      <w:r>
        <w:t xml:space="preserve">entry and </w:t>
      </w:r>
      <w:r w:rsidRPr="002D182B">
        <w:t>expansion mean that timely entry</w:t>
      </w:r>
      <w:r>
        <w:t xml:space="preserve">/expansion </w:t>
      </w:r>
      <w:r w:rsidRPr="002D182B">
        <w:t xml:space="preserve">on a scale sufficient to constrain </w:t>
      </w:r>
      <w:r w:rsidR="00CD7F24">
        <w:t>a combined Staples</w:t>
      </w:r>
      <w:r w:rsidR="00962AD1">
        <w:t>-</w:t>
      </w:r>
      <w:r w:rsidR="00CD7F24">
        <w:t xml:space="preserve">OfficeMax </w:t>
      </w:r>
      <w:r w:rsidR="00743CF0">
        <w:t xml:space="preserve">may be </w:t>
      </w:r>
      <w:r w:rsidRPr="002D182B">
        <w:t xml:space="preserve">unlikely. </w:t>
      </w:r>
      <w:r>
        <w:t>However, t</w:t>
      </w:r>
      <w:r w:rsidRPr="00004E1E">
        <w:t xml:space="preserve">he ACCC is continuing to </w:t>
      </w:r>
      <w:r>
        <w:t xml:space="preserve">explore </w:t>
      </w:r>
      <w:r w:rsidRPr="00004E1E">
        <w:t>th</w:t>
      </w:r>
      <w:r>
        <w:t>is</w:t>
      </w:r>
      <w:r w:rsidRPr="00004E1E">
        <w:t xml:space="preserve"> issue.</w:t>
      </w:r>
      <w:r>
        <w:t xml:space="preserve"> </w:t>
      </w:r>
      <w:r w:rsidRPr="00004E1E">
        <w:t xml:space="preserve">In particular, the ACCC is </w:t>
      </w:r>
      <w:r w:rsidR="001F3346">
        <w:t xml:space="preserve">considering whether </w:t>
      </w:r>
      <w:r w:rsidRPr="00004E1E">
        <w:t xml:space="preserve">existing </w:t>
      </w:r>
      <w:r w:rsidR="001F3346">
        <w:t xml:space="preserve">market participants could readily expand in response to a price increase by a combined Staples-OfficeMax, </w:t>
      </w:r>
      <w:r>
        <w:t xml:space="preserve">and </w:t>
      </w:r>
      <w:r w:rsidR="001F3346">
        <w:t xml:space="preserve">whether </w:t>
      </w:r>
      <w:r>
        <w:t xml:space="preserve">suppliers in adjacent markets (such as </w:t>
      </w:r>
      <w:r w:rsidRPr="00004E1E">
        <w:t xml:space="preserve">retail </w:t>
      </w:r>
      <w:r w:rsidR="001F3346">
        <w:t xml:space="preserve">suppliers </w:t>
      </w:r>
      <w:r>
        <w:t xml:space="preserve">and </w:t>
      </w:r>
      <w:r w:rsidR="001F3346">
        <w:t xml:space="preserve">suppliers of </w:t>
      </w:r>
      <w:r w:rsidRPr="00004E1E">
        <w:t>small to medium</w:t>
      </w:r>
      <w:r w:rsidR="001F3346">
        <w:t>-</w:t>
      </w:r>
      <w:r w:rsidRPr="00004E1E">
        <w:t>sized businesses</w:t>
      </w:r>
      <w:r w:rsidR="007248B5">
        <w:t>)</w:t>
      </w:r>
      <w:r w:rsidRPr="00004E1E">
        <w:t xml:space="preserve"> </w:t>
      </w:r>
      <w:r w:rsidR="001F3346">
        <w:t xml:space="preserve">could readily commence supplying large customers </w:t>
      </w:r>
      <w:r>
        <w:t xml:space="preserve">in response to an </w:t>
      </w:r>
      <w:r w:rsidRPr="00004E1E">
        <w:t xml:space="preserve">attempted price increase by </w:t>
      </w:r>
      <w:r w:rsidR="001F3346" w:rsidRPr="001F3346">
        <w:t>a combined Staples-OfficeMax</w:t>
      </w:r>
      <w:r w:rsidRPr="00004E1E">
        <w:t xml:space="preserve">. </w:t>
      </w:r>
    </w:p>
    <w:p w:rsidR="009170BF" w:rsidRPr="00BB4B78" w:rsidRDefault="009170BF" w:rsidP="00C64242">
      <w:pPr>
        <w:pStyle w:val="Heading4"/>
      </w:pPr>
      <w:r w:rsidRPr="00BB4B78">
        <w:t>Countervailing power</w:t>
      </w:r>
    </w:p>
    <w:p w:rsidR="009170BF" w:rsidRPr="00D719EA" w:rsidRDefault="009170BF" w:rsidP="00C64242">
      <w:pPr>
        <w:pStyle w:val="Numbered"/>
      </w:pPr>
      <w:r w:rsidRPr="00D719EA">
        <w:t>Countervailing power exists when buyers have special characteristics that enable them to credibly threaten to bypass the merged firm, such as by vertically integrating into the upstream market, establishing importing operations or sponsoring new entry, such that this constrains any attempted increase in market power by a supplier.</w:t>
      </w:r>
      <w:r w:rsidR="008631F5">
        <w:rPr>
          <w:rStyle w:val="FootnoteReference"/>
        </w:rPr>
        <w:footnoteReference w:id="24"/>
      </w:r>
    </w:p>
    <w:p w:rsidR="009170BF" w:rsidRDefault="009170BF" w:rsidP="00C64242">
      <w:pPr>
        <w:pStyle w:val="Numbered"/>
      </w:pPr>
      <w:r w:rsidRPr="0052420E">
        <w:t>Countervailing power is more than the ability of one large buyer to negotiate favourable terms and price relative to other buyers. A significant proportion of customers must be shielded from the effects of market power if countervailing power is to prevent a substantial lessening of competit</w:t>
      </w:r>
      <w:r>
        <w:t xml:space="preserve">ion in the relevant market(s). </w:t>
      </w:r>
    </w:p>
    <w:p w:rsidR="009170BF" w:rsidRDefault="009170BF" w:rsidP="00C64242">
      <w:pPr>
        <w:pStyle w:val="Numbered"/>
      </w:pPr>
      <w:r w:rsidRPr="0052420E">
        <w:t>The ACCC</w:t>
      </w:r>
      <w:r w:rsidR="00472A63">
        <w:t xml:space="preserve"> considers it unlikely</w:t>
      </w:r>
      <w:r w:rsidRPr="0052420E">
        <w:t xml:space="preserve"> that </w:t>
      </w:r>
      <w:r>
        <w:t>l</w:t>
      </w:r>
      <w:r w:rsidRPr="00940141">
        <w:t xml:space="preserve">arge </w:t>
      </w:r>
      <w:r w:rsidR="00CD7F24">
        <w:t>customers</w:t>
      </w:r>
      <w:r w:rsidR="00CD7F24" w:rsidRPr="00940141">
        <w:t xml:space="preserve"> </w:t>
      </w:r>
      <w:r w:rsidR="00472A63">
        <w:t xml:space="preserve">would </w:t>
      </w:r>
      <w:r w:rsidR="00AD5390">
        <w:t xml:space="preserve">commence supplying </w:t>
      </w:r>
      <w:r w:rsidR="00AD5390" w:rsidRPr="00940141">
        <w:t xml:space="preserve">traditional office </w:t>
      </w:r>
      <w:r w:rsidR="00B71913">
        <w:t>products</w:t>
      </w:r>
      <w:r w:rsidR="00AD5390" w:rsidRPr="00940141">
        <w:t xml:space="preserve"> </w:t>
      </w:r>
      <w:r w:rsidR="00B71913">
        <w:t xml:space="preserve">themselves </w:t>
      </w:r>
      <w:r w:rsidR="00AD5390">
        <w:t xml:space="preserve">or </w:t>
      </w:r>
      <w:r w:rsidR="00AD5390" w:rsidRPr="00D719EA">
        <w:t xml:space="preserve">sponsor new entry </w:t>
      </w:r>
      <w:r w:rsidR="008009C4">
        <w:t xml:space="preserve">in response to a price </w:t>
      </w:r>
      <w:r w:rsidR="00836CF8">
        <w:t>increase or decrease in service quality</w:t>
      </w:r>
      <w:r w:rsidR="008009C4">
        <w:t xml:space="preserve"> by </w:t>
      </w:r>
      <w:r w:rsidR="00AD5390">
        <w:t>a combined Staples-OfficeMax. In particular, office supplies typically make up a very small proportion of the total operating expenditure of large customers, and do not form part of the</w:t>
      </w:r>
      <w:r w:rsidR="00813583">
        <w:t>ir</w:t>
      </w:r>
      <w:r w:rsidR="00AD5390">
        <w:t xml:space="preserve"> core business.</w:t>
      </w:r>
      <w:r w:rsidR="00813583">
        <w:t xml:space="preserve"> </w:t>
      </w:r>
    </w:p>
    <w:p w:rsidR="009170BF" w:rsidRDefault="009170BF" w:rsidP="00C64242">
      <w:pPr>
        <w:pStyle w:val="commentbox"/>
      </w:pPr>
      <w:r w:rsidRPr="00004E1E">
        <w:t xml:space="preserve">The ACCC invites comments from market participants </w:t>
      </w:r>
      <w:r w:rsidRPr="007E6028">
        <w:t xml:space="preserve">as to whether the proposed </w:t>
      </w:r>
      <w:r>
        <w:t xml:space="preserve">acquisition </w:t>
      </w:r>
      <w:r w:rsidRPr="007E6028">
        <w:t xml:space="preserve">would remove a key source of competition in the supply of </w:t>
      </w:r>
      <w:r>
        <w:t xml:space="preserve">traditional office products to large </w:t>
      </w:r>
      <w:r w:rsidR="00BA59FA">
        <w:t xml:space="preserve">commercial and government </w:t>
      </w:r>
      <w:r>
        <w:t xml:space="preserve">customers </w:t>
      </w:r>
      <w:r w:rsidRPr="007E6028">
        <w:t>in Australia</w:t>
      </w:r>
      <w:r w:rsidRPr="00004E1E">
        <w:t>. In particular market participants may wish to comment on the following:</w:t>
      </w:r>
    </w:p>
    <w:p w:rsidR="009170BF" w:rsidRPr="00042F11" w:rsidRDefault="009170BF" w:rsidP="00C64242">
      <w:pPr>
        <w:pStyle w:val="commentbox"/>
        <w:numPr>
          <w:ilvl w:val="0"/>
          <w:numId w:val="4"/>
        </w:numPr>
      </w:pPr>
      <w:r w:rsidRPr="00042F11">
        <w:t>Who the main suppliers of traditional office products to large customers are</w:t>
      </w:r>
      <w:r w:rsidR="00C64242">
        <w:t>.</w:t>
      </w:r>
    </w:p>
    <w:p w:rsidR="00042682" w:rsidRDefault="009170BF" w:rsidP="00C64242">
      <w:pPr>
        <w:pStyle w:val="commentbox"/>
        <w:numPr>
          <w:ilvl w:val="0"/>
          <w:numId w:val="4"/>
        </w:numPr>
      </w:pPr>
      <w:r w:rsidRPr="00042F11">
        <w:t>The extent to which Staples and OfficeMax have competed in the past and compete currently</w:t>
      </w:r>
      <w:r w:rsidR="00C64242">
        <w:t>.</w:t>
      </w:r>
      <w:r w:rsidR="00042682">
        <w:t xml:space="preserve"> </w:t>
      </w:r>
    </w:p>
    <w:p w:rsidR="009170BF" w:rsidRPr="00042F11" w:rsidRDefault="00042682" w:rsidP="00C64242">
      <w:pPr>
        <w:pStyle w:val="commentbox"/>
        <w:numPr>
          <w:ilvl w:val="0"/>
          <w:numId w:val="4"/>
        </w:numPr>
      </w:pPr>
      <w:r w:rsidRPr="00AC12AE">
        <w:t xml:space="preserve">The </w:t>
      </w:r>
      <w:r w:rsidRPr="00042F11">
        <w:t xml:space="preserve">extent to which </w:t>
      </w:r>
      <w:r w:rsidRPr="00AC12AE">
        <w:t>Staples and OfficeMax</w:t>
      </w:r>
      <w:r>
        <w:t xml:space="preserve"> compete with other suppliers in the relevant market</w:t>
      </w:r>
      <w:r w:rsidR="00C64242">
        <w:t>.</w:t>
      </w:r>
    </w:p>
    <w:p w:rsidR="009170BF" w:rsidRPr="00042F11" w:rsidRDefault="009170BF" w:rsidP="00C64242">
      <w:pPr>
        <w:pStyle w:val="commentbox"/>
        <w:numPr>
          <w:ilvl w:val="0"/>
          <w:numId w:val="4"/>
        </w:numPr>
      </w:pPr>
      <w:r w:rsidRPr="00042F11">
        <w:lastRenderedPageBreak/>
        <w:t xml:space="preserve">The extent to which a </w:t>
      </w:r>
      <w:r w:rsidR="00CD7F24">
        <w:t>combined</w:t>
      </w:r>
      <w:r w:rsidR="00CD7F24" w:rsidRPr="00042F11">
        <w:t xml:space="preserve"> </w:t>
      </w:r>
      <w:r w:rsidRPr="00042F11">
        <w:t>Staples</w:t>
      </w:r>
      <w:r w:rsidR="00C22D72">
        <w:t>-</w:t>
      </w:r>
      <w:r w:rsidRPr="00042F11">
        <w:t xml:space="preserve">OfficeMax would be constrained </w:t>
      </w:r>
      <w:r w:rsidR="00141209">
        <w:t xml:space="preserve">from raising prices and/or decreasing service levels </w:t>
      </w:r>
      <w:r w:rsidRPr="00042F11">
        <w:t xml:space="preserve">by other </w:t>
      </w:r>
      <w:r w:rsidR="00962AD1">
        <w:t>suppliers</w:t>
      </w:r>
      <w:r w:rsidR="00962AD1" w:rsidRPr="00042F11">
        <w:t xml:space="preserve"> </w:t>
      </w:r>
      <w:r w:rsidRPr="00042F11">
        <w:t>of traditional office products</w:t>
      </w:r>
      <w:r w:rsidR="00C64242">
        <w:t>.</w:t>
      </w:r>
    </w:p>
    <w:p w:rsidR="009170BF" w:rsidRPr="008631F5" w:rsidRDefault="00CD7F24" w:rsidP="00C64242">
      <w:pPr>
        <w:pStyle w:val="commentbox"/>
        <w:rPr>
          <w:u w:val="single"/>
        </w:rPr>
      </w:pPr>
      <w:r w:rsidRPr="008631F5">
        <w:rPr>
          <w:u w:val="single"/>
        </w:rPr>
        <w:t xml:space="preserve">Large </w:t>
      </w:r>
      <w:r w:rsidR="009170BF" w:rsidRPr="008631F5">
        <w:rPr>
          <w:u w:val="single"/>
        </w:rPr>
        <w:t>Customers</w:t>
      </w:r>
    </w:p>
    <w:p w:rsidR="009170BF" w:rsidRPr="00042F11" w:rsidRDefault="009170BF" w:rsidP="00C64242">
      <w:pPr>
        <w:pStyle w:val="commentbox"/>
        <w:numPr>
          <w:ilvl w:val="0"/>
          <w:numId w:val="4"/>
        </w:numPr>
      </w:pPr>
      <w:r w:rsidRPr="00042F11">
        <w:t>Whether you have switched</w:t>
      </w:r>
      <w:r w:rsidR="00962AD1">
        <w:t>, or would switch,</w:t>
      </w:r>
      <w:r w:rsidRPr="00042F11">
        <w:t xml:space="preserve"> between suppliers, and if so from whom and to whom and the reasons for switching</w:t>
      </w:r>
      <w:r>
        <w:t xml:space="preserve"> (</w:t>
      </w:r>
      <w:r w:rsidRPr="00042F11">
        <w:t xml:space="preserve">for example, price, service levels, </w:t>
      </w:r>
      <w:r w:rsidR="00876CB3">
        <w:t xml:space="preserve">distribution or IT </w:t>
      </w:r>
      <w:r w:rsidRPr="00042F11">
        <w:t>capabilities</w:t>
      </w:r>
      <w:r w:rsidR="00071D0E">
        <w:t>,</w:t>
      </w:r>
      <w:r w:rsidRPr="00042F11">
        <w:t xml:space="preserve"> etc</w:t>
      </w:r>
      <w:r>
        <w:t>.)</w:t>
      </w:r>
      <w:r w:rsidRPr="00042F11">
        <w:t>.</w:t>
      </w:r>
    </w:p>
    <w:p w:rsidR="009170BF" w:rsidRDefault="009170BF" w:rsidP="00C64242">
      <w:pPr>
        <w:pStyle w:val="commentbox"/>
        <w:numPr>
          <w:ilvl w:val="0"/>
          <w:numId w:val="4"/>
        </w:numPr>
      </w:pPr>
      <w:r w:rsidRPr="00042F11">
        <w:t>The importance of a ‘one stop shop’</w:t>
      </w:r>
      <w:r>
        <w:t>,</w:t>
      </w:r>
      <w:r w:rsidRPr="00042F11">
        <w:t xml:space="preserve"> whether you </w:t>
      </w:r>
      <w:r>
        <w:t xml:space="preserve">would </w:t>
      </w:r>
      <w:r w:rsidRPr="00042F11">
        <w:t xml:space="preserve">consider disaggregating purchases, and, if so, </w:t>
      </w:r>
      <w:r>
        <w:t>in what circumstances and in relation to which products</w:t>
      </w:r>
      <w:r w:rsidRPr="00042F11">
        <w:t xml:space="preserve">. </w:t>
      </w:r>
    </w:p>
    <w:p w:rsidR="00C973A6" w:rsidRDefault="00C973A6" w:rsidP="00C64242">
      <w:pPr>
        <w:pStyle w:val="commentbox"/>
        <w:numPr>
          <w:ilvl w:val="0"/>
          <w:numId w:val="4"/>
        </w:numPr>
      </w:pPr>
      <w:r>
        <w:t xml:space="preserve">What is your annual </w:t>
      </w:r>
      <w:proofErr w:type="gramStart"/>
      <w:r>
        <w:t>spend</w:t>
      </w:r>
      <w:proofErr w:type="gramEnd"/>
      <w:r>
        <w:t xml:space="preserve"> on </w:t>
      </w:r>
      <w:r w:rsidR="00A105AF">
        <w:t>‘</w:t>
      </w:r>
      <w:r>
        <w:t>traditional</w:t>
      </w:r>
      <w:r w:rsidR="00A105AF">
        <w:t>’ and ‘non-traditional’</w:t>
      </w:r>
      <w:r>
        <w:t xml:space="preserve"> office products?</w:t>
      </w:r>
    </w:p>
    <w:p w:rsidR="00282CE6" w:rsidRDefault="00CB5F8C" w:rsidP="00C64242">
      <w:pPr>
        <w:pStyle w:val="commentbox"/>
        <w:numPr>
          <w:ilvl w:val="0"/>
          <w:numId w:val="4"/>
        </w:numPr>
      </w:pPr>
      <w:r>
        <w:t xml:space="preserve">Whether </w:t>
      </w:r>
      <w:r w:rsidR="00282CE6">
        <w:t>you monitor ‘off contract’ purchases</w:t>
      </w:r>
      <w:r w:rsidR="00C64242">
        <w:t xml:space="preserve"> (or </w:t>
      </w:r>
      <w:r w:rsidR="00C973A6">
        <w:t>‘leakage’</w:t>
      </w:r>
      <w:r w:rsidR="00C64242">
        <w:t>)</w:t>
      </w:r>
      <w:r w:rsidR="00282CE6">
        <w:t>, and</w:t>
      </w:r>
      <w:r w:rsidR="00C973A6">
        <w:t>, if so,</w:t>
      </w:r>
      <w:r w:rsidR="00282CE6">
        <w:t xml:space="preserve"> what proportion of your total annual spend</w:t>
      </w:r>
      <w:r w:rsidR="00C973A6" w:rsidRPr="00C973A6">
        <w:t xml:space="preserve"> </w:t>
      </w:r>
      <w:r w:rsidR="00C973A6">
        <w:t>does it make up</w:t>
      </w:r>
      <w:r w:rsidR="00C64242">
        <w:t>.</w:t>
      </w:r>
    </w:p>
    <w:p w:rsidR="00282CE6" w:rsidRDefault="00282CE6" w:rsidP="00C64242">
      <w:pPr>
        <w:pStyle w:val="commentbox"/>
        <w:numPr>
          <w:ilvl w:val="0"/>
          <w:numId w:val="4"/>
        </w:numPr>
      </w:pPr>
      <w:r>
        <w:t>For government customers with a panel of suppliers, what is the percentage breakdown of purchases between panel members? Is there a preference for a particular supplier</w:t>
      </w:r>
      <w:r w:rsidR="00CB5F8C">
        <w:t xml:space="preserve"> on the panel</w:t>
      </w:r>
      <w:r w:rsidR="001258EA">
        <w:t>, and if so, what are the reasons for this</w:t>
      </w:r>
      <w:r>
        <w:t>?</w:t>
      </w:r>
    </w:p>
    <w:p w:rsidR="00282CE6" w:rsidRDefault="00282CE6" w:rsidP="00C64242">
      <w:pPr>
        <w:pStyle w:val="commentbox"/>
        <w:numPr>
          <w:ilvl w:val="0"/>
          <w:numId w:val="4"/>
        </w:numPr>
      </w:pPr>
      <w:r>
        <w:t xml:space="preserve">The extent to which you would consider the pricing of </w:t>
      </w:r>
      <w:r w:rsidR="00CB5F8C">
        <w:t xml:space="preserve">other retailers (such as </w:t>
      </w:r>
      <w:proofErr w:type="spellStart"/>
      <w:r>
        <w:t>Officeworks</w:t>
      </w:r>
      <w:proofErr w:type="spellEnd"/>
      <w:r w:rsidR="00CB5F8C">
        <w:t xml:space="preserve">, </w:t>
      </w:r>
      <w:r w:rsidR="00A0443B">
        <w:t>Woolworths</w:t>
      </w:r>
      <w:r w:rsidR="00CB5F8C">
        <w:t xml:space="preserve"> or Coles)</w:t>
      </w:r>
      <w:r>
        <w:t xml:space="preserve"> when assessing tender </w:t>
      </w:r>
      <w:r w:rsidR="00A0443B">
        <w:t xml:space="preserve">bid </w:t>
      </w:r>
      <w:r>
        <w:t>pricing.</w:t>
      </w:r>
    </w:p>
    <w:p w:rsidR="00282CE6" w:rsidRDefault="00282CE6" w:rsidP="00C64242">
      <w:pPr>
        <w:pStyle w:val="commentbox"/>
        <w:numPr>
          <w:ilvl w:val="0"/>
          <w:numId w:val="4"/>
        </w:numPr>
      </w:pPr>
      <w:r>
        <w:t>When making ongoing purchases under contract, the extent to which you check</w:t>
      </w:r>
      <w:r w:rsidR="00A0443B">
        <w:t xml:space="preserve"> contract price</w:t>
      </w:r>
      <w:r>
        <w:t xml:space="preserve">s </w:t>
      </w:r>
      <w:r w:rsidR="00A0443B">
        <w:t xml:space="preserve">against other retail prices (such as </w:t>
      </w:r>
      <w:proofErr w:type="spellStart"/>
      <w:r w:rsidR="00A0443B">
        <w:t>Officeworks</w:t>
      </w:r>
      <w:proofErr w:type="spellEnd"/>
      <w:r w:rsidR="00A0443B">
        <w:t xml:space="preserve">, Woolworths or Coles), and if so </w:t>
      </w:r>
      <w:r>
        <w:t xml:space="preserve">which companies you </w:t>
      </w:r>
      <w:r w:rsidR="00A0443B">
        <w:t xml:space="preserve">would </w:t>
      </w:r>
      <w:r>
        <w:t>check against.</w:t>
      </w:r>
    </w:p>
    <w:p w:rsidR="004D0C76" w:rsidRPr="00042F11" w:rsidRDefault="002704BD" w:rsidP="00C64242">
      <w:pPr>
        <w:pStyle w:val="commentbox"/>
        <w:numPr>
          <w:ilvl w:val="0"/>
          <w:numId w:val="4"/>
        </w:numPr>
      </w:pPr>
      <w:r>
        <w:t xml:space="preserve">The extent to which </w:t>
      </w:r>
      <w:r w:rsidR="00C62950" w:rsidRPr="00042F11">
        <w:t xml:space="preserve">reputation / a proven track record </w:t>
      </w:r>
      <w:r w:rsidR="00C62950">
        <w:t xml:space="preserve">is </w:t>
      </w:r>
      <w:r w:rsidR="00C62950" w:rsidRPr="00042F11">
        <w:t>important</w:t>
      </w:r>
      <w:r w:rsidR="00C62950">
        <w:t xml:space="preserve">, including </w:t>
      </w:r>
      <w:r w:rsidR="00E47723">
        <w:t xml:space="preserve">with regard to </w:t>
      </w:r>
      <w:r w:rsidR="004D0C76" w:rsidRPr="00004E1E">
        <w:t>meeting delivery requirements</w:t>
      </w:r>
      <w:r w:rsidR="004D0C76">
        <w:t xml:space="preserve"> (</w:t>
      </w:r>
      <w:r w:rsidR="004D0C76" w:rsidRPr="00BB4B78">
        <w:t xml:space="preserve">including </w:t>
      </w:r>
      <w:r>
        <w:t xml:space="preserve">product </w:t>
      </w:r>
      <w:r w:rsidR="004751F6">
        <w:t>range</w:t>
      </w:r>
      <w:r>
        <w:t xml:space="preserve"> and </w:t>
      </w:r>
      <w:r w:rsidR="004D0C76" w:rsidRPr="00BB4B78">
        <w:t>national delivery</w:t>
      </w:r>
      <w:r w:rsidR="004D0C76" w:rsidRPr="00004E1E">
        <w:t xml:space="preserve"> within </w:t>
      </w:r>
      <w:r w:rsidR="004D0C76">
        <w:t xml:space="preserve">short </w:t>
      </w:r>
      <w:r w:rsidR="004D0C76" w:rsidRPr="00004E1E">
        <w:t>timeframes</w:t>
      </w:r>
      <w:r w:rsidR="004D0C76">
        <w:t>)</w:t>
      </w:r>
      <w:r w:rsidR="00E47723">
        <w:t>.</w:t>
      </w:r>
    </w:p>
    <w:p w:rsidR="009170BF" w:rsidRPr="008631F5" w:rsidRDefault="009170BF" w:rsidP="00C64242">
      <w:pPr>
        <w:pStyle w:val="commentbox"/>
        <w:rPr>
          <w:u w:val="single"/>
        </w:rPr>
      </w:pPr>
      <w:r w:rsidRPr="008631F5">
        <w:rPr>
          <w:u w:val="single"/>
        </w:rPr>
        <w:t>Suppliers</w:t>
      </w:r>
    </w:p>
    <w:p w:rsidR="009170BF" w:rsidRPr="00042F11" w:rsidRDefault="009170BF" w:rsidP="00C64242">
      <w:pPr>
        <w:pStyle w:val="commentbox"/>
        <w:numPr>
          <w:ilvl w:val="0"/>
          <w:numId w:val="4"/>
        </w:numPr>
      </w:pPr>
      <w:r w:rsidRPr="00042F11">
        <w:t>Whether you have won or lost any large customer accounts to Staples, OfficeMax, COS, Lyreco, or others</w:t>
      </w:r>
      <w:r>
        <w:t>, and, i</w:t>
      </w:r>
      <w:r w:rsidRPr="00042F11">
        <w:t xml:space="preserve">f so, </w:t>
      </w:r>
      <w:r w:rsidR="00985AAF">
        <w:t xml:space="preserve">from or </w:t>
      </w:r>
      <w:r w:rsidRPr="00042F11">
        <w:t>to whom</w:t>
      </w:r>
      <w:r>
        <w:t xml:space="preserve">, and which customers were </w:t>
      </w:r>
      <w:r w:rsidR="00985AAF">
        <w:t xml:space="preserve">won or </w:t>
      </w:r>
      <w:r>
        <w:t>lost</w:t>
      </w:r>
      <w:r w:rsidR="00C64242">
        <w:t>.</w:t>
      </w:r>
    </w:p>
    <w:p w:rsidR="009170BF" w:rsidRPr="00042F11" w:rsidRDefault="009170BF" w:rsidP="00C64242">
      <w:pPr>
        <w:pStyle w:val="commentbox"/>
        <w:numPr>
          <w:ilvl w:val="0"/>
          <w:numId w:val="4"/>
        </w:numPr>
      </w:pPr>
      <w:r w:rsidRPr="00042F11">
        <w:t xml:space="preserve">The minimum efficient scale and scope </w:t>
      </w:r>
      <w:r w:rsidR="00D24FB7">
        <w:t xml:space="preserve">of operation </w:t>
      </w:r>
      <w:r>
        <w:t xml:space="preserve">required </w:t>
      </w:r>
      <w:r w:rsidRPr="00042F11">
        <w:t xml:space="preserve">to compete effectively with a </w:t>
      </w:r>
      <w:r w:rsidR="00CD7F24">
        <w:t>combined</w:t>
      </w:r>
      <w:r w:rsidR="00CD7F24" w:rsidRPr="00042F11">
        <w:t xml:space="preserve"> </w:t>
      </w:r>
      <w:r w:rsidRPr="00042F11">
        <w:t>Staples</w:t>
      </w:r>
      <w:r w:rsidR="00C22D72">
        <w:t>-</w:t>
      </w:r>
      <w:r w:rsidRPr="00042F11">
        <w:t>OfficeMax</w:t>
      </w:r>
      <w:r w:rsidR="00C64242">
        <w:t>.</w:t>
      </w:r>
    </w:p>
    <w:p w:rsidR="009170BF" w:rsidRPr="00042F11" w:rsidRDefault="009170BF" w:rsidP="00C64242">
      <w:pPr>
        <w:pStyle w:val="commentbox"/>
        <w:numPr>
          <w:ilvl w:val="0"/>
          <w:numId w:val="4"/>
        </w:numPr>
      </w:pPr>
      <w:r w:rsidRPr="00042F11">
        <w:t xml:space="preserve">The </w:t>
      </w:r>
      <w:r w:rsidR="00D24FB7">
        <w:t>ease with</w:t>
      </w:r>
      <w:r w:rsidRPr="00042F11">
        <w:t xml:space="preserve"> which existing suppliers of traditional office products could expand or new entrants enter in response to an attempt </w:t>
      </w:r>
      <w:r w:rsidR="001258EA">
        <w:t xml:space="preserve">by a combined Staples-OfficeMax </w:t>
      </w:r>
      <w:r w:rsidRPr="00042F11">
        <w:t>to increase pri</w:t>
      </w:r>
      <w:r>
        <w:t xml:space="preserve">ces </w:t>
      </w:r>
      <w:r w:rsidR="009F1518">
        <w:t>and/</w:t>
      </w:r>
      <w:r>
        <w:t>or decrease service levels</w:t>
      </w:r>
      <w:r w:rsidR="00C64242">
        <w:t>.</w:t>
      </w:r>
    </w:p>
    <w:p w:rsidR="009170BF" w:rsidRPr="00116131" w:rsidRDefault="009170BF" w:rsidP="00C64242">
      <w:pPr>
        <w:pStyle w:val="commentbox"/>
        <w:numPr>
          <w:ilvl w:val="0"/>
          <w:numId w:val="4"/>
        </w:numPr>
      </w:pPr>
      <w:r w:rsidRPr="00116131">
        <w:t>Any examples of recent attempts at entry or expansion and whether any such attempts have been successful or not, and why; and whether growth was organic or via acquisition</w:t>
      </w:r>
      <w:r w:rsidR="00C64242">
        <w:t>.</w:t>
      </w:r>
    </w:p>
    <w:p w:rsidR="009170BF" w:rsidRPr="00042F11" w:rsidRDefault="009170BF" w:rsidP="00C64242">
      <w:pPr>
        <w:pStyle w:val="commentbox"/>
        <w:numPr>
          <w:ilvl w:val="0"/>
          <w:numId w:val="4"/>
        </w:numPr>
      </w:pPr>
      <w:r w:rsidRPr="00116131">
        <w:t xml:space="preserve">How the proposed </w:t>
      </w:r>
      <w:r w:rsidR="00CD7F24">
        <w:t>acquisition</w:t>
      </w:r>
      <w:r w:rsidR="00CD7F24" w:rsidRPr="00116131">
        <w:t xml:space="preserve"> </w:t>
      </w:r>
      <w:r>
        <w:t xml:space="preserve">might </w:t>
      </w:r>
      <w:r w:rsidRPr="00116131">
        <w:t>change the potential for entry and/or e</w:t>
      </w:r>
      <w:r w:rsidR="00C64242">
        <w:t>xpansion in the relevant market.</w:t>
      </w:r>
    </w:p>
    <w:p w:rsidR="009170BF" w:rsidRPr="00042F11" w:rsidRDefault="009170BF" w:rsidP="00C64242">
      <w:pPr>
        <w:pStyle w:val="commentbox"/>
        <w:numPr>
          <w:ilvl w:val="0"/>
          <w:numId w:val="4"/>
        </w:numPr>
      </w:pPr>
      <w:r w:rsidRPr="00042F11">
        <w:lastRenderedPageBreak/>
        <w:t xml:space="preserve">The extent to which tender processes / government panel arrangements </w:t>
      </w:r>
      <w:r w:rsidR="00E41811">
        <w:t xml:space="preserve">may </w:t>
      </w:r>
      <w:r w:rsidRPr="00042F11">
        <w:t>affect a new entrant’s ability to reach efficient scale and scope in a timely manner</w:t>
      </w:r>
      <w:r w:rsidR="00C64242">
        <w:t>.</w:t>
      </w:r>
    </w:p>
    <w:p w:rsidR="009170BF" w:rsidRPr="00042F11" w:rsidRDefault="004751F6" w:rsidP="00C64242">
      <w:pPr>
        <w:pStyle w:val="commentbox"/>
        <w:numPr>
          <w:ilvl w:val="0"/>
          <w:numId w:val="4"/>
        </w:numPr>
      </w:pPr>
      <w:r>
        <w:t xml:space="preserve">The extent to which </w:t>
      </w:r>
      <w:r w:rsidRPr="00042F11">
        <w:t xml:space="preserve">reputation / a proven track record </w:t>
      </w:r>
      <w:r>
        <w:t xml:space="preserve">is </w:t>
      </w:r>
      <w:r w:rsidRPr="00042F11">
        <w:t xml:space="preserve">important to </w:t>
      </w:r>
      <w:r>
        <w:t xml:space="preserve">large </w:t>
      </w:r>
      <w:r w:rsidRPr="00042F11">
        <w:t xml:space="preserve">customers </w:t>
      </w:r>
      <w:r>
        <w:t xml:space="preserve">in order </w:t>
      </w:r>
      <w:r w:rsidRPr="00042F11">
        <w:t>to operate successfully</w:t>
      </w:r>
      <w:r>
        <w:t xml:space="preserve"> in the relevant market, including with regard to </w:t>
      </w:r>
      <w:r w:rsidRPr="00004E1E">
        <w:t>meeting delivery requirements</w:t>
      </w:r>
      <w:r>
        <w:t xml:space="preserve"> (</w:t>
      </w:r>
      <w:r w:rsidRPr="00BB4B78">
        <w:t xml:space="preserve">including </w:t>
      </w:r>
      <w:r w:rsidR="00153DB7" w:rsidRPr="00153DB7">
        <w:t>product range</w:t>
      </w:r>
      <w:r w:rsidR="00153DB7">
        <w:t xml:space="preserve"> and</w:t>
      </w:r>
      <w:r w:rsidR="00153DB7" w:rsidRPr="00153DB7">
        <w:t xml:space="preserve"> </w:t>
      </w:r>
      <w:r w:rsidRPr="00BB4B78">
        <w:t>national delivery,</w:t>
      </w:r>
      <w:r w:rsidRPr="00004E1E">
        <w:t xml:space="preserve"> within </w:t>
      </w:r>
      <w:r>
        <w:t xml:space="preserve">short </w:t>
      </w:r>
      <w:r w:rsidRPr="00004E1E">
        <w:t>timeframes</w:t>
      </w:r>
      <w:r>
        <w:t>).</w:t>
      </w:r>
    </w:p>
    <w:p w:rsidR="009170BF" w:rsidRPr="00FE7357" w:rsidRDefault="009170BF" w:rsidP="00C64242">
      <w:pPr>
        <w:pStyle w:val="commentbox"/>
        <w:numPr>
          <w:ilvl w:val="0"/>
          <w:numId w:val="4"/>
        </w:numPr>
      </w:pPr>
      <w:r>
        <w:t xml:space="preserve">What </w:t>
      </w:r>
      <w:r w:rsidRPr="00FE7357">
        <w:t xml:space="preserve">investments would have to be made </w:t>
      </w:r>
      <w:r>
        <w:t>in order f</w:t>
      </w:r>
      <w:r w:rsidRPr="00FE7357">
        <w:t>or a firm to enter / expand successfully</w:t>
      </w:r>
      <w:r>
        <w:t xml:space="preserve"> in the relevant </w:t>
      </w:r>
      <w:proofErr w:type="gramStart"/>
      <w:r>
        <w:t>market.</w:t>
      </w:r>
      <w:proofErr w:type="gramEnd"/>
      <w:r w:rsidRPr="00FE7357">
        <w:t xml:space="preserve"> Please </w:t>
      </w:r>
      <w:r w:rsidR="00D24FB7">
        <w:t>indicate type, scale and indicative cost if possible</w:t>
      </w:r>
      <w:r w:rsidRPr="00FE7357">
        <w:t>.</w:t>
      </w:r>
    </w:p>
    <w:p w:rsidR="00FB30A0" w:rsidRDefault="00FB30A0" w:rsidP="00A26C2D">
      <w:pPr>
        <w:pStyle w:val="Heading3"/>
      </w:pPr>
      <w:r>
        <w:t xml:space="preserve">ACCC's </w:t>
      </w:r>
      <w:r w:rsidRPr="009D1890">
        <w:t>future</w:t>
      </w:r>
      <w:r>
        <w:t xml:space="preserve"> steps</w:t>
      </w:r>
    </w:p>
    <w:p w:rsidR="00FB30A0" w:rsidRDefault="00F835E1" w:rsidP="00C64242">
      <w:pPr>
        <w:pStyle w:val="Numbered"/>
      </w:pPr>
      <w:r>
        <w:t>As noted above, t</w:t>
      </w:r>
      <w:r w:rsidR="00FB30A0">
        <w:t>he ACCC now seeks submissions from market participants on the issues identified in this Statement of Issues and on any other issue that may be relevant to the ACCC's assessment of this matter.</w:t>
      </w:r>
      <w:r w:rsidRPr="00F835E1">
        <w:t xml:space="preserve"> </w:t>
      </w:r>
      <w:r>
        <w:t xml:space="preserve">Submissions are to be received by the ACCC no later than </w:t>
      </w:r>
      <w:r w:rsidR="007F62B6" w:rsidRPr="005E0218">
        <w:rPr>
          <w:b/>
        </w:rPr>
        <w:t>7 September 2017</w:t>
      </w:r>
      <w:r>
        <w:t xml:space="preserve"> and should be emailed to </w:t>
      </w:r>
      <w:hyperlink r:id="rId18" w:history="1">
        <w:r w:rsidRPr="000D582B">
          <w:t>mergers@accc.gov.au</w:t>
        </w:r>
      </w:hyperlink>
      <w:r>
        <w:t>.</w:t>
      </w:r>
    </w:p>
    <w:p w:rsidR="0024150A" w:rsidRDefault="0024150A" w:rsidP="00C64242">
      <w:pPr>
        <w:pStyle w:val="Numbered"/>
      </w:pPr>
      <w:r>
        <w:t>The ACCC will finalise its view on this matter after it considers submissions invited by this Statement of Issues.</w:t>
      </w:r>
    </w:p>
    <w:p w:rsidR="002314C6" w:rsidRDefault="00FB30A0" w:rsidP="00C64242">
      <w:pPr>
        <w:pStyle w:val="Numbered"/>
      </w:pPr>
      <w:r>
        <w:t xml:space="preserve">The ACCC intends to announce its final view </w:t>
      </w:r>
      <w:r w:rsidR="00647C81">
        <w:t xml:space="preserve">publicly </w:t>
      </w:r>
      <w:r>
        <w:t xml:space="preserve">by </w:t>
      </w:r>
      <w:r w:rsidR="007F62B6" w:rsidRPr="005E0218">
        <w:rPr>
          <w:b/>
        </w:rPr>
        <w:t>16 November 2017</w:t>
      </w:r>
      <w:r>
        <w:t xml:space="preserve">. However the anticipated timeline may change in line with the </w:t>
      </w:r>
      <w:r w:rsidR="00F23D98" w:rsidRPr="00F23D98">
        <w:rPr>
          <w:i/>
        </w:rPr>
        <w:t xml:space="preserve">Informal </w:t>
      </w:r>
      <w:r w:rsidRPr="00F23D98">
        <w:rPr>
          <w:i/>
        </w:rPr>
        <w:t>Merger Review Process Guidelines</w:t>
      </w:r>
      <w:r>
        <w:t xml:space="preserve">. A </w:t>
      </w:r>
      <w:r w:rsidR="005F1F0B">
        <w:t>P</w:t>
      </w:r>
      <w:r>
        <w:t>ublic Competition Assessment for the</w:t>
      </w:r>
      <w:r w:rsidR="001A685B">
        <w:t xml:space="preserve"> purpose of explaining the ACCC’</w:t>
      </w:r>
      <w:r>
        <w:t xml:space="preserve">s final view may </w:t>
      </w:r>
      <w:r w:rsidR="001A685B">
        <w:t>be published following the ACCC’</w:t>
      </w:r>
      <w:r>
        <w:t>s public announcement</w:t>
      </w:r>
      <w:r w:rsidR="00F23D98">
        <w:t xml:space="preserve"> </w:t>
      </w:r>
      <w:r w:rsidR="001A685B">
        <w:t xml:space="preserve">of </w:t>
      </w:r>
      <w:r w:rsidR="00F23D98">
        <w:t>its final view</w:t>
      </w:r>
      <w:r>
        <w:t>.</w:t>
      </w:r>
    </w:p>
    <w:sectPr w:rsidR="002314C6">
      <w:headerReference w:type="even" r:id="rId19"/>
      <w:headerReference w:type="default" r:id="rId20"/>
      <w:footerReference w:type="even" r:id="rId21"/>
      <w:footerReference w:type="default" r:id="rId22"/>
      <w:headerReference w:type="first" r:id="rId23"/>
      <w:footerReference w:type="first" r:id="rId24"/>
      <w:pgSz w:w="11906" w:h="16838" w:code="9"/>
      <w:pgMar w:top="1440" w:right="1729" w:bottom="1582" w:left="1729"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78" w:rsidRDefault="00FC7478">
      <w:r>
        <w:separator/>
      </w:r>
    </w:p>
    <w:p w:rsidR="00FC7478" w:rsidRDefault="00FC7478"/>
  </w:endnote>
  <w:endnote w:type="continuationSeparator" w:id="0">
    <w:p w:rsidR="00FC7478" w:rsidRDefault="00FC7478">
      <w:r>
        <w:continuationSeparator/>
      </w:r>
    </w:p>
    <w:p w:rsidR="00FC7478" w:rsidRDefault="00FC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8" w:rsidRDefault="00FC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478" w:rsidRDefault="00FC7478">
    <w:pPr>
      <w:pStyle w:val="Footer"/>
    </w:pPr>
  </w:p>
  <w:p w:rsidR="00FC7478" w:rsidRDefault="00FC7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8" w:rsidRPr="00E23669" w:rsidRDefault="00FC7478" w:rsidP="00E23669">
    <w:pPr>
      <w:pStyle w:val="Footer"/>
      <w:jc w:val="right"/>
      <w:rPr>
        <w:rFonts w:ascii="Arial" w:hAnsi="Arial" w:cs="Arial"/>
        <w:sz w:val="22"/>
        <w:szCs w:val="22"/>
      </w:rPr>
    </w:pPr>
    <w:r w:rsidRPr="00E23669">
      <w:rPr>
        <w:rFonts w:ascii="Arial" w:hAnsi="Arial" w:cs="Arial"/>
        <w:sz w:val="22"/>
        <w:szCs w:val="22"/>
      </w:rPr>
      <w:t xml:space="preserve">Page </w:t>
    </w:r>
    <w:r w:rsidRPr="00E23669">
      <w:rPr>
        <w:rFonts w:ascii="Arial" w:hAnsi="Arial" w:cs="Arial"/>
        <w:b/>
        <w:sz w:val="22"/>
        <w:szCs w:val="22"/>
      </w:rPr>
      <w:fldChar w:fldCharType="begin"/>
    </w:r>
    <w:r w:rsidRPr="00E23669">
      <w:rPr>
        <w:rFonts w:ascii="Arial" w:hAnsi="Arial" w:cs="Arial"/>
        <w:b/>
        <w:sz w:val="22"/>
        <w:szCs w:val="22"/>
      </w:rPr>
      <w:instrText xml:space="preserve"> PAGE </w:instrText>
    </w:r>
    <w:r w:rsidRPr="00E23669">
      <w:rPr>
        <w:rFonts w:ascii="Arial" w:hAnsi="Arial" w:cs="Arial"/>
        <w:b/>
        <w:sz w:val="22"/>
        <w:szCs w:val="22"/>
      </w:rPr>
      <w:fldChar w:fldCharType="separate"/>
    </w:r>
    <w:r w:rsidR="0074520B">
      <w:rPr>
        <w:rFonts w:ascii="Arial" w:hAnsi="Arial" w:cs="Arial"/>
        <w:b/>
        <w:noProof/>
        <w:sz w:val="22"/>
        <w:szCs w:val="22"/>
      </w:rPr>
      <w:t>6</w:t>
    </w:r>
    <w:r w:rsidRPr="00E23669">
      <w:rPr>
        <w:rFonts w:ascii="Arial" w:hAnsi="Arial" w:cs="Arial"/>
        <w:b/>
        <w:sz w:val="22"/>
        <w:szCs w:val="22"/>
      </w:rPr>
      <w:fldChar w:fldCharType="end"/>
    </w:r>
    <w:r w:rsidRPr="00E23669">
      <w:rPr>
        <w:rFonts w:ascii="Arial" w:hAnsi="Arial" w:cs="Arial"/>
        <w:sz w:val="22"/>
        <w:szCs w:val="22"/>
      </w:rPr>
      <w:t xml:space="preserve"> of </w:t>
    </w:r>
    <w:r w:rsidRPr="00E23669">
      <w:rPr>
        <w:rFonts w:ascii="Arial" w:hAnsi="Arial" w:cs="Arial"/>
        <w:b/>
        <w:sz w:val="22"/>
        <w:szCs w:val="22"/>
      </w:rPr>
      <w:fldChar w:fldCharType="begin"/>
    </w:r>
    <w:r w:rsidRPr="00E23669">
      <w:rPr>
        <w:rFonts w:ascii="Arial" w:hAnsi="Arial" w:cs="Arial"/>
        <w:b/>
        <w:sz w:val="22"/>
        <w:szCs w:val="22"/>
      </w:rPr>
      <w:instrText xml:space="preserve"> NUMPAGES  </w:instrText>
    </w:r>
    <w:r w:rsidRPr="00E23669">
      <w:rPr>
        <w:rFonts w:ascii="Arial" w:hAnsi="Arial" w:cs="Arial"/>
        <w:b/>
        <w:sz w:val="22"/>
        <w:szCs w:val="22"/>
      </w:rPr>
      <w:fldChar w:fldCharType="separate"/>
    </w:r>
    <w:r w:rsidR="0074520B">
      <w:rPr>
        <w:rFonts w:ascii="Arial" w:hAnsi="Arial" w:cs="Arial"/>
        <w:b/>
        <w:noProof/>
        <w:sz w:val="22"/>
        <w:szCs w:val="22"/>
      </w:rPr>
      <w:t>17</w:t>
    </w:r>
    <w:r w:rsidRPr="00E23669">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8" w:rsidRPr="00497688" w:rsidRDefault="00FC7478">
    <w:pPr>
      <w:pStyle w:val="Footer"/>
      <w:jc w:val="right"/>
      <w:rPr>
        <w:rFonts w:ascii="Arial" w:hAnsi="Arial" w:cs="Arial"/>
        <w:sz w:val="22"/>
        <w:szCs w:val="22"/>
      </w:rPr>
    </w:pPr>
    <w:r w:rsidRPr="00497688">
      <w:rPr>
        <w:rFonts w:ascii="Arial" w:hAnsi="Arial" w:cs="Arial"/>
        <w:sz w:val="22"/>
        <w:szCs w:val="22"/>
      </w:rPr>
      <w:t xml:space="preserve">Page </w:t>
    </w:r>
    <w:r w:rsidRPr="00497688">
      <w:rPr>
        <w:rFonts w:ascii="Arial" w:hAnsi="Arial" w:cs="Arial"/>
        <w:b/>
        <w:sz w:val="22"/>
        <w:szCs w:val="22"/>
      </w:rPr>
      <w:fldChar w:fldCharType="begin"/>
    </w:r>
    <w:r w:rsidRPr="00497688">
      <w:rPr>
        <w:rFonts w:ascii="Arial" w:hAnsi="Arial" w:cs="Arial"/>
        <w:b/>
        <w:sz w:val="22"/>
        <w:szCs w:val="22"/>
      </w:rPr>
      <w:instrText xml:space="preserve"> PAGE </w:instrText>
    </w:r>
    <w:r w:rsidRPr="00497688">
      <w:rPr>
        <w:rFonts w:ascii="Arial" w:hAnsi="Arial" w:cs="Arial"/>
        <w:b/>
        <w:sz w:val="22"/>
        <w:szCs w:val="22"/>
      </w:rPr>
      <w:fldChar w:fldCharType="separate"/>
    </w:r>
    <w:r w:rsidR="0074520B">
      <w:rPr>
        <w:rFonts w:ascii="Arial" w:hAnsi="Arial" w:cs="Arial"/>
        <w:b/>
        <w:noProof/>
        <w:sz w:val="22"/>
        <w:szCs w:val="22"/>
      </w:rPr>
      <w:t>1</w:t>
    </w:r>
    <w:r w:rsidRPr="00497688">
      <w:rPr>
        <w:rFonts w:ascii="Arial" w:hAnsi="Arial" w:cs="Arial"/>
        <w:b/>
        <w:sz w:val="22"/>
        <w:szCs w:val="22"/>
      </w:rPr>
      <w:fldChar w:fldCharType="end"/>
    </w:r>
    <w:r w:rsidRPr="00497688">
      <w:rPr>
        <w:rFonts w:ascii="Arial" w:hAnsi="Arial" w:cs="Arial"/>
        <w:sz w:val="22"/>
        <w:szCs w:val="22"/>
      </w:rPr>
      <w:t xml:space="preserve"> of </w:t>
    </w:r>
    <w:r w:rsidRPr="00497688">
      <w:rPr>
        <w:rFonts w:ascii="Arial" w:hAnsi="Arial" w:cs="Arial"/>
        <w:b/>
        <w:sz w:val="22"/>
        <w:szCs w:val="22"/>
      </w:rPr>
      <w:fldChar w:fldCharType="begin"/>
    </w:r>
    <w:r w:rsidRPr="00497688">
      <w:rPr>
        <w:rFonts w:ascii="Arial" w:hAnsi="Arial" w:cs="Arial"/>
        <w:b/>
        <w:sz w:val="22"/>
        <w:szCs w:val="22"/>
      </w:rPr>
      <w:instrText xml:space="preserve"> NUMPAGES  </w:instrText>
    </w:r>
    <w:r w:rsidRPr="00497688">
      <w:rPr>
        <w:rFonts w:ascii="Arial" w:hAnsi="Arial" w:cs="Arial"/>
        <w:b/>
        <w:sz w:val="22"/>
        <w:szCs w:val="22"/>
      </w:rPr>
      <w:fldChar w:fldCharType="separate"/>
    </w:r>
    <w:r w:rsidR="0074520B">
      <w:rPr>
        <w:rFonts w:ascii="Arial" w:hAnsi="Arial" w:cs="Arial"/>
        <w:b/>
        <w:noProof/>
        <w:sz w:val="22"/>
        <w:szCs w:val="22"/>
      </w:rPr>
      <w:t>17</w:t>
    </w:r>
    <w:r w:rsidRPr="00497688">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78" w:rsidRDefault="00FC7478">
      <w:r>
        <w:separator/>
      </w:r>
    </w:p>
    <w:p w:rsidR="00FC7478" w:rsidRDefault="00FC7478"/>
  </w:footnote>
  <w:footnote w:type="continuationSeparator" w:id="0">
    <w:p w:rsidR="00FC7478" w:rsidRDefault="00FC7478">
      <w:r>
        <w:continuationSeparator/>
      </w:r>
    </w:p>
    <w:p w:rsidR="00FC7478" w:rsidRDefault="00FC7478"/>
  </w:footnote>
  <w:footnote w:id="1">
    <w:p w:rsidR="00FC7478" w:rsidRDefault="00FC7478" w:rsidP="001664D3">
      <w:pPr>
        <w:pStyle w:val="FootnoteText"/>
        <w:jc w:val="left"/>
      </w:pPr>
      <w:r>
        <w:rPr>
          <w:rStyle w:val="FootnoteReference"/>
        </w:rPr>
        <w:footnoteRef/>
      </w:r>
      <w:r>
        <w:t xml:space="preserve"> </w:t>
      </w:r>
      <w:proofErr w:type="gramStart"/>
      <w:r w:rsidR="001664D3">
        <w:rPr>
          <w:lang w:eastAsia="en-US"/>
        </w:rPr>
        <w:t xml:space="preserve">Platinum Equity, About Platinum Equity, viewed 23 August 2017, </w:t>
      </w:r>
      <w:hyperlink r:id="rId1" w:history="1">
        <w:r w:rsidRPr="00707380">
          <w:rPr>
            <w:rStyle w:val="Hyperlink"/>
          </w:rPr>
          <w:t>http://www.platinumequity.com/company</w:t>
        </w:r>
      </w:hyperlink>
      <w:r>
        <w:t>.</w:t>
      </w:r>
      <w:proofErr w:type="gramEnd"/>
    </w:p>
  </w:footnote>
  <w:footnote w:id="2">
    <w:p w:rsidR="00FC7478" w:rsidRDefault="00FC7478" w:rsidP="008631F5">
      <w:r>
        <w:rPr>
          <w:rStyle w:val="FootnoteReference"/>
        </w:rPr>
        <w:footnoteRef/>
      </w:r>
      <w:r>
        <w:t xml:space="preserve"> </w:t>
      </w:r>
      <w:r w:rsidR="008631F5" w:rsidRPr="008631F5">
        <w:rPr>
          <w:sz w:val="20"/>
          <w:szCs w:val="20"/>
        </w:rPr>
        <w:t xml:space="preserve">Platinum Equity, </w:t>
      </w:r>
      <w:r w:rsidR="008631F5" w:rsidRPr="008631F5">
        <w:rPr>
          <w:i/>
          <w:sz w:val="20"/>
          <w:szCs w:val="20"/>
        </w:rPr>
        <w:t>Platinum Equity to Acquire OfficeMax Business in Australia and New Zealand from Office Depot</w:t>
      </w:r>
      <w:r w:rsidR="008631F5" w:rsidRPr="008631F5">
        <w:rPr>
          <w:sz w:val="20"/>
          <w:szCs w:val="20"/>
        </w:rPr>
        <w:t xml:space="preserve">, 18 April 2017, </w:t>
      </w:r>
      <w:r w:rsidR="001664D3" w:rsidRPr="008631F5">
        <w:rPr>
          <w:sz w:val="20"/>
          <w:szCs w:val="20"/>
        </w:rPr>
        <w:t>viewed 23 August 2017,</w:t>
      </w:r>
      <w:r w:rsidR="008631F5" w:rsidRPr="008631F5">
        <w:rPr>
          <w:sz w:val="20"/>
          <w:szCs w:val="20"/>
        </w:rPr>
        <w:t xml:space="preserve"> </w:t>
      </w:r>
      <w:hyperlink r:id="rId2" w:history="1">
        <w:r w:rsidR="008631F5" w:rsidRPr="008631F5">
          <w:rPr>
            <w:rStyle w:val="Hyperlink"/>
            <w:sz w:val="20"/>
            <w:szCs w:val="20"/>
          </w:rPr>
          <w:t>http://www.platinumequity.com/news/1179/platinum-equity-to-acquire-officemax-business-in-australia-and-new-zealand-from-office-depot</w:t>
        </w:r>
      </w:hyperlink>
      <w:r w:rsidR="006D5392" w:rsidRPr="006D5392">
        <w:rPr>
          <w:rStyle w:val="Hyperlink"/>
          <w:color w:val="auto"/>
          <w:sz w:val="20"/>
          <w:szCs w:val="20"/>
          <w:u w:val="none"/>
        </w:rPr>
        <w:t>.</w:t>
      </w:r>
    </w:p>
  </w:footnote>
  <w:footnote w:id="3">
    <w:p w:rsidR="00C22D72" w:rsidRDefault="00C22D72" w:rsidP="001664D3">
      <w:pPr>
        <w:pStyle w:val="FootnoteText"/>
        <w:jc w:val="left"/>
      </w:pPr>
      <w:r>
        <w:rPr>
          <w:rStyle w:val="FootnoteReference"/>
        </w:rPr>
        <w:footnoteRef/>
      </w:r>
      <w:r>
        <w:t xml:space="preserve"> </w:t>
      </w:r>
      <w:r w:rsidR="001664D3">
        <w:t>Complete Office Supplies, Why COS</w:t>
      </w:r>
      <w:proofErr w:type="gramStart"/>
      <w:r w:rsidR="001664D3">
        <w:t>?,</w:t>
      </w:r>
      <w:proofErr w:type="gramEnd"/>
      <w:r w:rsidR="001664D3">
        <w:t xml:space="preserve"> viewed 23 August 2017, </w:t>
      </w:r>
      <w:hyperlink r:id="rId3" w:history="1">
        <w:r w:rsidR="00B4131F" w:rsidRPr="00953E74">
          <w:rPr>
            <w:rStyle w:val="Hyperlink"/>
          </w:rPr>
          <w:t>http://www.cos.net.au/c/why-cos</w:t>
        </w:r>
      </w:hyperlink>
      <w:r w:rsidR="00DF5DA0">
        <w:t>.</w:t>
      </w:r>
    </w:p>
  </w:footnote>
  <w:footnote w:id="4">
    <w:p w:rsidR="00C22D72" w:rsidRDefault="00C22D72" w:rsidP="001664D3">
      <w:pPr>
        <w:pStyle w:val="FootnoteText"/>
        <w:jc w:val="left"/>
      </w:pPr>
      <w:r>
        <w:rPr>
          <w:rStyle w:val="FootnoteReference"/>
        </w:rPr>
        <w:footnoteRef/>
      </w:r>
      <w:r>
        <w:t xml:space="preserve"> </w:t>
      </w:r>
      <w:r w:rsidR="001664D3">
        <w:t xml:space="preserve">Complete Office Supplies, viewed 23 August 2017, </w:t>
      </w:r>
      <w:hyperlink r:id="rId4" w:history="1">
        <w:r w:rsidR="004C63EB" w:rsidRPr="00E839E6">
          <w:rPr>
            <w:rStyle w:val="Hyperlink"/>
          </w:rPr>
          <w:t>http://www.cos.net.au/</w:t>
        </w:r>
      </w:hyperlink>
      <w:r w:rsidR="001664D3">
        <w:t xml:space="preserve"> and Complete Office Supplies, Contact </w:t>
      </w:r>
      <w:proofErr w:type="gramStart"/>
      <w:r w:rsidR="001664D3">
        <w:t>Us</w:t>
      </w:r>
      <w:proofErr w:type="gramEnd"/>
      <w:r w:rsidR="001664D3">
        <w:t>, viewed 23 August 2017,</w:t>
      </w:r>
      <w:r w:rsidR="00DE152C">
        <w:t xml:space="preserve"> </w:t>
      </w:r>
      <w:hyperlink r:id="rId5" w:history="1">
        <w:r w:rsidR="00B4131F" w:rsidRPr="00953E74">
          <w:rPr>
            <w:rStyle w:val="Hyperlink"/>
          </w:rPr>
          <w:t>http://www.cos.net.au/c/contact-us</w:t>
        </w:r>
      </w:hyperlink>
      <w:r w:rsidR="00DF5DA0">
        <w:t>.</w:t>
      </w:r>
    </w:p>
  </w:footnote>
  <w:footnote w:id="5">
    <w:p w:rsidR="00FC7478" w:rsidRDefault="00FC7478" w:rsidP="001664D3">
      <w:pPr>
        <w:pStyle w:val="FootnoteText"/>
        <w:jc w:val="left"/>
      </w:pPr>
      <w:r>
        <w:rPr>
          <w:rStyle w:val="FootnoteReference"/>
        </w:rPr>
        <w:footnoteRef/>
      </w:r>
      <w:r>
        <w:t xml:space="preserve"> </w:t>
      </w:r>
      <w:proofErr w:type="gramStart"/>
      <w:r w:rsidR="001664D3">
        <w:t xml:space="preserve">Complete Office Supplies Working Spaces, viewed 23 August 2017, </w:t>
      </w:r>
      <w:hyperlink r:id="rId6" w:history="1">
        <w:r w:rsidR="00B4131F" w:rsidRPr="00953E74">
          <w:rPr>
            <w:rStyle w:val="Hyperlink"/>
          </w:rPr>
          <w:t>http://www.cosworkingspaces.com.au/</w:t>
        </w:r>
      </w:hyperlink>
      <w:r w:rsidR="00DF5DA0">
        <w:t>.</w:t>
      </w:r>
      <w:proofErr w:type="gramEnd"/>
    </w:p>
  </w:footnote>
  <w:footnote w:id="6">
    <w:p w:rsidR="00B729BB" w:rsidRDefault="00B729BB" w:rsidP="001664D3">
      <w:pPr>
        <w:pStyle w:val="FootnoteText"/>
        <w:jc w:val="left"/>
      </w:pPr>
      <w:r>
        <w:rPr>
          <w:rStyle w:val="FootnoteReference"/>
        </w:rPr>
        <w:footnoteRef/>
      </w:r>
      <w:r>
        <w:t xml:space="preserve"> </w:t>
      </w:r>
      <w:r w:rsidR="001664D3">
        <w:t xml:space="preserve">Lyreco, Lyreco Subsidiaries, viewed 23 August 2017, </w:t>
      </w:r>
      <w:hyperlink r:id="rId7" w:history="1">
        <w:r w:rsidRPr="009C6E17">
          <w:rPr>
            <w:rStyle w:val="Hyperlink"/>
          </w:rPr>
          <w:t>http://australia-corp.lyreco.com/gbr/international-coverage,925/lyreco-subsidiaries,1719.html</w:t>
        </w:r>
      </w:hyperlink>
      <w:r>
        <w:t xml:space="preserve"> </w:t>
      </w:r>
    </w:p>
  </w:footnote>
  <w:footnote w:id="7">
    <w:p w:rsidR="00B4131F" w:rsidRDefault="00B4131F" w:rsidP="001664D3">
      <w:pPr>
        <w:pStyle w:val="FootnoteText"/>
        <w:jc w:val="left"/>
      </w:pPr>
      <w:r>
        <w:rPr>
          <w:rStyle w:val="FootnoteReference"/>
        </w:rPr>
        <w:footnoteRef/>
      </w:r>
      <w:r>
        <w:t xml:space="preserve"> </w:t>
      </w:r>
      <w:r w:rsidR="001664D3">
        <w:t xml:space="preserve">Lyreco, Contact, viewed 23 August 2017, </w:t>
      </w:r>
      <w:hyperlink r:id="rId8" w:history="1">
        <w:r w:rsidR="00F466F0" w:rsidRPr="003E2F8E">
          <w:rPr>
            <w:rStyle w:val="Hyperlink"/>
          </w:rPr>
          <w:t>http://australia-corp.lyreco.com/gbr/contact.html</w:t>
        </w:r>
      </w:hyperlink>
      <w:r w:rsidR="007D4524">
        <w:t>.</w:t>
      </w:r>
      <w:r w:rsidR="007D4524" w:rsidDel="007D4524">
        <w:t xml:space="preserve"> </w:t>
      </w:r>
    </w:p>
  </w:footnote>
  <w:footnote w:id="8">
    <w:p w:rsidR="00BC5E71" w:rsidRDefault="00BC5E71" w:rsidP="001664D3">
      <w:pPr>
        <w:pStyle w:val="FootnoteText"/>
        <w:jc w:val="left"/>
      </w:pPr>
      <w:r>
        <w:rPr>
          <w:rStyle w:val="FootnoteReference"/>
        </w:rPr>
        <w:footnoteRef/>
      </w:r>
      <w:r>
        <w:t xml:space="preserve"> </w:t>
      </w:r>
      <w:proofErr w:type="spellStart"/>
      <w:r w:rsidR="001664D3">
        <w:t>Officeworks</w:t>
      </w:r>
      <w:proofErr w:type="spellEnd"/>
      <w:r w:rsidR="001664D3">
        <w:t xml:space="preserve">, </w:t>
      </w:r>
      <w:proofErr w:type="gramStart"/>
      <w:r w:rsidR="001664D3">
        <w:t>Who</w:t>
      </w:r>
      <w:proofErr w:type="gramEnd"/>
      <w:r w:rsidR="001664D3">
        <w:t xml:space="preserve"> we are, viewed 23 August 2017, </w:t>
      </w:r>
      <w:hyperlink r:id="rId9" w:history="1">
        <w:r w:rsidR="00AB2324" w:rsidRPr="00953E74">
          <w:rPr>
            <w:rStyle w:val="Hyperlink"/>
          </w:rPr>
          <w:t>https://www.officeworks.com.au/information/about-us/who-we-are</w:t>
        </w:r>
      </w:hyperlink>
      <w:r w:rsidR="00DF5DA0">
        <w:t>.</w:t>
      </w:r>
    </w:p>
  </w:footnote>
  <w:footnote w:id="9">
    <w:p w:rsidR="00FC7478" w:rsidRDefault="00FC7478" w:rsidP="001664D3">
      <w:pPr>
        <w:pStyle w:val="FootnoteText"/>
        <w:jc w:val="left"/>
      </w:pPr>
      <w:r>
        <w:rPr>
          <w:rStyle w:val="FootnoteReference"/>
        </w:rPr>
        <w:footnoteRef/>
      </w:r>
      <w:r>
        <w:t xml:space="preserve"> </w:t>
      </w:r>
      <w:proofErr w:type="spellStart"/>
      <w:r w:rsidR="001664D3">
        <w:t>Officeworks</w:t>
      </w:r>
      <w:proofErr w:type="spellEnd"/>
      <w:r w:rsidR="001664D3">
        <w:t xml:space="preserve">, </w:t>
      </w:r>
      <w:proofErr w:type="gramStart"/>
      <w:r w:rsidR="001664D3">
        <w:t>Who</w:t>
      </w:r>
      <w:proofErr w:type="gramEnd"/>
      <w:r w:rsidR="001664D3">
        <w:t xml:space="preserve"> we are, viewed 23 August 2017, </w:t>
      </w:r>
      <w:hyperlink r:id="rId10" w:history="1">
        <w:r w:rsidR="00B4131F" w:rsidRPr="00953E74">
          <w:rPr>
            <w:rStyle w:val="Hyperlink"/>
          </w:rPr>
          <w:t>https://www.officeworks.com.au/information/about-us/who-we-are</w:t>
        </w:r>
      </w:hyperlink>
      <w:r w:rsidR="00DF5DA0">
        <w:t>.</w:t>
      </w:r>
    </w:p>
  </w:footnote>
  <w:footnote w:id="10">
    <w:p w:rsidR="00FC7478" w:rsidRDefault="00FC7478" w:rsidP="001664D3">
      <w:pPr>
        <w:pStyle w:val="FootnoteText"/>
        <w:jc w:val="left"/>
      </w:pPr>
      <w:r>
        <w:rPr>
          <w:rStyle w:val="FootnoteReference"/>
        </w:rPr>
        <w:footnoteRef/>
      </w:r>
      <w:r>
        <w:t xml:space="preserve"> </w:t>
      </w:r>
      <w:proofErr w:type="spellStart"/>
      <w:r w:rsidR="001664D3">
        <w:t>Officeworks</w:t>
      </w:r>
      <w:proofErr w:type="spellEnd"/>
      <w:r w:rsidR="001664D3">
        <w:t xml:space="preserve">, </w:t>
      </w:r>
      <w:proofErr w:type="gramStart"/>
      <w:r w:rsidR="001664D3">
        <w:t>Who</w:t>
      </w:r>
      <w:proofErr w:type="gramEnd"/>
      <w:r w:rsidR="001664D3">
        <w:t xml:space="preserve"> we are, viewed 23 August 2017, </w:t>
      </w:r>
      <w:hyperlink r:id="rId11" w:history="1">
        <w:r w:rsidRPr="00417360">
          <w:rPr>
            <w:rStyle w:val="Hyperlink"/>
          </w:rPr>
          <w:t>https://www.officeworks.com.au/information/about-us/who-we-are</w:t>
        </w:r>
      </w:hyperlink>
      <w:r>
        <w:t xml:space="preserve">. </w:t>
      </w:r>
    </w:p>
  </w:footnote>
  <w:footnote w:id="11">
    <w:p w:rsidR="00AE37ED" w:rsidRDefault="00AE37ED" w:rsidP="001664D3">
      <w:pPr>
        <w:pStyle w:val="FootnoteText"/>
        <w:jc w:val="left"/>
      </w:pPr>
      <w:r>
        <w:rPr>
          <w:rStyle w:val="FootnoteReference"/>
        </w:rPr>
        <w:footnoteRef/>
      </w:r>
      <w:r>
        <w:t xml:space="preserve"> </w:t>
      </w:r>
      <w:proofErr w:type="gramStart"/>
      <w:r w:rsidR="001664D3">
        <w:t xml:space="preserve">Office National, About Us, viewed 23 August 2017, </w:t>
      </w:r>
      <w:hyperlink r:id="rId12" w:history="1">
        <w:r w:rsidR="00364E29" w:rsidRPr="006E0AF6">
          <w:rPr>
            <w:rStyle w:val="Hyperlink"/>
          </w:rPr>
          <w:t>https://www.officenational.com.au/shop/en/obb2cstore/about-us</w:t>
        </w:r>
      </w:hyperlink>
      <w:r w:rsidR="00936162">
        <w:t>.</w:t>
      </w:r>
      <w:proofErr w:type="gramEnd"/>
    </w:p>
  </w:footnote>
  <w:footnote w:id="12">
    <w:p w:rsidR="000B7580" w:rsidRDefault="000B7580" w:rsidP="001664D3">
      <w:pPr>
        <w:pStyle w:val="FootnoteText"/>
        <w:jc w:val="left"/>
      </w:pPr>
      <w:r>
        <w:rPr>
          <w:rStyle w:val="FootnoteReference"/>
        </w:rPr>
        <w:footnoteRef/>
      </w:r>
      <w:r>
        <w:t xml:space="preserve"> </w:t>
      </w:r>
      <w:proofErr w:type="gramStart"/>
      <w:r w:rsidR="001664D3">
        <w:t xml:space="preserve">Office Choice, About Us, viewed 23 August 2017, </w:t>
      </w:r>
      <w:hyperlink r:id="rId13" w:history="1">
        <w:r w:rsidR="00364E29" w:rsidRPr="006E0AF6">
          <w:rPr>
            <w:rStyle w:val="Hyperlink"/>
          </w:rPr>
          <w:t>http://www.officechoice.com.au/about-us/</w:t>
        </w:r>
      </w:hyperlink>
      <w:r w:rsidR="00936162">
        <w:t>.</w:t>
      </w:r>
      <w:proofErr w:type="gramEnd"/>
    </w:p>
  </w:footnote>
  <w:footnote w:id="13">
    <w:p w:rsidR="00FC7478" w:rsidRDefault="00FC7478">
      <w:pPr>
        <w:pStyle w:val="FootnoteText"/>
      </w:pPr>
      <w:r>
        <w:rPr>
          <w:rStyle w:val="FootnoteReference"/>
        </w:rPr>
        <w:footnoteRef/>
      </w:r>
      <w:r>
        <w:t xml:space="preserve"> </w:t>
      </w:r>
      <w:proofErr w:type="gramStart"/>
      <w:r w:rsidR="001664D3">
        <w:t xml:space="preserve">Office Choice, About Us, viewed 23 August 2017, </w:t>
      </w:r>
      <w:hyperlink r:id="rId14" w:history="1">
        <w:r w:rsidR="001664D3" w:rsidRPr="006E0AF6">
          <w:rPr>
            <w:rStyle w:val="Hyperlink"/>
          </w:rPr>
          <w:t>http://www.officechoice.com.au/about-us/</w:t>
        </w:r>
      </w:hyperlink>
      <w:r w:rsidR="001664D3">
        <w:t>.</w:t>
      </w:r>
      <w:proofErr w:type="gramEnd"/>
    </w:p>
  </w:footnote>
  <w:footnote w:id="14">
    <w:p w:rsidR="00646197" w:rsidRDefault="00646197" w:rsidP="001664D3">
      <w:pPr>
        <w:pStyle w:val="FootnoteText"/>
        <w:jc w:val="left"/>
      </w:pPr>
      <w:r>
        <w:rPr>
          <w:rStyle w:val="FootnoteReference"/>
        </w:rPr>
        <w:footnoteRef/>
      </w:r>
      <w:r>
        <w:t xml:space="preserve"> </w:t>
      </w:r>
      <w:r w:rsidR="001664D3">
        <w:t xml:space="preserve">Stationery News, </w:t>
      </w:r>
      <w:r w:rsidR="001664D3" w:rsidRPr="006D5392">
        <w:rPr>
          <w:i/>
        </w:rPr>
        <w:t>Quick Corporate Australia moves to Office Choice</w:t>
      </w:r>
      <w:r w:rsidR="001664D3">
        <w:t xml:space="preserve">, 3 July 2017, viewed 23 August 2017, </w:t>
      </w:r>
      <w:hyperlink r:id="rId15" w:history="1">
        <w:r w:rsidRPr="00C32802">
          <w:rPr>
            <w:rStyle w:val="Hyperlink"/>
          </w:rPr>
          <w:t>http://www.stationerynews.com.au/news/quick-corporate-australia-moves-to-office-choice</w:t>
        </w:r>
      </w:hyperlink>
      <w:r w:rsidR="00936162">
        <w:t>.</w:t>
      </w:r>
      <w:r>
        <w:t xml:space="preserve"> </w:t>
      </w:r>
    </w:p>
  </w:footnote>
  <w:footnote w:id="15">
    <w:p w:rsidR="00646197" w:rsidRDefault="00646197" w:rsidP="001664D3">
      <w:pPr>
        <w:pStyle w:val="FootnoteText"/>
        <w:jc w:val="left"/>
      </w:pPr>
      <w:r>
        <w:rPr>
          <w:rStyle w:val="FootnoteReference"/>
        </w:rPr>
        <w:footnoteRef/>
      </w:r>
      <w:r>
        <w:t xml:space="preserve"> </w:t>
      </w:r>
      <w:proofErr w:type="gramStart"/>
      <w:r w:rsidR="001664D3">
        <w:t xml:space="preserve">Quick Corporate Australia, About Us, viewed 23 August 2017, </w:t>
      </w:r>
      <w:hyperlink r:id="rId16" w:history="1">
        <w:r w:rsidR="00541277" w:rsidRPr="00953E74">
          <w:rPr>
            <w:rStyle w:val="Hyperlink"/>
          </w:rPr>
          <w:t>https://www.quickcorporate.com.au/qc/QUICK_CORPORATE_AUSTRALIA-About_Us.htm</w:t>
        </w:r>
      </w:hyperlink>
      <w:r w:rsidR="00936162">
        <w:t>.</w:t>
      </w:r>
      <w:proofErr w:type="gramEnd"/>
    </w:p>
  </w:footnote>
  <w:footnote w:id="16">
    <w:p w:rsidR="00FC7478" w:rsidRDefault="00FC7478" w:rsidP="00936162">
      <w:pPr>
        <w:pStyle w:val="FootnoteText"/>
        <w:jc w:val="left"/>
      </w:pPr>
      <w:r>
        <w:rPr>
          <w:rStyle w:val="FootnoteReference"/>
        </w:rPr>
        <w:footnoteRef/>
      </w:r>
      <w:r>
        <w:t xml:space="preserve"> </w:t>
      </w:r>
      <w:proofErr w:type="gramStart"/>
      <w:r w:rsidR="001664D3">
        <w:t xml:space="preserve">Quick Corporate Australia, About Us, viewed 23 August 2017, </w:t>
      </w:r>
      <w:hyperlink r:id="rId17" w:history="1">
        <w:r w:rsidR="001664D3" w:rsidRPr="00953E74">
          <w:rPr>
            <w:rStyle w:val="Hyperlink"/>
          </w:rPr>
          <w:t>https://www.quickcorporate.com.au/qc/QUICK_CORPORATE_AUSTRALIA-About_Us.htm</w:t>
        </w:r>
      </w:hyperlink>
      <w:r w:rsidR="001664D3">
        <w:t>.</w:t>
      </w:r>
      <w:proofErr w:type="gramEnd"/>
    </w:p>
  </w:footnote>
  <w:footnote w:id="17">
    <w:p w:rsidR="00FC7478" w:rsidRDefault="00FC7478" w:rsidP="001664D3">
      <w:pPr>
        <w:pStyle w:val="FootnoteText"/>
        <w:jc w:val="left"/>
      </w:pPr>
      <w:r>
        <w:rPr>
          <w:rStyle w:val="FootnoteReference"/>
        </w:rPr>
        <w:footnoteRef/>
      </w:r>
      <w:r>
        <w:t xml:space="preserve"> </w:t>
      </w:r>
      <w:r w:rsidR="001664D3">
        <w:t xml:space="preserve">ACCC, Mergers Register, viewed 23 August 2017, </w:t>
      </w:r>
      <w:hyperlink r:id="rId18" w:history="1">
        <w:r w:rsidRPr="0094662E">
          <w:rPr>
            <w:rStyle w:val="Hyperlink"/>
          </w:rPr>
          <w:t>http://registers.accc.gov.au/content/index.phtml/itemId/1188435/fromItemId/751043</w:t>
        </w:r>
      </w:hyperlink>
      <w:r>
        <w:t xml:space="preserve"> </w:t>
      </w:r>
    </w:p>
  </w:footnote>
  <w:footnote w:id="18">
    <w:p w:rsidR="00FC7478" w:rsidRPr="00EA167F" w:rsidRDefault="00FC7478" w:rsidP="00EA167F">
      <w:pPr>
        <w:rPr>
          <w:sz w:val="20"/>
          <w:szCs w:val="20"/>
          <w:lang w:eastAsia="en-AU"/>
        </w:rPr>
      </w:pPr>
      <w:r>
        <w:rPr>
          <w:rStyle w:val="FootnoteReference"/>
        </w:rPr>
        <w:footnoteRef/>
      </w:r>
      <w:r w:rsidR="00B64B0F">
        <w:t xml:space="preserve"> </w:t>
      </w:r>
      <w:r w:rsidR="00B64B0F" w:rsidRPr="008631F5">
        <w:rPr>
          <w:sz w:val="20"/>
          <w:szCs w:val="20"/>
        </w:rPr>
        <w:t>See</w:t>
      </w:r>
      <w:r w:rsidR="008631F5" w:rsidRPr="008631F5">
        <w:rPr>
          <w:sz w:val="20"/>
          <w:szCs w:val="20"/>
        </w:rPr>
        <w:t xml:space="preserve">, for example, Staples, </w:t>
      </w:r>
      <w:r w:rsidR="008631F5" w:rsidRPr="008631F5">
        <w:rPr>
          <w:i/>
          <w:sz w:val="20"/>
          <w:szCs w:val="20"/>
        </w:rPr>
        <w:t>Staples and Office Depot to Terminate Merger Agreement</w:t>
      </w:r>
      <w:r w:rsidR="008631F5" w:rsidRPr="008631F5">
        <w:rPr>
          <w:sz w:val="20"/>
          <w:szCs w:val="20"/>
        </w:rPr>
        <w:t>, 10 May 2016, viewed 23 August 2017,</w:t>
      </w:r>
      <w:r w:rsidR="00936162" w:rsidRPr="008631F5">
        <w:rPr>
          <w:bCs/>
        </w:rPr>
        <w:t xml:space="preserve"> </w:t>
      </w:r>
      <w:hyperlink r:id="rId19" w:history="1">
        <w:r w:rsidR="000E0EED" w:rsidRPr="008631F5">
          <w:rPr>
            <w:rStyle w:val="Hyperlink"/>
            <w:sz w:val="20"/>
            <w:szCs w:val="20"/>
          </w:rPr>
          <w:t>http://staples.newshq.businesswire.com/press-release/corporate/staples-and-office-depot-terminate-merger-agreement</w:t>
        </w:r>
      </w:hyperlink>
      <w:r w:rsidR="00B64B0F" w:rsidRPr="008631F5">
        <w:rPr>
          <w:sz w:val="20"/>
          <w:szCs w:val="20"/>
        </w:rPr>
        <w:t xml:space="preserve"> and </w:t>
      </w:r>
      <w:r w:rsidR="008631F5" w:rsidRPr="008631F5">
        <w:rPr>
          <w:sz w:val="20"/>
          <w:szCs w:val="20"/>
        </w:rPr>
        <w:t xml:space="preserve">Office Depot, </w:t>
      </w:r>
      <w:r w:rsidR="008631F5" w:rsidRPr="008631F5">
        <w:rPr>
          <w:i/>
          <w:sz w:val="20"/>
          <w:szCs w:val="20"/>
        </w:rPr>
        <w:t>Office Depot Responds to District Court’s Ruling on Merger with Staples</w:t>
      </w:r>
      <w:r w:rsidR="008631F5" w:rsidRPr="008631F5">
        <w:rPr>
          <w:sz w:val="20"/>
          <w:szCs w:val="20"/>
        </w:rPr>
        <w:t xml:space="preserve">, 10 May 2016, viewed 23 August 2017, </w:t>
      </w:r>
      <w:hyperlink r:id="rId20" w:history="1">
        <w:r w:rsidR="000E0EED" w:rsidRPr="008631F5">
          <w:rPr>
            <w:rStyle w:val="Hyperlink"/>
            <w:sz w:val="20"/>
            <w:szCs w:val="20"/>
            <w:lang w:eastAsia="en-AU"/>
          </w:rPr>
          <w:t>http://news.officedepot.com/press-release/corporatefinancial-news/office-depot-responds-district-courts-ruling-merger-staples</w:t>
        </w:r>
      </w:hyperlink>
      <w:r w:rsidR="00936162" w:rsidRPr="008631F5">
        <w:rPr>
          <w:sz w:val="20"/>
          <w:szCs w:val="20"/>
          <w:lang w:eastAsia="en-AU"/>
        </w:rPr>
        <w:t>.</w:t>
      </w:r>
      <w:r w:rsidR="00B64B0F">
        <w:rPr>
          <w:sz w:val="20"/>
          <w:szCs w:val="20"/>
          <w:lang w:eastAsia="en-AU"/>
        </w:rPr>
        <w:t xml:space="preserve"> </w:t>
      </w:r>
    </w:p>
  </w:footnote>
  <w:footnote w:id="19">
    <w:p w:rsidR="008631F5" w:rsidRDefault="008631F5" w:rsidP="008631F5">
      <w:pPr>
        <w:pStyle w:val="FootnoteText"/>
        <w:jc w:val="left"/>
      </w:pPr>
      <w:r>
        <w:rPr>
          <w:rStyle w:val="FootnoteReference"/>
        </w:rPr>
        <w:footnoteRef/>
      </w:r>
      <w:r>
        <w:t xml:space="preserve"> </w:t>
      </w:r>
      <w:proofErr w:type="spellStart"/>
      <w:proofErr w:type="gramStart"/>
      <w:r w:rsidRPr="00DB46DC">
        <w:t>Penfold</w:t>
      </w:r>
      <w:proofErr w:type="spellEnd"/>
      <w:r w:rsidRPr="00DB46DC">
        <w:t xml:space="preserve"> Research Report</w:t>
      </w:r>
      <w:r>
        <w:t>,</w:t>
      </w:r>
      <w:r w:rsidRPr="00DB46DC">
        <w:t xml:space="preserve"> </w:t>
      </w:r>
      <w:r w:rsidRPr="000554A1">
        <w:rPr>
          <w:i/>
        </w:rPr>
        <w:t>Office Products in Australia 2016-18</w:t>
      </w:r>
      <w:r w:rsidRPr="00DB46DC">
        <w:t>.</w:t>
      </w:r>
      <w:proofErr w:type="gramEnd"/>
      <w:r w:rsidRPr="00DB46DC">
        <w:t xml:space="preserve"> </w:t>
      </w:r>
      <w:r>
        <w:t xml:space="preserve">See, for example, </w:t>
      </w:r>
      <w:proofErr w:type="spellStart"/>
      <w:r>
        <w:t>Penfold</w:t>
      </w:r>
      <w:proofErr w:type="spellEnd"/>
      <w:r>
        <w:t xml:space="preserve"> Research, News, viewed 23 August 2017, </w:t>
      </w:r>
      <w:hyperlink r:id="rId21" w:history="1">
        <w:r w:rsidRPr="007F6FD9">
          <w:rPr>
            <w:rStyle w:val="Hyperlink"/>
          </w:rPr>
          <w:t>http://www.penfoldresearch.com.au/news-page/</w:t>
        </w:r>
      </w:hyperlink>
      <w:r>
        <w:t>.</w:t>
      </w:r>
    </w:p>
  </w:footnote>
  <w:footnote w:id="20">
    <w:p w:rsidR="008631F5" w:rsidRDefault="008631F5" w:rsidP="008631F5">
      <w:pPr>
        <w:pStyle w:val="FootnoteText"/>
        <w:jc w:val="left"/>
      </w:pPr>
      <w:r>
        <w:rPr>
          <w:rStyle w:val="FootnoteReference"/>
        </w:rPr>
        <w:footnoteRef/>
      </w:r>
      <w:r>
        <w:t xml:space="preserve"> </w:t>
      </w:r>
      <w:proofErr w:type="spellStart"/>
      <w:proofErr w:type="gramStart"/>
      <w:r w:rsidRPr="00DB46DC">
        <w:t>Penfold</w:t>
      </w:r>
      <w:proofErr w:type="spellEnd"/>
      <w:r w:rsidRPr="00DB46DC">
        <w:t xml:space="preserve"> Research Report</w:t>
      </w:r>
      <w:r>
        <w:t>,</w:t>
      </w:r>
      <w:r w:rsidRPr="00DB46DC">
        <w:t xml:space="preserve"> </w:t>
      </w:r>
      <w:r w:rsidRPr="000554A1">
        <w:rPr>
          <w:i/>
        </w:rPr>
        <w:t>Office Products in Australia 2016-18</w:t>
      </w:r>
      <w:r w:rsidRPr="00DB46DC">
        <w:t>.</w:t>
      </w:r>
      <w:proofErr w:type="gramEnd"/>
      <w:r w:rsidRPr="00DB46DC">
        <w:t xml:space="preserve"> </w:t>
      </w:r>
      <w:r>
        <w:t xml:space="preserve">See, for example, the report outline </w:t>
      </w:r>
      <w:r w:rsidR="006D5392">
        <w:t xml:space="preserve">available </w:t>
      </w:r>
      <w:r>
        <w:t xml:space="preserve">at </w:t>
      </w:r>
      <w:hyperlink r:id="rId22" w:history="1">
        <w:r w:rsidRPr="007F6FD9">
          <w:rPr>
            <w:rStyle w:val="Hyperlink"/>
          </w:rPr>
          <w:t>http://www.penfoldresearch.com.au/wp-content/uploads/2017/03/Office_Products_in_Australia_2016-2018_REPORT_OUTLINE.pdf</w:t>
        </w:r>
      </w:hyperlink>
      <w:r>
        <w:t>.</w:t>
      </w:r>
    </w:p>
  </w:footnote>
  <w:footnote w:id="21">
    <w:p w:rsidR="000554A1" w:rsidRDefault="000554A1" w:rsidP="000554A1">
      <w:pPr>
        <w:pStyle w:val="FootnoteText"/>
        <w:jc w:val="left"/>
      </w:pPr>
      <w:r>
        <w:rPr>
          <w:rStyle w:val="FootnoteReference"/>
        </w:rPr>
        <w:footnoteRef/>
      </w:r>
      <w:r>
        <w:t xml:space="preserve"> Australian Financial Review, </w:t>
      </w:r>
      <w:proofErr w:type="spellStart"/>
      <w:r w:rsidRPr="000554A1">
        <w:rPr>
          <w:i/>
        </w:rPr>
        <w:t>Officeworks</w:t>
      </w:r>
      <w:proofErr w:type="spellEnd"/>
      <w:r w:rsidRPr="000554A1">
        <w:rPr>
          <w:i/>
        </w:rPr>
        <w:t xml:space="preserve"> ramps up Amazon defences</w:t>
      </w:r>
      <w:r>
        <w:t xml:space="preserve">, 15 June 2017, viewed 23 </w:t>
      </w:r>
      <w:r w:rsidR="00B0378C">
        <w:t>August</w:t>
      </w:r>
      <w:r>
        <w:t xml:space="preserve"> 2017, </w:t>
      </w:r>
      <w:hyperlink r:id="rId23" w:history="1">
        <w:r w:rsidR="008631F5" w:rsidRPr="009F376C">
          <w:rPr>
            <w:rStyle w:val="Hyperlink"/>
          </w:rPr>
          <w:t>http://www.afr.com/business/retail/officeworks-ramps-up-amazon-defences-20170615-gwrnz1</w:t>
        </w:r>
      </w:hyperlink>
      <w:r w:rsidR="008631F5">
        <w:t>.</w:t>
      </w:r>
    </w:p>
  </w:footnote>
  <w:footnote w:id="22">
    <w:p w:rsidR="00FC7478" w:rsidRDefault="00FC7478" w:rsidP="008631F5">
      <w:pPr>
        <w:pStyle w:val="FootnoteText"/>
        <w:jc w:val="left"/>
      </w:pPr>
      <w:r>
        <w:rPr>
          <w:rStyle w:val="FootnoteReference"/>
        </w:rPr>
        <w:footnoteRef/>
      </w:r>
      <w:r>
        <w:t xml:space="preserve"> See, for example, </w:t>
      </w:r>
      <w:r w:rsidR="008631F5">
        <w:t xml:space="preserve">Australian Financial Review, </w:t>
      </w:r>
      <w:r w:rsidR="008631F5" w:rsidRPr="008631F5">
        <w:rPr>
          <w:i/>
        </w:rPr>
        <w:t>Amazon breaks silence on Australian retail plans</w:t>
      </w:r>
      <w:r w:rsidR="008631F5">
        <w:t xml:space="preserve">, 20 April 2017, viewed 23 August 2017, </w:t>
      </w:r>
      <w:hyperlink r:id="rId24" w:history="1">
        <w:r w:rsidRPr="007F6FD9">
          <w:rPr>
            <w:rStyle w:val="Hyperlink"/>
          </w:rPr>
          <w:t>http://www.afr.com/business/retail/amazon-breaks-silence-on-australian-retail-plans-20170419-gvnvlp</w:t>
        </w:r>
      </w:hyperlink>
      <w:r w:rsidR="008631F5" w:rsidRPr="008631F5">
        <w:rPr>
          <w:rStyle w:val="Hyperlink"/>
          <w:u w:val="none"/>
        </w:rPr>
        <w:t>.</w:t>
      </w:r>
    </w:p>
  </w:footnote>
  <w:footnote w:id="23">
    <w:p w:rsidR="00B4131F" w:rsidRDefault="00B4131F" w:rsidP="008631F5">
      <w:pPr>
        <w:pStyle w:val="FootnoteText"/>
        <w:jc w:val="left"/>
      </w:pPr>
      <w:r>
        <w:rPr>
          <w:rStyle w:val="FootnoteReference"/>
        </w:rPr>
        <w:footnoteRef/>
      </w:r>
      <w:r>
        <w:t xml:space="preserve"> ISO certifications are internationally recognised quality management certifications. See</w:t>
      </w:r>
      <w:r w:rsidR="00C64242">
        <w:t>,</w:t>
      </w:r>
      <w:r>
        <w:t xml:space="preserve"> for example, </w:t>
      </w:r>
      <w:r w:rsidR="008631F5">
        <w:t xml:space="preserve">ISO Quality Services Ltd, About Us, viewed 23 August 2017, </w:t>
      </w:r>
      <w:hyperlink r:id="rId25" w:history="1">
        <w:r w:rsidRPr="00953E74">
          <w:rPr>
            <w:rStyle w:val="Hyperlink"/>
          </w:rPr>
          <w:t>https://www.isoqsltd.com/about-us/</w:t>
        </w:r>
      </w:hyperlink>
      <w:r w:rsidR="00E14C02">
        <w:t>.</w:t>
      </w:r>
      <w:r>
        <w:t xml:space="preserve">  </w:t>
      </w:r>
    </w:p>
  </w:footnote>
  <w:footnote w:id="24">
    <w:p w:rsidR="008631F5" w:rsidRDefault="008631F5" w:rsidP="008631F5">
      <w:pPr>
        <w:pStyle w:val="FootnoteText"/>
        <w:jc w:val="left"/>
      </w:pPr>
      <w:r>
        <w:rPr>
          <w:rStyle w:val="FootnoteReference"/>
        </w:rPr>
        <w:footnoteRef/>
      </w:r>
      <w:r>
        <w:t xml:space="preserve"> </w:t>
      </w:r>
      <w:r w:rsidRPr="00DB46DC">
        <w:t xml:space="preserve">See ACCC </w:t>
      </w:r>
      <w:r w:rsidRPr="008631F5">
        <w:rPr>
          <w:i/>
        </w:rPr>
        <w:t>Merger Guidelines</w:t>
      </w:r>
      <w:r w:rsidRPr="00DB46DC">
        <w:t xml:space="preserve">, November 2008, at </w:t>
      </w:r>
      <w:proofErr w:type="spellStart"/>
      <w:r w:rsidRPr="00DB46DC">
        <w:t>paras</w:t>
      </w:r>
      <w:proofErr w:type="spellEnd"/>
      <w:r w:rsidRPr="00DB46DC">
        <w:t xml:space="preserve">. </w:t>
      </w:r>
      <w:proofErr w:type="gramStart"/>
      <w:r w:rsidRPr="00DB46DC">
        <w:t xml:space="preserve">7.48-7.51, </w:t>
      </w:r>
      <w:hyperlink r:id="rId26" w:history="1">
        <w:r w:rsidRPr="00DB46DC">
          <w:rPr>
            <w:rStyle w:val="Hyperlink"/>
          </w:rPr>
          <w:t>https://www.accc.gov.au/system/files/Merger%20guidelines.pdf</w:t>
        </w:r>
      </w:hyperlink>
      <w:r w:rsidRPr="00DB46DC">
        <w:t>.</w:t>
      </w:r>
      <w:proofErr w:type="gramEnd"/>
      <w:r w:rsidRPr="00DB46D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8C" w:rsidRDefault="00B03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99" w:rsidRDefault="00842399">
    <w:pPr>
      <w:pStyle w:val="Header"/>
      <w:jc w:val="right"/>
      <w:rPr>
        <w:rFonts w:ascii="Arial" w:hAnsi="Arial" w:cs="Arial"/>
        <w:color w:val="000000"/>
        <w:sz w:val="22"/>
        <w:szCs w:val="22"/>
      </w:rPr>
    </w:pPr>
  </w:p>
  <w:p w:rsidR="00FC7478" w:rsidRPr="00B171A6" w:rsidRDefault="00FC7478">
    <w:pPr>
      <w:pStyle w:val="Header"/>
      <w:jc w:val="right"/>
      <w:rPr>
        <w:rFonts w:ascii="Arial" w:hAnsi="Arial" w:cs="Arial"/>
        <w:color w:val="000000"/>
        <w:sz w:val="22"/>
        <w:szCs w:val="22"/>
      </w:rPr>
    </w:pPr>
    <w:r>
      <w:rPr>
        <w:rFonts w:ascii="Arial" w:hAnsi="Arial" w:cs="Arial"/>
        <w:color w:val="000000"/>
        <w:sz w:val="22"/>
        <w:szCs w:val="22"/>
      </w:rPr>
      <w:t>Platinum Equity</w:t>
    </w:r>
    <w:r w:rsidRPr="00B171A6">
      <w:rPr>
        <w:rFonts w:ascii="Arial" w:hAnsi="Arial" w:cs="Arial"/>
        <w:color w:val="000000"/>
        <w:sz w:val="22"/>
        <w:szCs w:val="22"/>
      </w:rPr>
      <w:t xml:space="preserve"> – proposed acquisition of </w:t>
    </w:r>
    <w:r>
      <w:rPr>
        <w:rFonts w:ascii="Arial" w:hAnsi="Arial" w:cs="Arial"/>
        <w:color w:val="000000"/>
        <w:sz w:val="22"/>
        <w:szCs w:val="22"/>
      </w:rPr>
      <w:t>OfficeMax Australia</w:t>
    </w:r>
  </w:p>
  <w:p w:rsidR="00FC7478" w:rsidRDefault="00FC74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8C" w:rsidRDefault="00B03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34CCBA"/>
    <w:lvl w:ilvl="0">
      <w:start w:val="1"/>
      <w:numFmt w:val="decimal"/>
      <w:lvlText w:val="%1."/>
      <w:lvlJc w:val="left"/>
      <w:pPr>
        <w:tabs>
          <w:tab w:val="num" w:pos="1492"/>
        </w:tabs>
        <w:ind w:left="1492" w:hanging="360"/>
      </w:pPr>
    </w:lvl>
  </w:abstractNum>
  <w:abstractNum w:abstractNumId="1">
    <w:nsid w:val="FFFFFF7D"/>
    <w:multiLevelType w:val="singleLevel"/>
    <w:tmpl w:val="2BF48676"/>
    <w:lvl w:ilvl="0">
      <w:start w:val="1"/>
      <w:numFmt w:val="decimal"/>
      <w:lvlText w:val="%1."/>
      <w:lvlJc w:val="left"/>
      <w:pPr>
        <w:tabs>
          <w:tab w:val="num" w:pos="1209"/>
        </w:tabs>
        <w:ind w:left="1209" w:hanging="360"/>
      </w:pPr>
    </w:lvl>
  </w:abstractNum>
  <w:abstractNum w:abstractNumId="2">
    <w:nsid w:val="FFFFFF7E"/>
    <w:multiLevelType w:val="singleLevel"/>
    <w:tmpl w:val="479A3D3E"/>
    <w:lvl w:ilvl="0">
      <w:start w:val="1"/>
      <w:numFmt w:val="decimal"/>
      <w:lvlText w:val="%1."/>
      <w:lvlJc w:val="left"/>
      <w:pPr>
        <w:tabs>
          <w:tab w:val="num" w:pos="926"/>
        </w:tabs>
        <w:ind w:left="926" w:hanging="360"/>
      </w:pPr>
    </w:lvl>
  </w:abstractNum>
  <w:abstractNum w:abstractNumId="3">
    <w:nsid w:val="FFFFFF80"/>
    <w:multiLevelType w:val="singleLevel"/>
    <w:tmpl w:val="B3EE2FF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A7814C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CF4DE1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B52E14"/>
    <w:multiLevelType w:val="hybridMultilevel"/>
    <w:tmpl w:val="DF543CF8"/>
    <w:lvl w:ilvl="0" w:tplc="CA12A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0">
    <w:nsid w:val="1CF519CE"/>
    <w:multiLevelType w:val="multilevel"/>
    <w:tmpl w:val="6CEC14FA"/>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rPr>
        <w:b w:val="0"/>
        <w:i w:val="0"/>
      </w:r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1">
    <w:nsid w:val="21805366"/>
    <w:multiLevelType w:val="hybridMultilevel"/>
    <w:tmpl w:val="08A64556"/>
    <w:lvl w:ilvl="0" w:tplc="ABB24334">
      <w:start w:val="1"/>
      <w:numFmt w:val="decimal"/>
      <w:pStyle w:val="Numbered"/>
      <w:lvlText w:val="%1."/>
      <w:lvlJc w:val="left"/>
      <w:pPr>
        <w:tabs>
          <w:tab w:val="num" w:pos="567"/>
        </w:tabs>
        <w:ind w:left="567" w:hanging="567"/>
      </w:pPr>
      <w:rPr>
        <w:rFonts w:hint="default"/>
      </w:rPr>
    </w:lvl>
    <w:lvl w:ilvl="1" w:tplc="433850B4">
      <w:start w:val="1"/>
      <w:numFmt w:val="lowerLetter"/>
      <w:lvlText w:val="%2."/>
      <w:lvlJc w:val="left"/>
      <w:pPr>
        <w:tabs>
          <w:tab w:val="num" w:pos="1077"/>
        </w:tabs>
        <w:ind w:left="1077" w:hanging="357"/>
      </w:pPr>
      <w:rPr>
        <w:rFonts w:hint="default"/>
        <w:b w:val="0"/>
        <w:i w:val="0"/>
        <w:sz w:val="22"/>
        <w:szCs w:val="22"/>
      </w:rPr>
    </w:lvl>
    <w:lvl w:ilvl="2" w:tplc="68444F6C">
      <w:start w:val="1"/>
      <w:numFmt w:val="lowerRoman"/>
      <w:lvlText w:val="%3."/>
      <w:lvlJc w:val="right"/>
      <w:pPr>
        <w:tabs>
          <w:tab w:val="num" w:pos="1440"/>
        </w:tabs>
        <w:ind w:left="1440" w:hanging="181"/>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BE509FD"/>
    <w:multiLevelType w:val="hybridMultilevel"/>
    <w:tmpl w:val="8A3486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EE109C"/>
    <w:multiLevelType w:val="hybridMultilevel"/>
    <w:tmpl w:val="920090FA"/>
    <w:lvl w:ilvl="0" w:tplc="ABEADAF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474DF1"/>
    <w:multiLevelType w:val="multilevel"/>
    <w:tmpl w:val="97229D5A"/>
    <w:name w:val="LegalNums"/>
    <w:lvl w:ilvl="0">
      <w:start w:val="1"/>
      <w:numFmt w:val="decimal"/>
      <w:pStyle w:val="LegalNumbering"/>
      <w:isLgl/>
      <w:lvlText w:val="%1)"/>
      <w:lvlJc w:val="left"/>
      <w:pPr>
        <w:tabs>
          <w:tab w:val="num" w:pos="1021"/>
        </w:tabs>
        <w:ind w:left="1021" w:hanging="341"/>
      </w:pPr>
      <w:rPr>
        <w:rFonts w:hint="default"/>
      </w:rPr>
    </w:lvl>
    <w:lvl w:ilvl="1">
      <w:start w:val="1"/>
      <w:numFmt w:val="lowerLetter"/>
      <w:pStyle w:val="Listalphabet3"/>
      <w:lvlText w:val="%2) "/>
      <w:lvlJc w:val="left"/>
      <w:pPr>
        <w:tabs>
          <w:tab w:val="num" w:pos="1361"/>
        </w:tabs>
        <w:ind w:left="1361" w:hanging="340"/>
      </w:pPr>
      <w:rPr>
        <w:rFonts w:hint="default"/>
      </w:rPr>
    </w:lvl>
    <w:lvl w:ilvl="2">
      <w:start w:val="1"/>
      <w:numFmt w:val="lowerRoman"/>
      <w:pStyle w:val="ListLegal4"/>
      <w:lvlText w:val="%3)"/>
      <w:lvlJc w:val="left"/>
      <w:pPr>
        <w:tabs>
          <w:tab w:val="num" w:pos="1701"/>
        </w:tabs>
        <w:ind w:left="1701" w:hanging="340"/>
      </w:pPr>
      <w:rPr>
        <w:rFonts w:hint="default"/>
      </w:rPr>
    </w:lvl>
    <w:lvl w:ilvl="3">
      <w:start w:val="1"/>
      <w:numFmt w:val="lowerLetter"/>
      <w:lvlText w:val="(%4)"/>
      <w:lvlJc w:val="left"/>
      <w:pPr>
        <w:tabs>
          <w:tab w:val="num" w:pos="1758"/>
        </w:tabs>
        <w:ind w:left="1361" w:hanging="340"/>
      </w:pPr>
      <w:rPr>
        <w:rFonts w:hint="default"/>
        <w:b w:val="0"/>
        <w:i w:val="0"/>
      </w:rPr>
    </w:lvl>
    <w:lvl w:ilvl="4">
      <w:start w:val="1"/>
      <w:numFmt w:val="lowerRoman"/>
      <w:lvlText w:val="%5."/>
      <w:lvlJc w:val="righ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5">
    <w:nsid w:val="69F537DC"/>
    <w:multiLevelType w:val="hybridMultilevel"/>
    <w:tmpl w:val="E3CA81DC"/>
    <w:lvl w:ilvl="0" w:tplc="0010DFD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857E07"/>
    <w:multiLevelType w:val="hybridMultilevel"/>
    <w:tmpl w:val="35E06096"/>
    <w:lvl w:ilvl="0" w:tplc="0C090001">
      <w:start w:val="1"/>
      <w:numFmt w:val="bullet"/>
      <w:lvlText w:val=""/>
      <w:lvlJc w:val="left"/>
      <w:pPr>
        <w:tabs>
          <w:tab w:val="num" w:pos="1134"/>
        </w:tabs>
        <w:ind w:left="1134" w:hanging="567"/>
      </w:pPr>
      <w:rPr>
        <w:rFonts w:ascii="Symbol" w:hAnsi="Symbol" w:hint="default"/>
      </w:rPr>
    </w:lvl>
    <w:lvl w:ilvl="1" w:tplc="0C090019">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7">
    <w:nsid w:val="7DA31AB2"/>
    <w:multiLevelType w:val="hybridMultilevel"/>
    <w:tmpl w:val="C5D4E028"/>
    <w:lvl w:ilvl="0" w:tplc="008E7FDE">
      <w:start w:val="1"/>
      <w:numFmt w:val="lowerLetter"/>
      <w:pStyle w:val="ABCList"/>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1"/>
  </w:num>
  <w:num w:numId="3">
    <w:abstractNumId w:val="17"/>
  </w:num>
  <w:num w:numId="4">
    <w:abstractNumId w:val="12"/>
  </w:num>
  <w:num w:numId="5">
    <w:abstractNumId w:val="16"/>
  </w:num>
  <w:num w:numId="6">
    <w:abstractNumId w:val="9"/>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6"/>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5"/>
  </w:num>
  <w:num w:numId="23">
    <w:abstractNumId w:val="4"/>
  </w:num>
  <w:num w:numId="24">
    <w:abstractNumId w:val="3"/>
  </w:num>
  <w:num w:numId="25">
    <w:abstractNumId w:val="2"/>
  </w:num>
  <w:num w:numId="26">
    <w:abstractNumId w:val="1"/>
  </w:num>
  <w:num w:numId="27">
    <w:abstractNumId w:val="0"/>
  </w:num>
  <w:num w:numId="28">
    <w:abstractNumId w:val="8"/>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68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sleun\Desktop\final soi.docx"/>
  </w:docVars>
  <w:rsids>
    <w:rsidRoot w:val="002A6DE2"/>
    <w:rsid w:val="00000309"/>
    <w:rsid w:val="000028A1"/>
    <w:rsid w:val="0000563E"/>
    <w:rsid w:val="000107A1"/>
    <w:rsid w:val="000113A1"/>
    <w:rsid w:val="00011816"/>
    <w:rsid w:val="00012901"/>
    <w:rsid w:val="00012AD4"/>
    <w:rsid w:val="00015929"/>
    <w:rsid w:val="00016892"/>
    <w:rsid w:val="00021752"/>
    <w:rsid w:val="0002412F"/>
    <w:rsid w:val="00024AFF"/>
    <w:rsid w:val="000262C5"/>
    <w:rsid w:val="00033890"/>
    <w:rsid w:val="00033C3A"/>
    <w:rsid w:val="000367AE"/>
    <w:rsid w:val="00042682"/>
    <w:rsid w:val="000428EA"/>
    <w:rsid w:val="00043EFD"/>
    <w:rsid w:val="000510D4"/>
    <w:rsid w:val="00054491"/>
    <w:rsid w:val="000554A1"/>
    <w:rsid w:val="000559A5"/>
    <w:rsid w:val="00055A57"/>
    <w:rsid w:val="00056933"/>
    <w:rsid w:val="000570AF"/>
    <w:rsid w:val="0005749B"/>
    <w:rsid w:val="00057984"/>
    <w:rsid w:val="00061804"/>
    <w:rsid w:val="00063745"/>
    <w:rsid w:val="00064473"/>
    <w:rsid w:val="00065BEF"/>
    <w:rsid w:val="00070F0E"/>
    <w:rsid w:val="00071D0E"/>
    <w:rsid w:val="00071E82"/>
    <w:rsid w:val="00072E29"/>
    <w:rsid w:val="000761BD"/>
    <w:rsid w:val="0007658B"/>
    <w:rsid w:val="00080E85"/>
    <w:rsid w:val="00081A7F"/>
    <w:rsid w:val="0008255F"/>
    <w:rsid w:val="0008445B"/>
    <w:rsid w:val="0009026B"/>
    <w:rsid w:val="000911D1"/>
    <w:rsid w:val="000936CB"/>
    <w:rsid w:val="000945B7"/>
    <w:rsid w:val="000B04C9"/>
    <w:rsid w:val="000B5A25"/>
    <w:rsid w:val="000B7065"/>
    <w:rsid w:val="000B7580"/>
    <w:rsid w:val="000B7B7D"/>
    <w:rsid w:val="000C047F"/>
    <w:rsid w:val="000C79D5"/>
    <w:rsid w:val="000D582B"/>
    <w:rsid w:val="000D6ED4"/>
    <w:rsid w:val="000D7F27"/>
    <w:rsid w:val="000E0735"/>
    <w:rsid w:val="000E0EED"/>
    <w:rsid w:val="000E14B9"/>
    <w:rsid w:val="000E2D93"/>
    <w:rsid w:val="000E43EF"/>
    <w:rsid w:val="000E58C8"/>
    <w:rsid w:val="000E6788"/>
    <w:rsid w:val="000E6BCE"/>
    <w:rsid w:val="000F09D5"/>
    <w:rsid w:val="000F1353"/>
    <w:rsid w:val="000F207C"/>
    <w:rsid w:val="000F24E8"/>
    <w:rsid w:val="000F535C"/>
    <w:rsid w:val="000F6D42"/>
    <w:rsid w:val="000F7148"/>
    <w:rsid w:val="00103DB7"/>
    <w:rsid w:val="001040A1"/>
    <w:rsid w:val="001057BD"/>
    <w:rsid w:val="00106536"/>
    <w:rsid w:val="0010745D"/>
    <w:rsid w:val="00112FCB"/>
    <w:rsid w:val="00112FED"/>
    <w:rsid w:val="0011391C"/>
    <w:rsid w:val="001142F6"/>
    <w:rsid w:val="001149AB"/>
    <w:rsid w:val="00123279"/>
    <w:rsid w:val="00124F04"/>
    <w:rsid w:val="001258EA"/>
    <w:rsid w:val="00127A39"/>
    <w:rsid w:val="001312C3"/>
    <w:rsid w:val="001312F1"/>
    <w:rsid w:val="001315C5"/>
    <w:rsid w:val="00132A55"/>
    <w:rsid w:val="0013421F"/>
    <w:rsid w:val="00134AD5"/>
    <w:rsid w:val="00135D2B"/>
    <w:rsid w:val="001373B3"/>
    <w:rsid w:val="00140AAF"/>
    <w:rsid w:val="00140FC8"/>
    <w:rsid w:val="00141209"/>
    <w:rsid w:val="00144622"/>
    <w:rsid w:val="00144AA2"/>
    <w:rsid w:val="00144F66"/>
    <w:rsid w:val="001461A7"/>
    <w:rsid w:val="001472EB"/>
    <w:rsid w:val="0015014F"/>
    <w:rsid w:val="001502A5"/>
    <w:rsid w:val="00150E91"/>
    <w:rsid w:val="00151AE6"/>
    <w:rsid w:val="00152741"/>
    <w:rsid w:val="001528A9"/>
    <w:rsid w:val="00153098"/>
    <w:rsid w:val="00153DB7"/>
    <w:rsid w:val="0015744F"/>
    <w:rsid w:val="001610C3"/>
    <w:rsid w:val="00161F86"/>
    <w:rsid w:val="0016249A"/>
    <w:rsid w:val="001641B5"/>
    <w:rsid w:val="00164D14"/>
    <w:rsid w:val="001664D3"/>
    <w:rsid w:val="0017017D"/>
    <w:rsid w:val="00170756"/>
    <w:rsid w:val="00170ECD"/>
    <w:rsid w:val="001720D8"/>
    <w:rsid w:val="001734B4"/>
    <w:rsid w:val="001736AB"/>
    <w:rsid w:val="001759CD"/>
    <w:rsid w:val="001773A6"/>
    <w:rsid w:val="0018455C"/>
    <w:rsid w:val="001864AC"/>
    <w:rsid w:val="0019013F"/>
    <w:rsid w:val="00191D89"/>
    <w:rsid w:val="001931AF"/>
    <w:rsid w:val="00193EA2"/>
    <w:rsid w:val="00194633"/>
    <w:rsid w:val="00194B34"/>
    <w:rsid w:val="00194D5D"/>
    <w:rsid w:val="00194EFF"/>
    <w:rsid w:val="00196EA2"/>
    <w:rsid w:val="001A0758"/>
    <w:rsid w:val="001A2B35"/>
    <w:rsid w:val="001A2DCF"/>
    <w:rsid w:val="001A49F1"/>
    <w:rsid w:val="001A4C29"/>
    <w:rsid w:val="001A685B"/>
    <w:rsid w:val="001A68F4"/>
    <w:rsid w:val="001B0B69"/>
    <w:rsid w:val="001B3433"/>
    <w:rsid w:val="001B4418"/>
    <w:rsid w:val="001B7FCD"/>
    <w:rsid w:val="001C0D35"/>
    <w:rsid w:val="001C1695"/>
    <w:rsid w:val="001C4082"/>
    <w:rsid w:val="001C42C7"/>
    <w:rsid w:val="001C5BD0"/>
    <w:rsid w:val="001C664D"/>
    <w:rsid w:val="001C6DB4"/>
    <w:rsid w:val="001C76C2"/>
    <w:rsid w:val="001D69C8"/>
    <w:rsid w:val="001D71D1"/>
    <w:rsid w:val="001D7279"/>
    <w:rsid w:val="001D7BFD"/>
    <w:rsid w:val="001E0488"/>
    <w:rsid w:val="001E05D5"/>
    <w:rsid w:val="001E2147"/>
    <w:rsid w:val="001E54B7"/>
    <w:rsid w:val="001E654E"/>
    <w:rsid w:val="001E7CB1"/>
    <w:rsid w:val="001F3346"/>
    <w:rsid w:val="001F4307"/>
    <w:rsid w:val="001F7558"/>
    <w:rsid w:val="001F7AED"/>
    <w:rsid w:val="00204761"/>
    <w:rsid w:val="00206986"/>
    <w:rsid w:val="0020741A"/>
    <w:rsid w:val="00207425"/>
    <w:rsid w:val="0021005E"/>
    <w:rsid w:val="00210704"/>
    <w:rsid w:val="00214DE9"/>
    <w:rsid w:val="00216506"/>
    <w:rsid w:val="00220DF6"/>
    <w:rsid w:val="00221E71"/>
    <w:rsid w:val="0022220A"/>
    <w:rsid w:val="00222DCF"/>
    <w:rsid w:val="002249C4"/>
    <w:rsid w:val="00231036"/>
    <w:rsid w:val="002314C6"/>
    <w:rsid w:val="00231ED2"/>
    <w:rsid w:val="00232372"/>
    <w:rsid w:val="00233F5E"/>
    <w:rsid w:val="00235799"/>
    <w:rsid w:val="00240DAA"/>
    <w:rsid w:val="0024150A"/>
    <w:rsid w:val="00245B49"/>
    <w:rsid w:val="00245E8B"/>
    <w:rsid w:val="0024779B"/>
    <w:rsid w:val="00251203"/>
    <w:rsid w:val="00253BCD"/>
    <w:rsid w:val="0026181C"/>
    <w:rsid w:val="0026516A"/>
    <w:rsid w:val="00267CD1"/>
    <w:rsid w:val="002704BD"/>
    <w:rsid w:val="00270827"/>
    <w:rsid w:val="00270946"/>
    <w:rsid w:val="00270B18"/>
    <w:rsid w:val="00270BF1"/>
    <w:rsid w:val="0027274B"/>
    <w:rsid w:val="00276444"/>
    <w:rsid w:val="00276E57"/>
    <w:rsid w:val="00277867"/>
    <w:rsid w:val="00280935"/>
    <w:rsid w:val="00281949"/>
    <w:rsid w:val="00281FBA"/>
    <w:rsid w:val="00282CE6"/>
    <w:rsid w:val="002861BD"/>
    <w:rsid w:val="00290F73"/>
    <w:rsid w:val="00294EA4"/>
    <w:rsid w:val="002958C8"/>
    <w:rsid w:val="00296943"/>
    <w:rsid w:val="002A1B54"/>
    <w:rsid w:val="002A1EB3"/>
    <w:rsid w:val="002A2ABF"/>
    <w:rsid w:val="002A3AF5"/>
    <w:rsid w:val="002A3C3A"/>
    <w:rsid w:val="002A6B4D"/>
    <w:rsid w:val="002A6DE2"/>
    <w:rsid w:val="002A729B"/>
    <w:rsid w:val="002A7EC7"/>
    <w:rsid w:val="002B33D8"/>
    <w:rsid w:val="002B4523"/>
    <w:rsid w:val="002B61E7"/>
    <w:rsid w:val="002B7B7F"/>
    <w:rsid w:val="002C0DF1"/>
    <w:rsid w:val="002C1157"/>
    <w:rsid w:val="002C28D6"/>
    <w:rsid w:val="002C4AB7"/>
    <w:rsid w:val="002C55A1"/>
    <w:rsid w:val="002C7733"/>
    <w:rsid w:val="002D31E5"/>
    <w:rsid w:val="002D5393"/>
    <w:rsid w:val="002E1103"/>
    <w:rsid w:val="002E153A"/>
    <w:rsid w:val="002E5550"/>
    <w:rsid w:val="002E7419"/>
    <w:rsid w:val="002F091E"/>
    <w:rsid w:val="002F0E33"/>
    <w:rsid w:val="002F25AE"/>
    <w:rsid w:val="002F2E11"/>
    <w:rsid w:val="00302D57"/>
    <w:rsid w:val="00304689"/>
    <w:rsid w:val="00306451"/>
    <w:rsid w:val="00313C88"/>
    <w:rsid w:val="00313F22"/>
    <w:rsid w:val="003148F9"/>
    <w:rsid w:val="00315BA0"/>
    <w:rsid w:val="003175B4"/>
    <w:rsid w:val="00317C17"/>
    <w:rsid w:val="003207AF"/>
    <w:rsid w:val="003209DE"/>
    <w:rsid w:val="00320D1D"/>
    <w:rsid w:val="00321B3C"/>
    <w:rsid w:val="00321ED9"/>
    <w:rsid w:val="00322C56"/>
    <w:rsid w:val="00323C56"/>
    <w:rsid w:val="003266CE"/>
    <w:rsid w:val="0032702A"/>
    <w:rsid w:val="003300F1"/>
    <w:rsid w:val="003312E6"/>
    <w:rsid w:val="00331918"/>
    <w:rsid w:val="0033487C"/>
    <w:rsid w:val="00334B2D"/>
    <w:rsid w:val="0033648E"/>
    <w:rsid w:val="00336F7B"/>
    <w:rsid w:val="00340EF3"/>
    <w:rsid w:val="003413D6"/>
    <w:rsid w:val="00343490"/>
    <w:rsid w:val="003449BA"/>
    <w:rsid w:val="00346285"/>
    <w:rsid w:val="00346461"/>
    <w:rsid w:val="0035083C"/>
    <w:rsid w:val="00351C4B"/>
    <w:rsid w:val="00364E29"/>
    <w:rsid w:val="00366A6E"/>
    <w:rsid w:val="0036785E"/>
    <w:rsid w:val="00367ED4"/>
    <w:rsid w:val="00370C20"/>
    <w:rsid w:val="00370F96"/>
    <w:rsid w:val="003736C1"/>
    <w:rsid w:val="00373725"/>
    <w:rsid w:val="0037401E"/>
    <w:rsid w:val="0037569D"/>
    <w:rsid w:val="003769BC"/>
    <w:rsid w:val="00381176"/>
    <w:rsid w:val="003818F1"/>
    <w:rsid w:val="00381B70"/>
    <w:rsid w:val="0038357F"/>
    <w:rsid w:val="00385133"/>
    <w:rsid w:val="00385910"/>
    <w:rsid w:val="0038753A"/>
    <w:rsid w:val="00393977"/>
    <w:rsid w:val="00393DD8"/>
    <w:rsid w:val="00397BB4"/>
    <w:rsid w:val="003A0BD5"/>
    <w:rsid w:val="003A287C"/>
    <w:rsid w:val="003A2DA5"/>
    <w:rsid w:val="003A4A16"/>
    <w:rsid w:val="003A74B3"/>
    <w:rsid w:val="003A7EAB"/>
    <w:rsid w:val="003B2AAE"/>
    <w:rsid w:val="003B4FD3"/>
    <w:rsid w:val="003C1A7A"/>
    <w:rsid w:val="003C2E81"/>
    <w:rsid w:val="003C4A55"/>
    <w:rsid w:val="003C58A7"/>
    <w:rsid w:val="003C5DDA"/>
    <w:rsid w:val="003C6139"/>
    <w:rsid w:val="003C74F9"/>
    <w:rsid w:val="003D2314"/>
    <w:rsid w:val="003D378F"/>
    <w:rsid w:val="003D5F0D"/>
    <w:rsid w:val="003E2C0A"/>
    <w:rsid w:val="003E517C"/>
    <w:rsid w:val="003E5700"/>
    <w:rsid w:val="003E6724"/>
    <w:rsid w:val="003F5E01"/>
    <w:rsid w:val="003F78F4"/>
    <w:rsid w:val="004016E7"/>
    <w:rsid w:val="00401AC3"/>
    <w:rsid w:val="0040496B"/>
    <w:rsid w:val="00405E5A"/>
    <w:rsid w:val="004112CC"/>
    <w:rsid w:val="00415A17"/>
    <w:rsid w:val="0041600A"/>
    <w:rsid w:val="00420628"/>
    <w:rsid w:val="0042146A"/>
    <w:rsid w:val="00423D73"/>
    <w:rsid w:val="00424248"/>
    <w:rsid w:val="004243DA"/>
    <w:rsid w:val="00424FDD"/>
    <w:rsid w:val="0042551A"/>
    <w:rsid w:val="00431CD6"/>
    <w:rsid w:val="00432CB7"/>
    <w:rsid w:val="00433F91"/>
    <w:rsid w:val="00435D8B"/>
    <w:rsid w:val="00441ABC"/>
    <w:rsid w:val="004509C1"/>
    <w:rsid w:val="00450BCC"/>
    <w:rsid w:val="00452FCB"/>
    <w:rsid w:val="00453030"/>
    <w:rsid w:val="00455554"/>
    <w:rsid w:val="004577BB"/>
    <w:rsid w:val="004618DD"/>
    <w:rsid w:val="00467437"/>
    <w:rsid w:val="0046777C"/>
    <w:rsid w:val="00472A63"/>
    <w:rsid w:val="00473985"/>
    <w:rsid w:val="004751F6"/>
    <w:rsid w:val="00475811"/>
    <w:rsid w:val="00475D50"/>
    <w:rsid w:val="004809B9"/>
    <w:rsid w:val="00481D7B"/>
    <w:rsid w:val="0048790F"/>
    <w:rsid w:val="00490D08"/>
    <w:rsid w:val="00491672"/>
    <w:rsid w:val="00491C09"/>
    <w:rsid w:val="00491E4B"/>
    <w:rsid w:val="0049275A"/>
    <w:rsid w:val="0049394A"/>
    <w:rsid w:val="00493B9D"/>
    <w:rsid w:val="00497375"/>
    <w:rsid w:val="00497688"/>
    <w:rsid w:val="004979AC"/>
    <w:rsid w:val="004A0007"/>
    <w:rsid w:val="004A010A"/>
    <w:rsid w:val="004A096A"/>
    <w:rsid w:val="004A2428"/>
    <w:rsid w:val="004A532B"/>
    <w:rsid w:val="004A76DD"/>
    <w:rsid w:val="004B0044"/>
    <w:rsid w:val="004B1554"/>
    <w:rsid w:val="004B1DAE"/>
    <w:rsid w:val="004B5955"/>
    <w:rsid w:val="004B6FF8"/>
    <w:rsid w:val="004C273E"/>
    <w:rsid w:val="004C4AAF"/>
    <w:rsid w:val="004C54F0"/>
    <w:rsid w:val="004C5C1F"/>
    <w:rsid w:val="004C63EB"/>
    <w:rsid w:val="004C6B2F"/>
    <w:rsid w:val="004D0C76"/>
    <w:rsid w:val="004D1BE0"/>
    <w:rsid w:val="004D3271"/>
    <w:rsid w:val="004D363B"/>
    <w:rsid w:val="004D38AD"/>
    <w:rsid w:val="004D3C22"/>
    <w:rsid w:val="004D425B"/>
    <w:rsid w:val="004E07D0"/>
    <w:rsid w:val="004E0FD8"/>
    <w:rsid w:val="004E2B03"/>
    <w:rsid w:val="004E34C1"/>
    <w:rsid w:val="004F1058"/>
    <w:rsid w:val="004F26D2"/>
    <w:rsid w:val="004F39CD"/>
    <w:rsid w:val="004F3D3D"/>
    <w:rsid w:val="004F6F14"/>
    <w:rsid w:val="004F6F68"/>
    <w:rsid w:val="004F7737"/>
    <w:rsid w:val="004F7AFB"/>
    <w:rsid w:val="00500CCA"/>
    <w:rsid w:val="00501306"/>
    <w:rsid w:val="00502E5B"/>
    <w:rsid w:val="00502E78"/>
    <w:rsid w:val="005059ED"/>
    <w:rsid w:val="005079B3"/>
    <w:rsid w:val="005113CF"/>
    <w:rsid w:val="0051150E"/>
    <w:rsid w:val="00511CFB"/>
    <w:rsid w:val="005167DB"/>
    <w:rsid w:val="0052128E"/>
    <w:rsid w:val="0052265F"/>
    <w:rsid w:val="00526A01"/>
    <w:rsid w:val="00530F51"/>
    <w:rsid w:val="00533377"/>
    <w:rsid w:val="00540811"/>
    <w:rsid w:val="00541277"/>
    <w:rsid w:val="00542181"/>
    <w:rsid w:val="00542360"/>
    <w:rsid w:val="00544BD5"/>
    <w:rsid w:val="00545044"/>
    <w:rsid w:val="0054510D"/>
    <w:rsid w:val="005453B7"/>
    <w:rsid w:val="00545512"/>
    <w:rsid w:val="0054555D"/>
    <w:rsid w:val="00545850"/>
    <w:rsid w:val="0054720F"/>
    <w:rsid w:val="00550FC8"/>
    <w:rsid w:val="005524C3"/>
    <w:rsid w:val="00553F27"/>
    <w:rsid w:val="00556003"/>
    <w:rsid w:val="00556797"/>
    <w:rsid w:val="00556F05"/>
    <w:rsid w:val="005608C1"/>
    <w:rsid w:val="00560D7F"/>
    <w:rsid w:val="005618AE"/>
    <w:rsid w:val="00562D75"/>
    <w:rsid w:val="005639E5"/>
    <w:rsid w:val="0056474D"/>
    <w:rsid w:val="005664D8"/>
    <w:rsid w:val="00574D21"/>
    <w:rsid w:val="0058038C"/>
    <w:rsid w:val="005850C1"/>
    <w:rsid w:val="0058603E"/>
    <w:rsid w:val="005868BD"/>
    <w:rsid w:val="00590ECE"/>
    <w:rsid w:val="00591D45"/>
    <w:rsid w:val="00592CB4"/>
    <w:rsid w:val="0059398D"/>
    <w:rsid w:val="0059690A"/>
    <w:rsid w:val="00596CCF"/>
    <w:rsid w:val="00597456"/>
    <w:rsid w:val="005A2657"/>
    <w:rsid w:val="005A29C4"/>
    <w:rsid w:val="005A3D63"/>
    <w:rsid w:val="005A5ECD"/>
    <w:rsid w:val="005A7779"/>
    <w:rsid w:val="005B6A56"/>
    <w:rsid w:val="005C1C13"/>
    <w:rsid w:val="005C2A3B"/>
    <w:rsid w:val="005C4DDF"/>
    <w:rsid w:val="005C6A67"/>
    <w:rsid w:val="005C74DA"/>
    <w:rsid w:val="005C75A7"/>
    <w:rsid w:val="005C7F04"/>
    <w:rsid w:val="005D2142"/>
    <w:rsid w:val="005D2FC3"/>
    <w:rsid w:val="005D3EB2"/>
    <w:rsid w:val="005D7AE9"/>
    <w:rsid w:val="005E0218"/>
    <w:rsid w:val="005E180E"/>
    <w:rsid w:val="005E42DF"/>
    <w:rsid w:val="005E4BC0"/>
    <w:rsid w:val="005F1F0B"/>
    <w:rsid w:val="005F2EAB"/>
    <w:rsid w:val="005F52CB"/>
    <w:rsid w:val="005F5B1A"/>
    <w:rsid w:val="00603D16"/>
    <w:rsid w:val="00604DD2"/>
    <w:rsid w:val="00607BA1"/>
    <w:rsid w:val="00611538"/>
    <w:rsid w:val="006134B8"/>
    <w:rsid w:val="00615849"/>
    <w:rsid w:val="00616738"/>
    <w:rsid w:val="006249C0"/>
    <w:rsid w:val="00624B5C"/>
    <w:rsid w:val="00626BD1"/>
    <w:rsid w:val="006306B6"/>
    <w:rsid w:val="00633E3A"/>
    <w:rsid w:val="0063613F"/>
    <w:rsid w:val="00642F69"/>
    <w:rsid w:val="00646197"/>
    <w:rsid w:val="00647C81"/>
    <w:rsid w:val="00650E3F"/>
    <w:rsid w:val="006528CD"/>
    <w:rsid w:val="00652A3A"/>
    <w:rsid w:val="00656472"/>
    <w:rsid w:val="0065711C"/>
    <w:rsid w:val="006617D6"/>
    <w:rsid w:val="00663453"/>
    <w:rsid w:val="00663D57"/>
    <w:rsid w:val="00667FBE"/>
    <w:rsid w:val="00670F2D"/>
    <w:rsid w:val="00671A8C"/>
    <w:rsid w:val="006801A3"/>
    <w:rsid w:val="00680FBA"/>
    <w:rsid w:val="00682171"/>
    <w:rsid w:val="0068381F"/>
    <w:rsid w:val="00685DB0"/>
    <w:rsid w:val="006866B9"/>
    <w:rsid w:val="00692C62"/>
    <w:rsid w:val="00694EFE"/>
    <w:rsid w:val="0069729B"/>
    <w:rsid w:val="00697A01"/>
    <w:rsid w:val="00697F9D"/>
    <w:rsid w:val="006A0501"/>
    <w:rsid w:val="006A1715"/>
    <w:rsid w:val="006A2184"/>
    <w:rsid w:val="006A4E46"/>
    <w:rsid w:val="006A5CFA"/>
    <w:rsid w:val="006B0621"/>
    <w:rsid w:val="006B12D5"/>
    <w:rsid w:val="006B4693"/>
    <w:rsid w:val="006B65DB"/>
    <w:rsid w:val="006C1660"/>
    <w:rsid w:val="006C191C"/>
    <w:rsid w:val="006C4041"/>
    <w:rsid w:val="006C5F4C"/>
    <w:rsid w:val="006D0709"/>
    <w:rsid w:val="006D36DE"/>
    <w:rsid w:val="006D5392"/>
    <w:rsid w:val="006E28A3"/>
    <w:rsid w:val="006E43A2"/>
    <w:rsid w:val="006E4F85"/>
    <w:rsid w:val="006E6F8E"/>
    <w:rsid w:val="006E7507"/>
    <w:rsid w:val="006E7DDB"/>
    <w:rsid w:val="006F0BE9"/>
    <w:rsid w:val="006F12CE"/>
    <w:rsid w:val="006F1A75"/>
    <w:rsid w:val="006F2F4E"/>
    <w:rsid w:val="006F41A1"/>
    <w:rsid w:val="00700195"/>
    <w:rsid w:val="00702332"/>
    <w:rsid w:val="00703BD1"/>
    <w:rsid w:val="00704AA0"/>
    <w:rsid w:val="00712320"/>
    <w:rsid w:val="00712CC9"/>
    <w:rsid w:val="00723C3B"/>
    <w:rsid w:val="0072482E"/>
    <w:rsid w:val="007248B5"/>
    <w:rsid w:val="00724FFB"/>
    <w:rsid w:val="00725392"/>
    <w:rsid w:val="00725599"/>
    <w:rsid w:val="0072759E"/>
    <w:rsid w:val="007321A8"/>
    <w:rsid w:val="007363C4"/>
    <w:rsid w:val="00737326"/>
    <w:rsid w:val="00740107"/>
    <w:rsid w:val="00743A24"/>
    <w:rsid w:val="00743CF0"/>
    <w:rsid w:val="0074520B"/>
    <w:rsid w:val="0074686C"/>
    <w:rsid w:val="00750909"/>
    <w:rsid w:val="00754E5C"/>
    <w:rsid w:val="00755B91"/>
    <w:rsid w:val="00757190"/>
    <w:rsid w:val="00763CD1"/>
    <w:rsid w:val="00770D41"/>
    <w:rsid w:val="00771B99"/>
    <w:rsid w:val="00772F93"/>
    <w:rsid w:val="007733AC"/>
    <w:rsid w:val="007749F9"/>
    <w:rsid w:val="00774B2D"/>
    <w:rsid w:val="00777040"/>
    <w:rsid w:val="007837DE"/>
    <w:rsid w:val="007842DB"/>
    <w:rsid w:val="007847D7"/>
    <w:rsid w:val="00785941"/>
    <w:rsid w:val="007900C7"/>
    <w:rsid w:val="00797BA5"/>
    <w:rsid w:val="007A4512"/>
    <w:rsid w:val="007A4686"/>
    <w:rsid w:val="007A4C1D"/>
    <w:rsid w:val="007A642A"/>
    <w:rsid w:val="007B5A30"/>
    <w:rsid w:val="007C1152"/>
    <w:rsid w:val="007C26BC"/>
    <w:rsid w:val="007C5606"/>
    <w:rsid w:val="007C68D8"/>
    <w:rsid w:val="007C7207"/>
    <w:rsid w:val="007C7CC9"/>
    <w:rsid w:val="007D28EA"/>
    <w:rsid w:val="007D42CF"/>
    <w:rsid w:val="007D4524"/>
    <w:rsid w:val="007D569E"/>
    <w:rsid w:val="007D58A6"/>
    <w:rsid w:val="007D598E"/>
    <w:rsid w:val="007E209A"/>
    <w:rsid w:val="007F358A"/>
    <w:rsid w:val="007F37DB"/>
    <w:rsid w:val="007F53E6"/>
    <w:rsid w:val="007F563D"/>
    <w:rsid w:val="007F6104"/>
    <w:rsid w:val="007F62B6"/>
    <w:rsid w:val="007F75F1"/>
    <w:rsid w:val="008009C4"/>
    <w:rsid w:val="00801652"/>
    <w:rsid w:val="00802AA4"/>
    <w:rsid w:val="00803003"/>
    <w:rsid w:val="00803F86"/>
    <w:rsid w:val="008042A5"/>
    <w:rsid w:val="00805186"/>
    <w:rsid w:val="0081112E"/>
    <w:rsid w:val="00813583"/>
    <w:rsid w:val="00814C22"/>
    <w:rsid w:val="0081739B"/>
    <w:rsid w:val="00821B59"/>
    <w:rsid w:val="008220F5"/>
    <w:rsid w:val="008238DB"/>
    <w:rsid w:val="0082426A"/>
    <w:rsid w:val="00824884"/>
    <w:rsid w:val="00824E4F"/>
    <w:rsid w:val="00824E62"/>
    <w:rsid w:val="00825AD5"/>
    <w:rsid w:val="00827D6B"/>
    <w:rsid w:val="00835498"/>
    <w:rsid w:val="00836CF8"/>
    <w:rsid w:val="00837088"/>
    <w:rsid w:val="008403BD"/>
    <w:rsid w:val="00842399"/>
    <w:rsid w:val="00843A9E"/>
    <w:rsid w:val="00853E30"/>
    <w:rsid w:val="00855653"/>
    <w:rsid w:val="008559A9"/>
    <w:rsid w:val="008618FC"/>
    <w:rsid w:val="008631F5"/>
    <w:rsid w:val="008656F3"/>
    <w:rsid w:val="00867F6B"/>
    <w:rsid w:val="00871A1B"/>
    <w:rsid w:val="0087339D"/>
    <w:rsid w:val="00873F02"/>
    <w:rsid w:val="00874AFC"/>
    <w:rsid w:val="00875F58"/>
    <w:rsid w:val="00876337"/>
    <w:rsid w:val="00876CB3"/>
    <w:rsid w:val="00877779"/>
    <w:rsid w:val="008813AD"/>
    <w:rsid w:val="00881F6C"/>
    <w:rsid w:val="00882EB9"/>
    <w:rsid w:val="00886824"/>
    <w:rsid w:val="00886FDB"/>
    <w:rsid w:val="008875F7"/>
    <w:rsid w:val="00893CF1"/>
    <w:rsid w:val="00895866"/>
    <w:rsid w:val="008974FD"/>
    <w:rsid w:val="008977A9"/>
    <w:rsid w:val="0089799D"/>
    <w:rsid w:val="00897A7A"/>
    <w:rsid w:val="008A0D3D"/>
    <w:rsid w:val="008A4D0E"/>
    <w:rsid w:val="008A5458"/>
    <w:rsid w:val="008A71D1"/>
    <w:rsid w:val="008B17E5"/>
    <w:rsid w:val="008B183B"/>
    <w:rsid w:val="008B2889"/>
    <w:rsid w:val="008B3317"/>
    <w:rsid w:val="008B59BD"/>
    <w:rsid w:val="008C22AA"/>
    <w:rsid w:val="008C2B10"/>
    <w:rsid w:val="008C7576"/>
    <w:rsid w:val="008D4C98"/>
    <w:rsid w:val="008D533C"/>
    <w:rsid w:val="008D6D5C"/>
    <w:rsid w:val="008D7C6D"/>
    <w:rsid w:val="008E030C"/>
    <w:rsid w:val="008E077A"/>
    <w:rsid w:val="008E17AD"/>
    <w:rsid w:val="008E34E4"/>
    <w:rsid w:val="008E4277"/>
    <w:rsid w:val="008E4B3F"/>
    <w:rsid w:val="008E66B1"/>
    <w:rsid w:val="008E7B8C"/>
    <w:rsid w:val="008F046F"/>
    <w:rsid w:val="008F2B03"/>
    <w:rsid w:val="008F42B7"/>
    <w:rsid w:val="008F5443"/>
    <w:rsid w:val="00900346"/>
    <w:rsid w:val="009030B4"/>
    <w:rsid w:val="00903FC9"/>
    <w:rsid w:val="009057A6"/>
    <w:rsid w:val="009059C0"/>
    <w:rsid w:val="00906A66"/>
    <w:rsid w:val="00907890"/>
    <w:rsid w:val="009102BC"/>
    <w:rsid w:val="00911E06"/>
    <w:rsid w:val="0091339C"/>
    <w:rsid w:val="0091403D"/>
    <w:rsid w:val="0091587F"/>
    <w:rsid w:val="009164AD"/>
    <w:rsid w:val="009170BF"/>
    <w:rsid w:val="00921AE4"/>
    <w:rsid w:val="00921CB4"/>
    <w:rsid w:val="00923C34"/>
    <w:rsid w:val="0092565F"/>
    <w:rsid w:val="009259E9"/>
    <w:rsid w:val="00926451"/>
    <w:rsid w:val="009264FC"/>
    <w:rsid w:val="0093003D"/>
    <w:rsid w:val="009301F2"/>
    <w:rsid w:val="00930B50"/>
    <w:rsid w:val="00931FB2"/>
    <w:rsid w:val="00932BEF"/>
    <w:rsid w:val="009335E0"/>
    <w:rsid w:val="0093361C"/>
    <w:rsid w:val="0093490C"/>
    <w:rsid w:val="009357DF"/>
    <w:rsid w:val="00936162"/>
    <w:rsid w:val="009368E6"/>
    <w:rsid w:val="00942AAA"/>
    <w:rsid w:val="009454A6"/>
    <w:rsid w:val="0094552D"/>
    <w:rsid w:val="00946734"/>
    <w:rsid w:val="00946C84"/>
    <w:rsid w:val="009474EB"/>
    <w:rsid w:val="00951B21"/>
    <w:rsid w:val="00951D37"/>
    <w:rsid w:val="009520D7"/>
    <w:rsid w:val="009552F5"/>
    <w:rsid w:val="00955698"/>
    <w:rsid w:val="00962AD1"/>
    <w:rsid w:val="00962D0E"/>
    <w:rsid w:val="00965DC5"/>
    <w:rsid w:val="00965E43"/>
    <w:rsid w:val="009666FD"/>
    <w:rsid w:val="00970FC1"/>
    <w:rsid w:val="00971879"/>
    <w:rsid w:val="0097428E"/>
    <w:rsid w:val="00974995"/>
    <w:rsid w:val="0097536C"/>
    <w:rsid w:val="00975870"/>
    <w:rsid w:val="00976F97"/>
    <w:rsid w:val="00980823"/>
    <w:rsid w:val="00980AC8"/>
    <w:rsid w:val="00981F41"/>
    <w:rsid w:val="009831F7"/>
    <w:rsid w:val="009857FD"/>
    <w:rsid w:val="00985AAF"/>
    <w:rsid w:val="009862E0"/>
    <w:rsid w:val="00987882"/>
    <w:rsid w:val="00987BCF"/>
    <w:rsid w:val="00997AF9"/>
    <w:rsid w:val="00997E21"/>
    <w:rsid w:val="009A1C1B"/>
    <w:rsid w:val="009A200B"/>
    <w:rsid w:val="009A459A"/>
    <w:rsid w:val="009B569C"/>
    <w:rsid w:val="009B5FC1"/>
    <w:rsid w:val="009B7EA6"/>
    <w:rsid w:val="009C0658"/>
    <w:rsid w:val="009C08FD"/>
    <w:rsid w:val="009C19CD"/>
    <w:rsid w:val="009C5DEA"/>
    <w:rsid w:val="009C7021"/>
    <w:rsid w:val="009D09FC"/>
    <w:rsid w:val="009D1890"/>
    <w:rsid w:val="009D2C12"/>
    <w:rsid w:val="009D4421"/>
    <w:rsid w:val="009D54FD"/>
    <w:rsid w:val="009D57E7"/>
    <w:rsid w:val="009D61AC"/>
    <w:rsid w:val="009D6246"/>
    <w:rsid w:val="009E077E"/>
    <w:rsid w:val="009E288F"/>
    <w:rsid w:val="009E5516"/>
    <w:rsid w:val="009E7E3A"/>
    <w:rsid w:val="009F0753"/>
    <w:rsid w:val="009F1518"/>
    <w:rsid w:val="009F2642"/>
    <w:rsid w:val="009F3747"/>
    <w:rsid w:val="009F553D"/>
    <w:rsid w:val="009F5901"/>
    <w:rsid w:val="009F7AE3"/>
    <w:rsid w:val="00A01DDD"/>
    <w:rsid w:val="00A0443B"/>
    <w:rsid w:val="00A074BC"/>
    <w:rsid w:val="00A105AF"/>
    <w:rsid w:val="00A13640"/>
    <w:rsid w:val="00A137DC"/>
    <w:rsid w:val="00A15A45"/>
    <w:rsid w:val="00A17E5E"/>
    <w:rsid w:val="00A20811"/>
    <w:rsid w:val="00A22CB2"/>
    <w:rsid w:val="00A25B41"/>
    <w:rsid w:val="00A26C2D"/>
    <w:rsid w:val="00A27468"/>
    <w:rsid w:val="00A27946"/>
    <w:rsid w:val="00A37A4D"/>
    <w:rsid w:val="00A41588"/>
    <w:rsid w:val="00A418FF"/>
    <w:rsid w:val="00A42D93"/>
    <w:rsid w:val="00A44CE1"/>
    <w:rsid w:val="00A456CB"/>
    <w:rsid w:val="00A477DE"/>
    <w:rsid w:val="00A47B9A"/>
    <w:rsid w:val="00A5050D"/>
    <w:rsid w:val="00A537C2"/>
    <w:rsid w:val="00A54768"/>
    <w:rsid w:val="00A55787"/>
    <w:rsid w:val="00A55E04"/>
    <w:rsid w:val="00A6265B"/>
    <w:rsid w:val="00A642AA"/>
    <w:rsid w:val="00A67EF8"/>
    <w:rsid w:val="00A71B45"/>
    <w:rsid w:val="00A7337B"/>
    <w:rsid w:val="00A75BA3"/>
    <w:rsid w:val="00A8244B"/>
    <w:rsid w:val="00A83B44"/>
    <w:rsid w:val="00A84FCE"/>
    <w:rsid w:val="00A87AD9"/>
    <w:rsid w:val="00A87C82"/>
    <w:rsid w:val="00A904F6"/>
    <w:rsid w:val="00A90F19"/>
    <w:rsid w:val="00A910D9"/>
    <w:rsid w:val="00A916B8"/>
    <w:rsid w:val="00A92595"/>
    <w:rsid w:val="00A93CD7"/>
    <w:rsid w:val="00A93CE3"/>
    <w:rsid w:val="00A9528E"/>
    <w:rsid w:val="00A97A15"/>
    <w:rsid w:val="00AA07D4"/>
    <w:rsid w:val="00AA17E7"/>
    <w:rsid w:val="00AA2C42"/>
    <w:rsid w:val="00AA2FDA"/>
    <w:rsid w:val="00AA4BC4"/>
    <w:rsid w:val="00AA611F"/>
    <w:rsid w:val="00AB0228"/>
    <w:rsid w:val="00AB2324"/>
    <w:rsid w:val="00AB2A8C"/>
    <w:rsid w:val="00AB3236"/>
    <w:rsid w:val="00AB4BE2"/>
    <w:rsid w:val="00AB5123"/>
    <w:rsid w:val="00AB5B3D"/>
    <w:rsid w:val="00AB615C"/>
    <w:rsid w:val="00AB6D69"/>
    <w:rsid w:val="00AB7FE7"/>
    <w:rsid w:val="00AC11E3"/>
    <w:rsid w:val="00AC12AE"/>
    <w:rsid w:val="00AC2252"/>
    <w:rsid w:val="00AC3A92"/>
    <w:rsid w:val="00AC44FC"/>
    <w:rsid w:val="00AC66FD"/>
    <w:rsid w:val="00AC6BB7"/>
    <w:rsid w:val="00AC6FEE"/>
    <w:rsid w:val="00AD047E"/>
    <w:rsid w:val="00AD05CA"/>
    <w:rsid w:val="00AD213C"/>
    <w:rsid w:val="00AD3DA1"/>
    <w:rsid w:val="00AD4DD7"/>
    <w:rsid w:val="00AD5390"/>
    <w:rsid w:val="00AD5A36"/>
    <w:rsid w:val="00AE09F6"/>
    <w:rsid w:val="00AE37ED"/>
    <w:rsid w:val="00AE3D94"/>
    <w:rsid w:val="00AE43BB"/>
    <w:rsid w:val="00AE54A3"/>
    <w:rsid w:val="00AE54E2"/>
    <w:rsid w:val="00AE5C4C"/>
    <w:rsid w:val="00AF02B4"/>
    <w:rsid w:val="00AF0BC1"/>
    <w:rsid w:val="00AF342C"/>
    <w:rsid w:val="00AF34E7"/>
    <w:rsid w:val="00AF4092"/>
    <w:rsid w:val="00AF5381"/>
    <w:rsid w:val="00AF5D53"/>
    <w:rsid w:val="00B00289"/>
    <w:rsid w:val="00B00F63"/>
    <w:rsid w:val="00B035EF"/>
    <w:rsid w:val="00B0378C"/>
    <w:rsid w:val="00B061C0"/>
    <w:rsid w:val="00B101B7"/>
    <w:rsid w:val="00B12A94"/>
    <w:rsid w:val="00B12ECE"/>
    <w:rsid w:val="00B1382D"/>
    <w:rsid w:val="00B14A29"/>
    <w:rsid w:val="00B16B19"/>
    <w:rsid w:val="00B16DD1"/>
    <w:rsid w:val="00B171A6"/>
    <w:rsid w:val="00B26A91"/>
    <w:rsid w:val="00B30BFE"/>
    <w:rsid w:val="00B325B6"/>
    <w:rsid w:val="00B334E5"/>
    <w:rsid w:val="00B3510C"/>
    <w:rsid w:val="00B35B1C"/>
    <w:rsid w:val="00B362DA"/>
    <w:rsid w:val="00B3679E"/>
    <w:rsid w:val="00B36B44"/>
    <w:rsid w:val="00B4131F"/>
    <w:rsid w:val="00B41D9F"/>
    <w:rsid w:val="00B428E6"/>
    <w:rsid w:val="00B437A3"/>
    <w:rsid w:val="00B443BB"/>
    <w:rsid w:val="00B4670E"/>
    <w:rsid w:val="00B4683C"/>
    <w:rsid w:val="00B47979"/>
    <w:rsid w:val="00B50BF9"/>
    <w:rsid w:val="00B53877"/>
    <w:rsid w:val="00B54332"/>
    <w:rsid w:val="00B609FF"/>
    <w:rsid w:val="00B60C1C"/>
    <w:rsid w:val="00B61F9F"/>
    <w:rsid w:val="00B64B0F"/>
    <w:rsid w:val="00B65090"/>
    <w:rsid w:val="00B660E0"/>
    <w:rsid w:val="00B67888"/>
    <w:rsid w:val="00B67B9F"/>
    <w:rsid w:val="00B70D19"/>
    <w:rsid w:val="00B71913"/>
    <w:rsid w:val="00B720A8"/>
    <w:rsid w:val="00B729BB"/>
    <w:rsid w:val="00B73437"/>
    <w:rsid w:val="00B74026"/>
    <w:rsid w:val="00B74037"/>
    <w:rsid w:val="00B765B4"/>
    <w:rsid w:val="00B76C31"/>
    <w:rsid w:val="00B81799"/>
    <w:rsid w:val="00B81F46"/>
    <w:rsid w:val="00B822D9"/>
    <w:rsid w:val="00B831C1"/>
    <w:rsid w:val="00B8750F"/>
    <w:rsid w:val="00B91635"/>
    <w:rsid w:val="00B916E0"/>
    <w:rsid w:val="00B93284"/>
    <w:rsid w:val="00B93FD3"/>
    <w:rsid w:val="00B942DF"/>
    <w:rsid w:val="00B94379"/>
    <w:rsid w:val="00B946CB"/>
    <w:rsid w:val="00B963E8"/>
    <w:rsid w:val="00B97BF3"/>
    <w:rsid w:val="00BA2C59"/>
    <w:rsid w:val="00BA3651"/>
    <w:rsid w:val="00BA3773"/>
    <w:rsid w:val="00BA59FA"/>
    <w:rsid w:val="00BA5EE5"/>
    <w:rsid w:val="00BA7562"/>
    <w:rsid w:val="00BB1573"/>
    <w:rsid w:val="00BB40CE"/>
    <w:rsid w:val="00BB477A"/>
    <w:rsid w:val="00BB51DD"/>
    <w:rsid w:val="00BC4E63"/>
    <w:rsid w:val="00BC5E71"/>
    <w:rsid w:val="00BC6EED"/>
    <w:rsid w:val="00BD0554"/>
    <w:rsid w:val="00BD0DC3"/>
    <w:rsid w:val="00BD1C3E"/>
    <w:rsid w:val="00BD68BB"/>
    <w:rsid w:val="00BD72C2"/>
    <w:rsid w:val="00BE1EC8"/>
    <w:rsid w:val="00BE3C4A"/>
    <w:rsid w:val="00BE48BB"/>
    <w:rsid w:val="00BE6EF1"/>
    <w:rsid w:val="00BE785D"/>
    <w:rsid w:val="00BF4331"/>
    <w:rsid w:val="00C01BA2"/>
    <w:rsid w:val="00C0242A"/>
    <w:rsid w:val="00C02A10"/>
    <w:rsid w:val="00C0358C"/>
    <w:rsid w:val="00C04BCE"/>
    <w:rsid w:val="00C066E1"/>
    <w:rsid w:val="00C07415"/>
    <w:rsid w:val="00C14193"/>
    <w:rsid w:val="00C14237"/>
    <w:rsid w:val="00C14C41"/>
    <w:rsid w:val="00C16E46"/>
    <w:rsid w:val="00C16E56"/>
    <w:rsid w:val="00C17E8C"/>
    <w:rsid w:val="00C20850"/>
    <w:rsid w:val="00C2116D"/>
    <w:rsid w:val="00C22D72"/>
    <w:rsid w:val="00C237FD"/>
    <w:rsid w:val="00C30360"/>
    <w:rsid w:val="00C30BEB"/>
    <w:rsid w:val="00C30CE0"/>
    <w:rsid w:val="00C33DA6"/>
    <w:rsid w:val="00C34209"/>
    <w:rsid w:val="00C345CD"/>
    <w:rsid w:val="00C37EC8"/>
    <w:rsid w:val="00C408AE"/>
    <w:rsid w:val="00C408F9"/>
    <w:rsid w:val="00C41261"/>
    <w:rsid w:val="00C412D2"/>
    <w:rsid w:val="00C427E4"/>
    <w:rsid w:val="00C46D2C"/>
    <w:rsid w:val="00C46FB5"/>
    <w:rsid w:val="00C47899"/>
    <w:rsid w:val="00C47E35"/>
    <w:rsid w:val="00C50CFC"/>
    <w:rsid w:val="00C50DF9"/>
    <w:rsid w:val="00C51C1E"/>
    <w:rsid w:val="00C52921"/>
    <w:rsid w:val="00C55D2B"/>
    <w:rsid w:val="00C55D9C"/>
    <w:rsid w:val="00C61B11"/>
    <w:rsid w:val="00C62950"/>
    <w:rsid w:val="00C63096"/>
    <w:rsid w:val="00C64242"/>
    <w:rsid w:val="00C6638C"/>
    <w:rsid w:val="00C70135"/>
    <w:rsid w:val="00C7065A"/>
    <w:rsid w:val="00C713AB"/>
    <w:rsid w:val="00C72AAE"/>
    <w:rsid w:val="00C739B2"/>
    <w:rsid w:val="00C74B60"/>
    <w:rsid w:val="00C75BBB"/>
    <w:rsid w:val="00C776E3"/>
    <w:rsid w:val="00C838DB"/>
    <w:rsid w:val="00C83957"/>
    <w:rsid w:val="00C94D55"/>
    <w:rsid w:val="00C95802"/>
    <w:rsid w:val="00C95BA5"/>
    <w:rsid w:val="00C9666A"/>
    <w:rsid w:val="00C973A6"/>
    <w:rsid w:val="00CA11C7"/>
    <w:rsid w:val="00CA18D0"/>
    <w:rsid w:val="00CA1A78"/>
    <w:rsid w:val="00CA1FCD"/>
    <w:rsid w:val="00CA3219"/>
    <w:rsid w:val="00CA37F1"/>
    <w:rsid w:val="00CA40EE"/>
    <w:rsid w:val="00CA4FB4"/>
    <w:rsid w:val="00CB0165"/>
    <w:rsid w:val="00CB5F8C"/>
    <w:rsid w:val="00CB6419"/>
    <w:rsid w:val="00CB797B"/>
    <w:rsid w:val="00CC0045"/>
    <w:rsid w:val="00CC3C70"/>
    <w:rsid w:val="00CC477A"/>
    <w:rsid w:val="00CC51D8"/>
    <w:rsid w:val="00CD2141"/>
    <w:rsid w:val="00CD2C8C"/>
    <w:rsid w:val="00CD6C6C"/>
    <w:rsid w:val="00CD7F24"/>
    <w:rsid w:val="00CE2785"/>
    <w:rsid w:val="00CE4CDC"/>
    <w:rsid w:val="00CF070F"/>
    <w:rsid w:val="00CF60B3"/>
    <w:rsid w:val="00D00440"/>
    <w:rsid w:val="00D01537"/>
    <w:rsid w:val="00D046CB"/>
    <w:rsid w:val="00D04873"/>
    <w:rsid w:val="00D10728"/>
    <w:rsid w:val="00D128ED"/>
    <w:rsid w:val="00D205AC"/>
    <w:rsid w:val="00D24332"/>
    <w:rsid w:val="00D24FB7"/>
    <w:rsid w:val="00D271B1"/>
    <w:rsid w:val="00D27BFB"/>
    <w:rsid w:val="00D30AB8"/>
    <w:rsid w:val="00D31E9C"/>
    <w:rsid w:val="00D33A50"/>
    <w:rsid w:val="00D33F81"/>
    <w:rsid w:val="00D36384"/>
    <w:rsid w:val="00D3762D"/>
    <w:rsid w:val="00D411A8"/>
    <w:rsid w:val="00D42350"/>
    <w:rsid w:val="00D47E96"/>
    <w:rsid w:val="00D47FF6"/>
    <w:rsid w:val="00D50133"/>
    <w:rsid w:val="00D510C2"/>
    <w:rsid w:val="00D53441"/>
    <w:rsid w:val="00D540B8"/>
    <w:rsid w:val="00D555D8"/>
    <w:rsid w:val="00D57B33"/>
    <w:rsid w:val="00D623C9"/>
    <w:rsid w:val="00D71086"/>
    <w:rsid w:val="00D76BEF"/>
    <w:rsid w:val="00D83483"/>
    <w:rsid w:val="00D840ED"/>
    <w:rsid w:val="00D850DB"/>
    <w:rsid w:val="00D8665A"/>
    <w:rsid w:val="00D87CFD"/>
    <w:rsid w:val="00D926F0"/>
    <w:rsid w:val="00D93028"/>
    <w:rsid w:val="00D973F4"/>
    <w:rsid w:val="00DA1F6B"/>
    <w:rsid w:val="00DA5EE6"/>
    <w:rsid w:val="00DB4145"/>
    <w:rsid w:val="00DB5228"/>
    <w:rsid w:val="00DB58C0"/>
    <w:rsid w:val="00DC2355"/>
    <w:rsid w:val="00DC2F2F"/>
    <w:rsid w:val="00DD0607"/>
    <w:rsid w:val="00DD06D9"/>
    <w:rsid w:val="00DD4878"/>
    <w:rsid w:val="00DD50B5"/>
    <w:rsid w:val="00DE02E4"/>
    <w:rsid w:val="00DE1358"/>
    <w:rsid w:val="00DE1436"/>
    <w:rsid w:val="00DE152C"/>
    <w:rsid w:val="00DE1CD8"/>
    <w:rsid w:val="00DE6F82"/>
    <w:rsid w:val="00DF05F8"/>
    <w:rsid w:val="00DF24D0"/>
    <w:rsid w:val="00DF41FD"/>
    <w:rsid w:val="00DF59E2"/>
    <w:rsid w:val="00DF5DA0"/>
    <w:rsid w:val="00E0289F"/>
    <w:rsid w:val="00E05604"/>
    <w:rsid w:val="00E068C5"/>
    <w:rsid w:val="00E10FC8"/>
    <w:rsid w:val="00E13520"/>
    <w:rsid w:val="00E14C02"/>
    <w:rsid w:val="00E168D9"/>
    <w:rsid w:val="00E16E22"/>
    <w:rsid w:val="00E20C04"/>
    <w:rsid w:val="00E230EA"/>
    <w:rsid w:val="00E23669"/>
    <w:rsid w:val="00E24CAE"/>
    <w:rsid w:val="00E25AD6"/>
    <w:rsid w:val="00E30B86"/>
    <w:rsid w:val="00E37496"/>
    <w:rsid w:val="00E41811"/>
    <w:rsid w:val="00E424A3"/>
    <w:rsid w:val="00E424F0"/>
    <w:rsid w:val="00E438AB"/>
    <w:rsid w:val="00E44A40"/>
    <w:rsid w:val="00E47033"/>
    <w:rsid w:val="00E47103"/>
    <w:rsid w:val="00E47281"/>
    <w:rsid w:val="00E47723"/>
    <w:rsid w:val="00E509C8"/>
    <w:rsid w:val="00E50A22"/>
    <w:rsid w:val="00E53EEB"/>
    <w:rsid w:val="00E549F4"/>
    <w:rsid w:val="00E5564E"/>
    <w:rsid w:val="00E558AD"/>
    <w:rsid w:val="00E56C5F"/>
    <w:rsid w:val="00E571EE"/>
    <w:rsid w:val="00E64FEF"/>
    <w:rsid w:val="00E673C3"/>
    <w:rsid w:val="00E70716"/>
    <w:rsid w:val="00E70750"/>
    <w:rsid w:val="00E70F41"/>
    <w:rsid w:val="00E734BE"/>
    <w:rsid w:val="00E73A99"/>
    <w:rsid w:val="00E80344"/>
    <w:rsid w:val="00E80486"/>
    <w:rsid w:val="00E8056A"/>
    <w:rsid w:val="00E813AE"/>
    <w:rsid w:val="00E81936"/>
    <w:rsid w:val="00E9245C"/>
    <w:rsid w:val="00E93638"/>
    <w:rsid w:val="00E955D0"/>
    <w:rsid w:val="00E959B9"/>
    <w:rsid w:val="00E96459"/>
    <w:rsid w:val="00EA167F"/>
    <w:rsid w:val="00EA2A1E"/>
    <w:rsid w:val="00EA36A3"/>
    <w:rsid w:val="00EA4A5E"/>
    <w:rsid w:val="00EA5514"/>
    <w:rsid w:val="00EA7250"/>
    <w:rsid w:val="00EA72B0"/>
    <w:rsid w:val="00EB25D6"/>
    <w:rsid w:val="00EB2608"/>
    <w:rsid w:val="00EB3C8C"/>
    <w:rsid w:val="00EB577A"/>
    <w:rsid w:val="00EB6573"/>
    <w:rsid w:val="00EB7143"/>
    <w:rsid w:val="00EC19EB"/>
    <w:rsid w:val="00EC2665"/>
    <w:rsid w:val="00EC672F"/>
    <w:rsid w:val="00EC7A8F"/>
    <w:rsid w:val="00ED1691"/>
    <w:rsid w:val="00ED1899"/>
    <w:rsid w:val="00ED2335"/>
    <w:rsid w:val="00ED54FA"/>
    <w:rsid w:val="00EE09D0"/>
    <w:rsid w:val="00EE0A16"/>
    <w:rsid w:val="00EE36A0"/>
    <w:rsid w:val="00EE3D3E"/>
    <w:rsid w:val="00EE3EEE"/>
    <w:rsid w:val="00EE7517"/>
    <w:rsid w:val="00EF18A7"/>
    <w:rsid w:val="00EF1D51"/>
    <w:rsid w:val="00EF29EC"/>
    <w:rsid w:val="00EF2E64"/>
    <w:rsid w:val="00F02A76"/>
    <w:rsid w:val="00F036E8"/>
    <w:rsid w:val="00F04F10"/>
    <w:rsid w:val="00F05DBB"/>
    <w:rsid w:val="00F072A1"/>
    <w:rsid w:val="00F1066D"/>
    <w:rsid w:val="00F10747"/>
    <w:rsid w:val="00F12BB2"/>
    <w:rsid w:val="00F13B73"/>
    <w:rsid w:val="00F1483B"/>
    <w:rsid w:val="00F150D7"/>
    <w:rsid w:val="00F173C5"/>
    <w:rsid w:val="00F21648"/>
    <w:rsid w:val="00F23D98"/>
    <w:rsid w:val="00F24115"/>
    <w:rsid w:val="00F26E75"/>
    <w:rsid w:val="00F35A7F"/>
    <w:rsid w:val="00F36217"/>
    <w:rsid w:val="00F405D2"/>
    <w:rsid w:val="00F4082F"/>
    <w:rsid w:val="00F4150C"/>
    <w:rsid w:val="00F4310C"/>
    <w:rsid w:val="00F46108"/>
    <w:rsid w:val="00F466F0"/>
    <w:rsid w:val="00F47AC2"/>
    <w:rsid w:val="00F5005D"/>
    <w:rsid w:val="00F54036"/>
    <w:rsid w:val="00F5422A"/>
    <w:rsid w:val="00F577CC"/>
    <w:rsid w:val="00F60388"/>
    <w:rsid w:val="00F62E20"/>
    <w:rsid w:val="00F637D4"/>
    <w:rsid w:val="00F65279"/>
    <w:rsid w:val="00F71E74"/>
    <w:rsid w:val="00F739FA"/>
    <w:rsid w:val="00F7518C"/>
    <w:rsid w:val="00F75CB1"/>
    <w:rsid w:val="00F80511"/>
    <w:rsid w:val="00F8161E"/>
    <w:rsid w:val="00F81C48"/>
    <w:rsid w:val="00F835E1"/>
    <w:rsid w:val="00F86ADE"/>
    <w:rsid w:val="00F905B0"/>
    <w:rsid w:val="00F907EC"/>
    <w:rsid w:val="00F921D7"/>
    <w:rsid w:val="00F92C17"/>
    <w:rsid w:val="00F96D75"/>
    <w:rsid w:val="00FA09B4"/>
    <w:rsid w:val="00FA09C4"/>
    <w:rsid w:val="00FA3DC1"/>
    <w:rsid w:val="00FB0048"/>
    <w:rsid w:val="00FB0F65"/>
    <w:rsid w:val="00FB27F6"/>
    <w:rsid w:val="00FB30A0"/>
    <w:rsid w:val="00FB355B"/>
    <w:rsid w:val="00FB6807"/>
    <w:rsid w:val="00FC1B8F"/>
    <w:rsid w:val="00FC2990"/>
    <w:rsid w:val="00FC31BD"/>
    <w:rsid w:val="00FC41E2"/>
    <w:rsid w:val="00FC578B"/>
    <w:rsid w:val="00FC68E8"/>
    <w:rsid w:val="00FC744C"/>
    <w:rsid w:val="00FC7478"/>
    <w:rsid w:val="00FD10D3"/>
    <w:rsid w:val="00FD4152"/>
    <w:rsid w:val="00FE0972"/>
    <w:rsid w:val="00FE0D78"/>
    <w:rsid w:val="00FE1353"/>
    <w:rsid w:val="00FE2493"/>
    <w:rsid w:val="00FE2EF0"/>
    <w:rsid w:val="00FE70B9"/>
    <w:rsid w:val="00FE7562"/>
    <w:rsid w:val="00FF0DF0"/>
    <w:rsid w:val="00FF2AB2"/>
    <w:rsid w:val="00FF4327"/>
    <w:rsid w:val="00FF4C7E"/>
    <w:rsid w:val="00FF50CD"/>
    <w:rsid w:val="00FF7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List Bullet 2" w:uiPriority="99"/>
    <w:lsdException w:name="List Number 2" w:uiPriority="99"/>
    <w:lsdException w:name="Dat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425B"/>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3C58A7"/>
    <w:pPr>
      <w:keepNext/>
      <w:spacing w:before="320" w:after="240"/>
      <w:outlineLvl w:val="2"/>
    </w:pPr>
    <w:rPr>
      <w:rFonts w:ascii="Arial" w:hAnsi="Arial" w:cs="Arial"/>
      <w:b/>
      <w:bCs/>
      <w:sz w:val="30"/>
      <w:szCs w:val="30"/>
    </w:rPr>
  </w:style>
  <w:style w:type="paragraph" w:styleId="Heading4">
    <w:name w:val="heading 4"/>
    <w:basedOn w:val="Numbered"/>
    <w:next w:val="Normal"/>
    <w:link w:val="Heading4Char"/>
    <w:qFormat/>
    <w:rsid w:val="004D425B"/>
    <w:pPr>
      <w:numPr>
        <w:numId w:val="0"/>
      </w:numPr>
      <w:outlineLvl w:val="3"/>
    </w:pPr>
    <w:rPr>
      <w:b/>
    </w:rPr>
  </w:style>
  <w:style w:type="paragraph" w:styleId="Heading5">
    <w:name w:val="heading 5"/>
    <w:basedOn w:val="Numbered"/>
    <w:next w:val="Normal"/>
    <w:link w:val="Heading5Char"/>
    <w:qFormat/>
    <w:rsid w:val="004D425B"/>
    <w:pPr>
      <w:numPr>
        <w:numId w:val="0"/>
      </w:numPr>
      <w:spacing w:before="120"/>
      <w:outlineLvl w:val="4"/>
    </w:pPr>
    <w:rPr>
      <w:i/>
    </w:rPr>
  </w:style>
  <w:style w:type="paragraph" w:styleId="Heading6">
    <w:name w:val="heading 6"/>
    <w:basedOn w:val="Normal"/>
    <w:next w:val="Normal"/>
    <w:link w:val="Heading6Char"/>
    <w:qFormat/>
    <w:rsid w:val="00CA37F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A37F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CA37F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CA37F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qFormat/>
    <w:rsid w:val="00C64242"/>
    <w:pPr>
      <w:numPr>
        <w:numId w:val="2"/>
      </w:numPr>
      <w:spacing w:after="240"/>
    </w:pPr>
    <w:rPr>
      <w:rFonts w:ascii="Arial" w:hAnsi="Arial" w:cs="Arial"/>
      <w:sz w:val="22"/>
      <w:szCs w:val="22"/>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basedOn w:val="DefaultParagraphFont"/>
    <w:link w:val="Heading4"/>
    <w:rsid w:val="004D425B"/>
    <w:rPr>
      <w:rFonts w:ascii="Arial" w:hAnsi="Arial" w:cs="Arial"/>
      <w:b/>
      <w:sz w:val="22"/>
      <w:szCs w:val="22"/>
      <w:lang w:eastAsia="en-US"/>
    </w:rPr>
  </w:style>
  <w:style w:type="paragraph" w:customStyle="1" w:styleId="NormalParagraph">
    <w:name w:val="Normal Paragraph"/>
    <w:basedOn w:val="Numbered"/>
    <w:link w:val="NormalParagraphChar"/>
    <w:uiPriority w:val="99"/>
    <w:rsid w:val="00987BCF"/>
    <w:pPr>
      <w:spacing w:before="120" w:after="120"/>
    </w:pPr>
  </w:style>
  <w:style w:type="paragraph" w:styleId="ListParagraph">
    <w:name w:val="List Paragraph"/>
    <w:basedOn w:val="ListBullet"/>
    <w:uiPriority w:val="34"/>
    <w:qFormat/>
    <w:rsid w:val="00A42D93"/>
    <w:pPr>
      <w:tabs>
        <w:tab w:val="clear" w:pos="360"/>
        <w:tab w:val="left" w:pos="993"/>
        <w:tab w:val="left" w:pos="1134"/>
      </w:tabs>
      <w:spacing w:before="120" w:after="120" w:line="360" w:lineRule="auto"/>
      <w:ind w:left="1287"/>
    </w:pPr>
    <w:rPr>
      <w:rFonts w:ascii="Arial" w:hAnsi="Arial"/>
      <w:sz w:val="22"/>
    </w:rPr>
  </w:style>
  <w:style w:type="character" w:customStyle="1" w:styleId="FooterChar">
    <w:name w:val="Footer Char"/>
    <w:basedOn w:val="DefaultParagraphFont"/>
    <w:link w:val="Footer"/>
    <w:uiPriority w:val="99"/>
    <w:rsid w:val="00497688"/>
    <w:rPr>
      <w:sz w:val="24"/>
      <w:szCs w:val="24"/>
      <w:lang w:eastAsia="en-US"/>
    </w:rPr>
  </w:style>
  <w:style w:type="paragraph" w:styleId="ListBullet">
    <w:name w:val="List Bullet"/>
    <w:basedOn w:val="Normal"/>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basedOn w:val="DefaultParagraphFont"/>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basedOn w:val="DefaultParagraphFont"/>
    <w:link w:val="BalloonText"/>
    <w:rsid w:val="002B61E7"/>
    <w:rPr>
      <w:rFonts w:ascii="Tahoma" w:hAnsi="Tahoma" w:cs="Tahoma"/>
      <w:sz w:val="16"/>
      <w:szCs w:val="16"/>
      <w:lang w:eastAsia="en-US"/>
    </w:rPr>
  </w:style>
  <w:style w:type="paragraph" w:customStyle="1" w:styleId="commentbox">
    <w:name w:val="comment box"/>
    <w:basedOn w:val="NormalParagraph"/>
    <w:qFormat/>
    <w:rsid w:val="00E813AE"/>
    <w:pPr>
      <w:numPr>
        <w:numId w:val="0"/>
      </w:numPr>
      <w:shd w:val="clear" w:color="auto" w:fill="D9D9D9"/>
      <w:spacing w:before="240" w:after="240"/>
    </w:pPr>
  </w:style>
  <w:style w:type="paragraph" w:customStyle="1" w:styleId="ABCList">
    <w:name w:val="ABC List"/>
    <w:qFormat/>
    <w:rsid w:val="002314C6"/>
    <w:pPr>
      <w:numPr>
        <w:numId w:val="3"/>
      </w:numPr>
      <w:spacing w:after="120"/>
      <w:ind w:left="992" w:hanging="425"/>
    </w:pPr>
    <w:rPr>
      <w:rFonts w:ascii="Arial" w:hAnsi="Arial"/>
      <w:sz w:val="22"/>
      <w:szCs w:val="24"/>
      <w:lang w:eastAsia="en-US"/>
    </w:rPr>
  </w:style>
  <w:style w:type="character" w:styleId="CommentReference">
    <w:name w:val="annotation reference"/>
    <w:basedOn w:val="DefaultParagraphFont"/>
    <w:uiPriority w:val="99"/>
    <w:rsid w:val="00C50CFC"/>
    <w:rPr>
      <w:sz w:val="16"/>
      <w:szCs w:val="16"/>
    </w:rPr>
  </w:style>
  <w:style w:type="paragraph" w:styleId="CommentText">
    <w:name w:val="annotation text"/>
    <w:basedOn w:val="Normal"/>
    <w:link w:val="CommentTextChar"/>
    <w:uiPriority w:val="99"/>
    <w:rsid w:val="00C50CFC"/>
    <w:rPr>
      <w:sz w:val="20"/>
      <w:szCs w:val="20"/>
    </w:rPr>
  </w:style>
  <w:style w:type="character" w:customStyle="1" w:styleId="CommentTextChar">
    <w:name w:val="Comment Text Char"/>
    <w:basedOn w:val="DefaultParagraphFont"/>
    <w:link w:val="CommentText"/>
    <w:uiPriority w:val="99"/>
    <w:rsid w:val="00C50CFC"/>
    <w:rPr>
      <w:lang w:eastAsia="en-US"/>
    </w:rPr>
  </w:style>
  <w:style w:type="paragraph" w:styleId="CommentSubject">
    <w:name w:val="annotation subject"/>
    <w:basedOn w:val="CommentText"/>
    <w:next w:val="CommentText"/>
    <w:link w:val="CommentSubjectChar"/>
    <w:rsid w:val="00C50CFC"/>
    <w:rPr>
      <w:b/>
      <w:bCs/>
    </w:rPr>
  </w:style>
  <w:style w:type="character" w:customStyle="1" w:styleId="CommentSubjectChar">
    <w:name w:val="Comment Subject Char"/>
    <w:basedOn w:val="CommentTextChar"/>
    <w:link w:val="CommentSubject"/>
    <w:rsid w:val="00C50CFC"/>
    <w:rPr>
      <w:b/>
      <w:bCs/>
      <w:lang w:eastAsia="en-US"/>
    </w:rPr>
  </w:style>
  <w:style w:type="paragraph" w:styleId="FootnoteText">
    <w:name w:val="footnote text"/>
    <w:basedOn w:val="Normal"/>
    <w:link w:val="FootnoteTextChar"/>
    <w:uiPriority w:val="99"/>
    <w:rsid w:val="0081112E"/>
    <w:pPr>
      <w:jc w:val="both"/>
    </w:pPr>
    <w:rPr>
      <w:sz w:val="20"/>
      <w:szCs w:val="20"/>
      <w:lang w:eastAsia="en-AU"/>
    </w:rPr>
  </w:style>
  <w:style w:type="character" w:customStyle="1" w:styleId="FootnoteTextChar">
    <w:name w:val="Footnote Text Char"/>
    <w:basedOn w:val="DefaultParagraphFont"/>
    <w:link w:val="FootnoteText"/>
    <w:uiPriority w:val="99"/>
    <w:rsid w:val="0081112E"/>
  </w:style>
  <w:style w:type="character" w:styleId="FootnoteReference">
    <w:name w:val="footnote reference"/>
    <w:uiPriority w:val="99"/>
    <w:rsid w:val="0081112E"/>
    <w:rPr>
      <w:position w:val="6"/>
      <w:sz w:val="16"/>
      <w:szCs w:val="16"/>
    </w:rPr>
  </w:style>
  <w:style w:type="paragraph" w:styleId="Revision">
    <w:name w:val="Revision"/>
    <w:hidden/>
    <w:uiPriority w:val="99"/>
    <w:semiHidden/>
    <w:rsid w:val="00A910D9"/>
    <w:rPr>
      <w:sz w:val="24"/>
      <w:szCs w:val="24"/>
      <w:lang w:eastAsia="en-US"/>
    </w:rPr>
  </w:style>
  <w:style w:type="character" w:customStyle="1" w:styleId="Heading5Char">
    <w:name w:val="Heading 5 Char"/>
    <w:basedOn w:val="DefaultParagraphFont"/>
    <w:link w:val="Heading5"/>
    <w:rsid w:val="004D425B"/>
    <w:rPr>
      <w:rFonts w:ascii="Arial" w:hAnsi="Arial" w:cs="Arial"/>
      <w:i/>
      <w:sz w:val="22"/>
      <w:szCs w:val="22"/>
      <w:lang w:eastAsia="en-US"/>
    </w:rPr>
  </w:style>
  <w:style w:type="paragraph" w:customStyle="1" w:styleId="Bulletpoint">
    <w:name w:val="Bullet point"/>
    <w:basedOn w:val="ListBullet"/>
    <w:qFormat/>
    <w:rsid w:val="00E44A40"/>
    <w:pPr>
      <w:numPr>
        <w:numId w:val="7"/>
      </w:numPr>
      <w:tabs>
        <w:tab w:val="num" w:pos="1492"/>
      </w:tabs>
      <w:spacing w:before="120" w:after="120"/>
      <w:ind w:left="357" w:hanging="357"/>
      <w:contextualSpacing w:val="0"/>
    </w:pPr>
    <w:rPr>
      <w:rFonts w:ascii="Arial" w:eastAsia="Arial" w:hAnsi="Arial"/>
      <w:sz w:val="22"/>
      <w:szCs w:val="22"/>
    </w:rPr>
  </w:style>
  <w:style w:type="paragraph" w:styleId="ListNumber">
    <w:name w:val="List Number"/>
    <w:basedOn w:val="Normal"/>
    <w:uiPriority w:val="99"/>
    <w:rsid w:val="00E44A40"/>
    <w:pPr>
      <w:tabs>
        <w:tab w:val="num" w:pos="360"/>
      </w:tabs>
      <w:spacing w:before="120" w:after="120"/>
      <w:ind w:left="357" w:hanging="357"/>
    </w:pPr>
    <w:rPr>
      <w:rFonts w:ascii="Arial" w:eastAsia="Arial" w:hAnsi="Arial"/>
      <w:color w:val="000000"/>
      <w:sz w:val="22"/>
      <w:szCs w:val="22"/>
    </w:rPr>
  </w:style>
  <w:style w:type="paragraph" w:styleId="ListNumber2">
    <w:name w:val="List Number 2"/>
    <w:aliases w:val="List alphabet"/>
    <w:next w:val="Normal"/>
    <w:uiPriority w:val="99"/>
    <w:rsid w:val="00E44A40"/>
    <w:pPr>
      <w:tabs>
        <w:tab w:val="num" w:pos="720"/>
      </w:tabs>
      <w:spacing w:before="120"/>
      <w:ind w:left="357" w:hanging="357"/>
    </w:pPr>
    <w:rPr>
      <w:rFonts w:ascii="Arial" w:eastAsia="Arial" w:hAnsi="Arial"/>
      <w:sz w:val="22"/>
      <w:szCs w:val="22"/>
      <w:lang w:eastAsia="en-US"/>
    </w:rPr>
  </w:style>
  <w:style w:type="paragraph" w:customStyle="1" w:styleId="Numberedlist">
    <w:name w:val="Numbered list"/>
    <w:basedOn w:val="ListNumber"/>
    <w:link w:val="NumberedlistChar"/>
    <w:rsid w:val="00E44A40"/>
    <w:pPr>
      <w:numPr>
        <w:numId w:val="6"/>
      </w:numPr>
      <w:ind w:left="357" w:hanging="357"/>
    </w:pPr>
  </w:style>
  <w:style w:type="character" w:customStyle="1" w:styleId="NumberedlistChar">
    <w:name w:val="Numbered list Char"/>
    <w:link w:val="Numberedlist"/>
    <w:rsid w:val="00E44A40"/>
    <w:rPr>
      <w:rFonts w:ascii="Arial" w:eastAsia="Arial" w:hAnsi="Arial"/>
      <w:color w:val="000000"/>
      <w:sz w:val="22"/>
      <w:szCs w:val="22"/>
      <w:lang w:eastAsia="en-US"/>
    </w:rPr>
  </w:style>
  <w:style w:type="table" w:styleId="TableGrid">
    <w:name w:val="Table Grid"/>
    <w:aliases w:val="ACCC Table"/>
    <w:basedOn w:val="TableNormal"/>
    <w:rsid w:val="009E077E"/>
    <w:pPr>
      <w:spacing w:before="60" w:after="60"/>
    </w:pPr>
    <w:rPr>
      <w:rFonts w:ascii="Arial" w:eastAsia="Arial" w:hAnsi="Arial"/>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NormalParagraphChar">
    <w:name w:val="Normal Paragraph Char"/>
    <w:link w:val="NormalParagraph"/>
    <w:uiPriority w:val="99"/>
    <w:rsid w:val="001149AB"/>
    <w:rPr>
      <w:rFonts w:ascii="Arial" w:hAnsi="Arial" w:cs="Arial"/>
      <w:sz w:val="22"/>
      <w:szCs w:val="22"/>
      <w:lang w:eastAsia="en-US"/>
    </w:rPr>
  </w:style>
  <w:style w:type="paragraph" w:customStyle="1" w:styleId="Tabletext">
    <w:name w:val="Table text"/>
    <w:basedOn w:val="Numberedlist"/>
    <w:qFormat/>
    <w:rsid w:val="00F46108"/>
    <w:pPr>
      <w:numPr>
        <w:numId w:val="0"/>
      </w:numPr>
    </w:pPr>
  </w:style>
  <w:style w:type="character" w:customStyle="1" w:styleId="Heading3Char">
    <w:name w:val="Heading 3 Char"/>
    <w:link w:val="Heading3"/>
    <w:rsid w:val="00C95BA5"/>
    <w:rPr>
      <w:rFonts w:ascii="Arial" w:hAnsi="Arial" w:cs="Arial"/>
      <w:b/>
      <w:bCs/>
      <w:sz w:val="30"/>
      <w:szCs w:val="30"/>
      <w:lang w:eastAsia="en-US"/>
    </w:rPr>
  </w:style>
  <w:style w:type="paragraph" w:customStyle="1" w:styleId="Numbered1">
    <w:name w:val="Numbered 1"/>
    <w:basedOn w:val="Heading1"/>
    <w:next w:val="Normal"/>
    <w:link w:val="Numbered1Char"/>
    <w:qFormat/>
    <w:rsid w:val="00CA37F1"/>
    <w:pPr>
      <w:keepNext w:val="0"/>
      <w:numPr>
        <w:numId w:val="9"/>
      </w:numPr>
      <w:tabs>
        <w:tab w:val="num" w:pos="360"/>
        <w:tab w:val="left" w:pos="680"/>
      </w:tabs>
      <w:spacing w:before="240" w:after="0"/>
      <w:ind w:left="0" w:firstLine="0"/>
      <w:jc w:val="left"/>
    </w:pPr>
    <w:rPr>
      <w:rFonts w:cs="Times New Roman"/>
      <w:kern w:val="0"/>
      <w:sz w:val="24"/>
      <w:szCs w:val="28"/>
    </w:rPr>
  </w:style>
  <w:style w:type="paragraph" w:customStyle="1" w:styleId="Numbered11">
    <w:name w:val="Numbered 1.1"/>
    <w:basedOn w:val="Heading2"/>
    <w:next w:val="Normal"/>
    <w:qFormat/>
    <w:rsid w:val="00CA37F1"/>
    <w:pPr>
      <w:numPr>
        <w:ilvl w:val="1"/>
        <w:numId w:val="9"/>
      </w:numPr>
      <w:pBdr>
        <w:bottom w:val="none" w:sz="0" w:space="0" w:color="auto"/>
      </w:pBdr>
      <w:tabs>
        <w:tab w:val="left" w:pos="1021"/>
      </w:tabs>
      <w:spacing w:before="200" w:line="240" w:lineRule="atLeast"/>
      <w:jc w:val="left"/>
    </w:pPr>
    <w:rPr>
      <w:b w:val="0"/>
      <w:sz w:val="22"/>
      <w:szCs w:val="26"/>
    </w:rPr>
  </w:style>
  <w:style w:type="paragraph" w:customStyle="1" w:styleId="Numbered111">
    <w:name w:val="Numbered 1.1.1"/>
    <w:basedOn w:val="Heading3"/>
    <w:next w:val="Normal"/>
    <w:qFormat/>
    <w:rsid w:val="00CA37F1"/>
    <w:pPr>
      <w:keepNext w:val="0"/>
      <w:numPr>
        <w:ilvl w:val="2"/>
        <w:numId w:val="9"/>
      </w:numPr>
      <w:tabs>
        <w:tab w:val="num" w:pos="360"/>
        <w:tab w:val="left" w:pos="1361"/>
      </w:tabs>
      <w:spacing w:before="240" w:after="0"/>
      <w:ind w:left="0" w:firstLine="0"/>
      <w:contextualSpacing/>
    </w:pPr>
    <w:rPr>
      <w:rFonts w:cs="Times New Roman"/>
      <w:i/>
      <w:color w:val="000000"/>
      <w:sz w:val="22"/>
      <w:szCs w:val="22"/>
    </w:rPr>
  </w:style>
  <w:style w:type="paragraph" w:customStyle="1" w:styleId="Numbered1111">
    <w:name w:val="Numbered 1.1.1.1"/>
    <w:basedOn w:val="Heading4"/>
    <w:next w:val="Normal"/>
    <w:rsid w:val="00CA37F1"/>
    <w:pPr>
      <w:numPr>
        <w:ilvl w:val="3"/>
        <w:numId w:val="9"/>
      </w:numPr>
      <w:tabs>
        <w:tab w:val="num" w:pos="360"/>
        <w:tab w:val="left" w:pos="1361"/>
      </w:tabs>
      <w:spacing w:before="240" w:after="0"/>
      <w:ind w:left="0" w:firstLine="0"/>
    </w:pPr>
    <w:rPr>
      <w:rFonts w:cs="Times New Roman"/>
      <w:bCs/>
      <w:i/>
      <w:iCs/>
      <w:color w:val="51626F"/>
    </w:rPr>
  </w:style>
  <w:style w:type="paragraph" w:customStyle="1" w:styleId="Numbered11111">
    <w:name w:val="Numbered 1.1.1.1.1"/>
    <w:basedOn w:val="Heading5"/>
    <w:next w:val="Normal"/>
    <w:uiPriority w:val="2"/>
    <w:rsid w:val="00CA37F1"/>
    <w:pPr>
      <w:numPr>
        <w:ilvl w:val="4"/>
        <w:numId w:val="9"/>
      </w:numPr>
      <w:tabs>
        <w:tab w:val="num" w:pos="360"/>
        <w:tab w:val="left" w:pos="1701"/>
      </w:tabs>
      <w:spacing w:before="200" w:after="0" w:line="240" w:lineRule="atLeast"/>
      <w:ind w:left="0" w:firstLine="0"/>
    </w:pPr>
    <w:rPr>
      <w:rFonts w:cs="Times New Roman"/>
      <w:b/>
      <w:i w:val="0"/>
      <w:color w:val="283037"/>
    </w:rPr>
  </w:style>
  <w:style w:type="paragraph" w:customStyle="1" w:styleId="Numbered111111">
    <w:name w:val="Numbered 1.1.1.1.1.1"/>
    <w:basedOn w:val="Heading6"/>
    <w:next w:val="Normal"/>
    <w:uiPriority w:val="2"/>
    <w:rsid w:val="00CA37F1"/>
    <w:pPr>
      <w:numPr>
        <w:ilvl w:val="5"/>
        <w:numId w:val="9"/>
      </w:numPr>
      <w:tabs>
        <w:tab w:val="num" w:pos="360"/>
        <w:tab w:val="left" w:pos="1701"/>
      </w:tabs>
      <w:spacing w:after="0"/>
      <w:ind w:left="0" w:firstLine="0"/>
    </w:pPr>
    <w:rPr>
      <w:rFonts w:ascii="Arial" w:eastAsia="Times New Roman" w:hAnsi="Arial" w:cs="Times New Roman"/>
      <w:bCs w:val="0"/>
      <w:i/>
      <w:iCs/>
    </w:rPr>
  </w:style>
  <w:style w:type="paragraph" w:customStyle="1" w:styleId="Numbered1111111">
    <w:name w:val="Numbered 1.1.1.1.1.1.1"/>
    <w:basedOn w:val="Heading7"/>
    <w:next w:val="Normal"/>
    <w:uiPriority w:val="2"/>
    <w:rsid w:val="00CA37F1"/>
    <w:pPr>
      <w:numPr>
        <w:ilvl w:val="6"/>
        <w:numId w:val="9"/>
      </w:numPr>
      <w:tabs>
        <w:tab w:val="num" w:pos="360"/>
        <w:tab w:val="left" w:pos="2041"/>
      </w:tabs>
      <w:spacing w:after="0"/>
      <w:ind w:left="0" w:firstLine="0"/>
    </w:pPr>
    <w:rPr>
      <w:rFonts w:ascii="Arial" w:eastAsia="Times New Roman" w:hAnsi="Arial" w:cs="Times New Roman"/>
      <w:i/>
      <w:iCs/>
      <w:color w:val="404040"/>
      <w:sz w:val="22"/>
      <w:szCs w:val="22"/>
    </w:rPr>
  </w:style>
  <w:style w:type="paragraph" w:customStyle="1" w:styleId="Numbered11111111">
    <w:name w:val="Numbered 1.1.1.1.1.1.1.1"/>
    <w:basedOn w:val="Heading8"/>
    <w:next w:val="Normal"/>
    <w:uiPriority w:val="2"/>
    <w:rsid w:val="00CA37F1"/>
    <w:pPr>
      <w:numPr>
        <w:ilvl w:val="7"/>
        <w:numId w:val="9"/>
      </w:numPr>
      <w:tabs>
        <w:tab w:val="num" w:pos="360"/>
        <w:tab w:val="left" w:pos="2041"/>
      </w:tabs>
      <w:spacing w:after="0"/>
      <w:ind w:left="0" w:firstLine="0"/>
    </w:pPr>
    <w:rPr>
      <w:rFonts w:ascii="Arial" w:eastAsia="Times New Roman" w:hAnsi="Arial" w:cs="Times New Roman"/>
      <w:i w:val="0"/>
      <w:iCs w:val="0"/>
      <w:color w:val="51626F"/>
      <w:sz w:val="22"/>
      <w:szCs w:val="20"/>
    </w:rPr>
  </w:style>
  <w:style w:type="paragraph" w:customStyle="1" w:styleId="Numbered111111111">
    <w:name w:val="Numbered 1.1.1.1.1.1.1.1.1"/>
    <w:basedOn w:val="Heading9"/>
    <w:next w:val="Normal"/>
    <w:uiPriority w:val="2"/>
    <w:rsid w:val="00CA37F1"/>
    <w:pPr>
      <w:numPr>
        <w:ilvl w:val="8"/>
        <w:numId w:val="9"/>
      </w:numPr>
      <w:tabs>
        <w:tab w:val="num" w:pos="360"/>
        <w:tab w:val="left" w:pos="2381"/>
      </w:tabs>
      <w:spacing w:after="0"/>
      <w:ind w:left="0" w:firstLine="0"/>
    </w:pPr>
    <w:rPr>
      <w:rFonts w:ascii="Arial" w:hAnsi="Arial"/>
      <w:i/>
      <w:iCs/>
      <w:color w:val="51626F"/>
      <w:szCs w:val="20"/>
    </w:rPr>
  </w:style>
  <w:style w:type="paragraph" w:customStyle="1" w:styleId="Numberedparagraph11">
    <w:name w:val="Numbered paragraph 1.1"/>
    <w:basedOn w:val="Numbered11"/>
    <w:qFormat/>
    <w:rsid w:val="00CA37F1"/>
    <w:pPr>
      <w:outlineLvl w:val="9"/>
    </w:pPr>
    <w:rPr>
      <w:bCs w:val="0"/>
    </w:rPr>
  </w:style>
  <w:style w:type="paragraph" w:customStyle="1" w:styleId="Listalphabet3">
    <w:name w:val="List alphabet 3"/>
    <w:basedOn w:val="Normal"/>
    <w:qFormat/>
    <w:rsid w:val="00CA37F1"/>
    <w:pPr>
      <w:numPr>
        <w:ilvl w:val="1"/>
        <w:numId w:val="10"/>
      </w:numPr>
      <w:tabs>
        <w:tab w:val="clear" w:pos="1361"/>
        <w:tab w:val="num" w:pos="360"/>
        <w:tab w:val="left" w:pos="1021"/>
      </w:tabs>
      <w:spacing w:before="120"/>
      <w:ind w:left="0" w:firstLine="0"/>
    </w:pPr>
    <w:rPr>
      <w:rFonts w:ascii="Arial" w:eastAsia="Arial" w:hAnsi="Arial"/>
      <w:sz w:val="22"/>
      <w:szCs w:val="22"/>
    </w:rPr>
  </w:style>
  <w:style w:type="paragraph" w:customStyle="1" w:styleId="ListLegal4">
    <w:name w:val="List Legal 4"/>
    <w:basedOn w:val="Normal"/>
    <w:qFormat/>
    <w:rsid w:val="00CA37F1"/>
    <w:pPr>
      <w:numPr>
        <w:ilvl w:val="2"/>
        <w:numId w:val="10"/>
      </w:numPr>
      <w:tabs>
        <w:tab w:val="clear" w:pos="1701"/>
        <w:tab w:val="num" w:pos="360"/>
      </w:tabs>
      <w:spacing w:before="120" w:line="276" w:lineRule="auto"/>
      <w:ind w:left="0" w:firstLine="0"/>
    </w:pPr>
    <w:rPr>
      <w:rFonts w:ascii="Arial" w:eastAsia="Arial" w:hAnsi="Arial"/>
      <w:sz w:val="22"/>
      <w:szCs w:val="22"/>
    </w:rPr>
  </w:style>
  <w:style w:type="paragraph" w:customStyle="1" w:styleId="LegalNumbering">
    <w:name w:val="Legal Numbering"/>
    <w:basedOn w:val="Normal"/>
    <w:qFormat/>
    <w:rsid w:val="00CA37F1"/>
    <w:pPr>
      <w:numPr>
        <w:numId w:val="10"/>
      </w:numPr>
      <w:tabs>
        <w:tab w:val="clear" w:pos="1021"/>
        <w:tab w:val="left" w:pos="340"/>
        <w:tab w:val="left" w:pos="680"/>
        <w:tab w:val="left" w:pos="1361"/>
      </w:tabs>
      <w:spacing w:before="200"/>
      <w:ind w:left="0" w:firstLine="0"/>
    </w:pPr>
    <w:rPr>
      <w:rFonts w:ascii="Arial" w:eastAsia="Arial" w:hAnsi="Arial"/>
      <w:sz w:val="22"/>
      <w:szCs w:val="22"/>
    </w:rPr>
  </w:style>
  <w:style w:type="character" w:customStyle="1" w:styleId="Heading6Char">
    <w:name w:val="Heading 6 Char"/>
    <w:basedOn w:val="DefaultParagraphFont"/>
    <w:link w:val="Heading6"/>
    <w:rsid w:val="00CA37F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semiHidden/>
    <w:rsid w:val="00CA37F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CA37F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CA37F1"/>
    <w:rPr>
      <w:rFonts w:asciiTheme="majorHAnsi" w:eastAsiaTheme="majorEastAsia" w:hAnsiTheme="majorHAnsi" w:cstheme="majorBidi"/>
      <w:sz w:val="22"/>
      <w:szCs w:val="22"/>
      <w:lang w:eastAsia="en-US"/>
    </w:rPr>
  </w:style>
  <w:style w:type="paragraph" w:styleId="ListBullet2">
    <w:name w:val="List Bullet 2"/>
    <w:basedOn w:val="Normal"/>
    <w:uiPriority w:val="99"/>
    <w:rsid w:val="009170BF"/>
    <w:pPr>
      <w:numPr>
        <w:numId w:val="11"/>
      </w:numPr>
      <w:tabs>
        <w:tab w:val="clear" w:pos="643"/>
        <w:tab w:val="num" w:pos="680"/>
      </w:tabs>
      <w:spacing w:before="120"/>
      <w:ind w:left="680" w:hanging="340"/>
    </w:pPr>
    <w:rPr>
      <w:rFonts w:ascii="Arial" w:eastAsia="Arial" w:hAnsi="Arial"/>
      <w:sz w:val="22"/>
      <w:szCs w:val="22"/>
    </w:rPr>
  </w:style>
  <w:style w:type="character" w:customStyle="1" w:styleId="Numbered1Char">
    <w:name w:val="Numbered 1 Char"/>
    <w:link w:val="Numbered1"/>
    <w:rsid w:val="009170BF"/>
    <w:rPr>
      <w:rFonts w:ascii="Arial" w:hAnsi="Arial"/>
      <w:b/>
      <w:bCs/>
      <w:sz w:val="24"/>
      <w:szCs w:val="28"/>
      <w:lang w:eastAsia="en-US"/>
    </w:rPr>
  </w:style>
  <w:style w:type="paragraph" w:customStyle="1" w:styleId="Default">
    <w:name w:val="Default"/>
    <w:rsid w:val="00AE3D9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8357F"/>
    <w:rPr>
      <w:color w:val="800080" w:themeColor="followedHyperlink"/>
      <w:u w:val="single"/>
    </w:rPr>
  </w:style>
  <w:style w:type="paragraph" w:styleId="NormalWeb">
    <w:name w:val="Normal (Web)"/>
    <w:basedOn w:val="Normal"/>
    <w:uiPriority w:val="99"/>
    <w:unhideWhenUsed/>
    <w:rsid w:val="00BC5E71"/>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398">
      <w:bodyDiv w:val="1"/>
      <w:marLeft w:val="0"/>
      <w:marRight w:val="0"/>
      <w:marTop w:val="0"/>
      <w:marBottom w:val="0"/>
      <w:divBdr>
        <w:top w:val="none" w:sz="0" w:space="0" w:color="auto"/>
        <w:left w:val="none" w:sz="0" w:space="0" w:color="auto"/>
        <w:bottom w:val="none" w:sz="0" w:space="0" w:color="auto"/>
        <w:right w:val="none" w:sz="0" w:space="0" w:color="auto"/>
      </w:divBdr>
    </w:div>
    <w:div w:id="216475132">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 w:id="1110707642">
      <w:bodyDiv w:val="1"/>
      <w:marLeft w:val="0"/>
      <w:marRight w:val="0"/>
      <w:marTop w:val="0"/>
      <w:marBottom w:val="0"/>
      <w:divBdr>
        <w:top w:val="none" w:sz="0" w:space="0" w:color="auto"/>
        <w:left w:val="none" w:sz="0" w:space="0" w:color="auto"/>
        <w:bottom w:val="none" w:sz="0" w:space="0" w:color="auto"/>
        <w:right w:val="none" w:sz="0" w:space="0" w:color="auto"/>
      </w:divBdr>
    </w:div>
    <w:div w:id="1219785508">
      <w:bodyDiv w:val="1"/>
      <w:marLeft w:val="0"/>
      <w:marRight w:val="0"/>
      <w:marTop w:val="0"/>
      <w:marBottom w:val="0"/>
      <w:divBdr>
        <w:top w:val="none" w:sz="0" w:space="0" w:color="auto"/>
        <w:left w:val="none" w:sz="0" w:space="0" w:color="auto"/>
        <w:bottom w:val="none" w:sz="0" w:space="0" w:color="auto"/>
        <w:right w:val="none" w:sz="0" w:space="0" w:color="auto"/>
      </w:divBdr>
    </w:div>
    <w:div w:id="1306203981">
      <w:bodyDiv w:val="1"/>
      <w:marLeft w:val="0"/>
      <w:marRight w:val="0"/>
      <w:marTop w:val="0"/>
      <w:marBottom w:val="0"/>
      <w:divBdr>
        <w:top w:val="none" w:sz="0" w:space="0" w:color="auto"/>
        <w:left w:val="none" w:sz="0" w:space="0" w:color="auto"/>
        <w:bottom w:val="none" w:sz="0" w:space="0" w:color="auto"/>
        <w:right w:val="none" w:sz="0" w:space="0" w:color="auto"/>
      </w:divBdr>
    </w:div>
    <w:div w:id="1819421768">
      <w:bodyDiv w:val="1"/>
      <w:marLeft w:val="0"/>
      <w:marRight w:val="0"/>
      <w:marTop w:val="0"/>
      <w:marBottom w:val="0"/>
      <w:divBdr>
        <w:top w:val="none" w:sz="0" w:space="0" w:color="auto"/>
        <w:left w:val="none" w:sz="0" w:space="0" w:color="auto"/>
        <w:bottom w:val="none" w:sz="0" w:space="0" w:color="auto"/>
        <w:right w:val="none" w:sz="0" w:space="0" w:color="auto"/>
      </w:divBdr>
      <w:divsChild>
        <w:div w:id="82799993">
          <w:marLeft w:val="0"/>
          <w:marRight w:val="0"/>
          <w:marTop w:val="0"/>
          <w:marBottom w:val="0"/>
          <w:divBdr>
            <w:top w:val="none" w:sz="0" w:space="0" w:color="auto"/>
            <w:left w:val="none" w:sz="0" w:space="0" w:color="auto"/>
            <w:bottom w:val="none" w:sz="0" w:space="0" w:color="auto"/>
            <w:right w:val="none" w:sz="0" w:space="0" w:color="auto"/>
          </w:divBdr>
          <w:divsChild>
            <w:div w:id="1292906186">
              <w:marLeft w:val="0"/>
              <w:marRight w:val="0"/>
              <w:marTop w:val="0"/>
              <w:marBottom w:val="0"/>
              <w:divBdr>
                <w:top w:val="none" w:sz="0" w:space="0" w:color="auto"/>
                <w:left w:val="none" w:sz="0" w:space="0" w:color="auto"/>
                <w:bottom w:val="none" w:sz="0" w:space="0" w:color="auto"/>
                <w:right w:val="none" w:sz="0" w:space="0" w:color="auto"/>
              </w:divBdr>
              <w:divsChild>
                <w:div w:id="1938948585">
                  <w:marLeft w:val="0"/>
                  <w:marRight w:val="0"/>
                  <w:marTop w:val="0"/>
                  <w:marBottom w:val="0"/>
                  <w:divBdr>
                    <w:top w:val="none" w:sz="0" w:space="0" w:color="auto"/>
                    <w:left w:val="none" w:sz="0" w:space="0" w:color="auto"/>
                    <w:bottom w:val="none" w:sz="0" w:space="0" w:color="auto"/>
                    <w:right w:val="none" w:sz="0" w:space="0" w:color="auto"/>
                  </w:divBdr>
                  <w:divsChild>
                    <w:div w:id="328169987">
                      <w:marLeft w:val="0"/>
                      <w:marRight w:val="0"/>
                      <w:marTop w:val="0"/>
                      <w:marBottom w:val="0"/>
                      <w:divBdr>
                        <w:top w:val="none" w:sz="0" w:space="0" w:color="auto"/>
                        <w:left w:val="none" w:sz="0" w:space="0" w:color="auto"/>
                        <w:bottom w:val="none" w:sz="0" w:space="0" w:color="auto"/>
                        <w:right w:val="none" w:sz="0" w:space="0" w:color="auto"/>
                      </w:divBdr>
                      <w:divsChild>
                        <w:div w:id="1205943818">
                          <w:marLeft w:val="0"/>
                          <w:marRight w:val="0"/>
                          <w:marTop w:val="0"/>
                          <w:marBottom w:val="0"/>
                          <w:divBdr>
                            <w:top w:val="none" w:sz="0" w:space="0" w:color="auto"/>
                            <w:left w:val="none" w:sz="0" w:space="0" w:color="auto"/>
                            <w:bottom w:val="none" w:sz="0" w:space="0" w:color="auto"/>
                            <w:right w:val="none" w:sz="0" w:space="0" w:color="auto"/>
                          </w:divBdr>
                          <w:divsChild>
                            <w:div w:id="21044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plesbacktoschool.com.au" TargetMode="External"/><Relationship Id="rId18" Type="http://schemas.openxmlformats.org/officeDocument/2006/relationships/hyperlink" Target="mailto:mergers@acc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aples.com.au" TargetMode="External"/><Relationship Id="rId17" Type="http://schemas.openxmlformats.org/officeDocument/2006/relationships/hyperlink" Target="http://registers.accc.gov.au/content/index.phtml/itemId/7509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fficemaxschool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lesadvantage.com.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ybusiness.officemax.com.au" TargetMode="External"/><Relationship Id="rId23" Type="http://schemas.openxmlformats.org/officeDocument/2006/relationships/header" Target="header3.xml"/><Relationship Id="rId10" Type="http://schemas.openxmlformats.org/officeDocument/2006/relationships/hyperlink" Target="https://www.accc.gov.au/publications/informal-merger-review-process-guidelines-201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rdermax.com.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australia-corp.lyreco.com/gbr/contact.html" TargetMode="External"/><Relationship Id="rId13" Type="http://schemas.openxmlformats.org/officeDocument/2006/relationships/hyperlink" Target="http://www.officechoice.com.au/about-us/" TargetMode="External"/><Relationship Id="rId18" Type="http://schemas.openxmlformats.org/officeDocument/2006/relationships/hyperlink" Target="http://registers.accc.gov.au/content/index.phtml/itemId/1188435/fromItemId/751043" TargetMode="External"/><Relationship Id="rId26" Type="http://schemas.openxmlformats.org/officeDocument/2006/relationships/hyperlink" Target="https://www.accc.gov.au/system/files/Merger%20guidelines.pdf" TargetMode="External"/><Relationship Id="rId3" Type="http://schemas.openxmlformats.org/officeDocument/2006/relationships/hyperlink" Target="http://www.cos.net.au/c/why-cos" TargetMode="External"/><Relationship Id="rId21" Type="http://schemas.openxmlformats.org/officeDocument/2006/relationships/hyperlink" Target="http://www.penfoldresearch.com.au/news-page/" TargetMode="External"/><Relationship Id="rId7" Type="http://schemas.openxmlformats.org/officeDocument/2006/relationships/hyperlink" Target="http://australia-corp.lyreco.com/gbr/international-coverage,925/lyreco-subsidiaries,1719.html" TargetMode="External"/><Relationship Id="rId12" Type="http://schemas.openxmlformats.org/officeDocument/2006/relationships/hyperlink" Target="https://www.officenational.com.au/shop/en/obb2cstore/about-us" TargetMode="External"/><Relationship Id="rId17" Type="http://schemas.openxmlformats.org/officeDocument/2006/relationships/hyperlink" Target="https://www.quickcorporate.com.au/qc/QUICK_CORPORATE_AUSTRALIA-About_Us.htm" TargetMode="External"/><Relationship Id="rId25" Type="http://schemas.openxmlformats.org/officeDocument/2006/relationships/hyperlink" Target="https://www.isoqsltd.com/about-us/" TargetMode="External"/><Relationship Id="rId2" Type="http://schemas.openxmlformats.org/officeDocument/2006/relationships/hyperlink" Target="http://www.platinumequity.com/news/1179/platinum-equity-to-acquire-officemax-business-in-australia-and-new-zealand-from-office-depot" TargetMode="External"/><Relationship Id="rId16" Type="http://schemas.openxmlformats.org/officeDocument/2006/relationships/hyperlink" Target="https://www.quickcorporate.com.au/qc/QUICK_CORPORATE_AUSTRALIA-About_Us.htm" TargetMode="External"/><Relationship Id="rId20" Type="http://schemas.openxmlformats.org/officeDocument/2006/relationships/hyperlink" Target="http://news.officedepot.com/press-release/corporatefinancial-news/office-depot-responds-district-courts-ruling-merger-staples" TargetMode="External"/><Relationship Id="rId1" Type="http://schemas.openxmlformats.org/officeDocument/2006/relationships/hyperlink" Target="http://www.platinumequity.com/company" TargetMode="External"/><Relationship Id="rId6" Type="http://schemas.openxmlformats.org/officeDocument/2006/relationships/hyperlink" Target="http://www.cosworkingspaces.com.au/" TargetMode="External"/><Relationship Id="rId11" Type="http://schemas.openxmlformats.org/officeDocument/2006/relationships/hyperlink" Target="https://www.officeworks.com.au/information/about-us/who-we-are" TargetMode="External"/><Relationship Id="rId24" Type="http://schemas.openxmlformats.org/officeDocument/2006/relationships/hyperlink" Target="http://www.afr.com/business/retail/amazon-breaks-silence-on-australian-retail-plans-20170419-gvnvlp" TargetMode="External"/><Relationship Id="rId5" Type="http://schemas.openxmlformats.org/officeDocument/2006/relationships/hyperlink" Target="http://www.cos.net.au/c/contact-us" TargetMode="External"/><Relationship Id="rId15" Type="http://schemas.openxmlformats.org/officeDocument/2006/relationships/hyperlink" Target="http://www.stationerynews.com.au/news/quick-corporate-australia-moves-to-office-choice" TargetMode="External"/><Relationship Id="rId23" Type="http://schemas.openxmlformats.org/officeDocument/2006/relationships/hyperlink" Target="http://www.afr.com/business/retail/officeworks-ramps-up-amazon-defences-20170615-gwrnz1" TargetMode="External"/><Relationship Id="rId10" Type="http://schemas.openxmlformats.org/officeDocument/2006/relationships/hyperlink" Target="https://www.officeworks.com.au/information/about-us/who-we-are" TargetMode="External"/><Relationship Id="rId19" Type="http://schemas.openxmlformats.org/officeDocument/2006/relationships/hyperlink" Target="http://staples.newshq.businesswire.com/press-release/corporate/staples-and-office-depot-terminate-merger-agreement" TargetMode="External"/><Relationship Id="rId4" Type="http://schemas.openxmlformats.org/officeDocument/2006/relationships/hyperlink" Target="http://www.cos.net.au/" TargetMode="External"/><Relationship Id="rId9" Type="http://schemas.openxmlformats.org/officeDocument/2006/relationships/hyperlink" Target="https://www.officeworks.com.au/information/about-us/who-we-are" TargetMode="External"/><Relationship Id="rId14" Type="http://schemas.openxmlformats.org/officeDocument/2006/relationships/hyperlink" Target="http://www.officechoice.com.au/about-us/" TargetMode="External"/><Relationship Id="rId22" Type="http://schemas.openxmlformats.org/officeDocument/2006/relationships/hyperlink" Target="http://www.penfoldresearch.com.au/wp-content/uploads/2017/03/Office_Products_in_Australia_2016-2018_REPORT_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F339-B5A0-41D9-A0FE-3045DBB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763A1B6E</Template>
  <TotalTime>0</TotalTime>
  <Pages>17</Pages>
  <Words>5753</Words>
  <Characters>33315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38991</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2017-08-23T11:21:00Z</dcterms:created>
  <dcterms:modified xsi:type="dcterms:W3CDTF">2017-08-23T11:22:00Z</dcterms:modified>
</cp:coreProperties>
</file>