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C87" w:rsidRPr="001D52AC" w:rsidRDefault="005B65E5" w:rsidP="00A10BE5">
      <w:pPr>
        <w:pStyle w:val="Heading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ustralian Competition &amp; Consumer Commission" style="width:190.95pt;height:45.7pt">
            <v:imagedata r:id="rId9" o:title="ACCC+GovtCrest_colour_web"/>
          </v:shape>
        </w:pict>
      </w:r>
    </w:p>
    <w:p w:rsidR="00AF1C87" w:rsidRPr="00EF2E41" w:rsidRDefault="00AF1C87" w:rsidP="00A53505">
      <w:pPr>
        <w:pStyle w:val="Heading1"/>
        <w:rPr>
          <w:sz w:val="32"/>
          <w:szCs w:val="32"/>
        </w:rPr>
      </w:pPr>
      <w:r w:rsidRPr="00EF2E41">
        <w:rPr>
          <w:sz w:val="32"/>
          <w:szCs w:val="32"/>
        </w:rPr>
        <w:t>Public Competition Assessment</w:t>
      </w:r>
    </w:p>
    <w:p w:rsidR="00AF1C87" w:rsidRDefault="005B65E5" w:rsidP="00A53505">
      <w:pPr>
        <w:pStyle w:val="Date1"/>
      </w:pPr>
      <w:r>
        <w:t>2</w:t>
      </w:r>
      <w:bookmarkStart w:id="0" w:name="_GoBack"/>
      <w:bookmarkEnd w:id="0"/>
      <w:r w:rsidR="0004137C">
        <w:t xml:space="preserve"> March</w:t>
      </w:r>
      <w:r w:rsidR="008F04A8" w:rsidRPr="005559F9">
        <w:t xml:space="preserve"> </w:t>
      </w:r>
      <w:r w:rsidR="00436723" w:rsidRPr="005559F9">
        <w:t>201</w:t>
      </w:r>
      <w:r w:rsidR="008F04A8" w:rsidRPr="005559F9">
        <w:t>6</w:t>
      </w:r>
    </w:p>
    <w:p w:rsidR="00AF1C87" w:rsidRDefault="00932813" w:rsidP="00A53505">
      <w:pPr>
        <w:pStyle w:val="Heading2"/>
      </w:pPr>
      <w:bookmarkStart w:id="1" w:name="Title"/>
      <w:bookmarkEnd w:id="1"/>
      <w:r>
        <w:t>Foxtel Management Pty</w:t>
      </w:r>
      <w:r w:rsidR="00405754">
        <w:t xml:space="preserve"> Ltd and Ten Network Holdings Lt</w:t>
      </w:r>
      <w:r>
        <w:t>d</w:t>
      </w:r>
      <w:r w:rsidR="00906C64">
        <w:t xml:space="preserve"> - proposed acquisition</w:t>
      </w:r>
      <w:r>
        <w:t>s</w:t>
      </w:r>
    </w:p>
    <w:p w:rsidR="00CE6AD8" w:rsidRDefault="00CE6AD8" w:rsidP="00CE6AD8">
      <w:pPr>
        <w:pStyle w:val="Heading3"/>
      </w:pPr>
      <w:r w:rsidRPr="002976DD">
        <w:t>The ACCC’s decision</w:t>
      </w:r>
    </w:p>
    <w:p w:rsidR="00E05DC1" w:rsidRDefault="00CE6AD8" w:rsidP="002916D6">
      <w:pPr>
        <w:pStyle w:val="NormalParagraph"/>
      </w:pPr>
      <w:r w:rsidRPr="00A53505">
        <w:t xml:space="preserve">On </w:t>
      </w:r>
      <w:r>
        <w:t xml:space="preserve">22 </w:t>
      </w:r>
      <w:r w:rsidRPr="0046680B">
        <w:t>October</w:t>
      </w:r>
      <w:r>
        <w:t xml:space="preserve"> 2015,</w:t>
      </w:r>
      <w:r w:rsidRPr="00A53505">
        <w:t xml:space="preserve"> the </w:t>
      </w:r>
      <w:r>
        <w:t>ACCC</w:t>
      </w:r>
      <w:r w:rsidRPr="00A53505">
        <w:t xml:space="preserve"> announced its </w:t>
      </w:r>
      <w:r w:rsidRPr="002B614D">
        <w:t xml:space="preserve">decision not to oppose </w:t>
      </w:r>
      <w:r w:rsidR="002F74FD">
        <w:t>certain</w:t>
      </w:r>
      <w:r>
        <w:t xml:space="preserve"> proposed acquisitions</w:t>
      </w:r>
      <w:r w:rsidR="002F74FD">
        <w:t xml:space="preserve"> </w:t>
      </w:r>
      <w:r>
        <w:t>by Foxtel Management Pty Ltd (</w:t>
      </w:r>
      <w:r>
        <w:rPr>
          <w:b/>
        </w:rPr>
        <w:t>Foxtel</w:t>
      </w:r>
      <w:r>
        <w:t>) and Ten Network Holdings Ltd (</w:t>
      </w:r>
      <w:r>
        <w:rPr>
          <w:b/>
        </w:rPr>
        <w:t>Ten</w:t>
      </w:r>
      <w:r>
        <w:t>)</w:t>
      </w:r>
      <w:r w:rsidRPr="002B614D">
        <w:t xml:space="preserve">. </w:t>
      </w:r>
    </w:p>
    <w:p w:rsidR="00E05DC1" w:rsidRPr="009A2D51" w:rsidRDefault="00E05DC1" w:rsidP="00E05DC1">
      <w:pPr>
        <w:pStyle w:val="NormalParagraph"/>
      </w:pPr>
      <w:r w:rsidRPr="009A2D51">
        <w:t>The proposed acquisitions by Foxtel and Ten comprise:</w:t>
      </w:r>
    </w:p>
    <w:p w:rsidR="00E05DC1" w:rsidRPr="001D4216" w:rsidRDefault="00E05DC1" w:rsidP="00E05DC1">
      <w:pPr>
        <w:pStyle w:val="ListParagraph"/>
        <w:tabs>
          <w:tab w:val="clear" w:pos="4188"/>
          <w:tab w:val="num" w:pos="993"/>
        </w:tabs>
        <w:ind w:left="992" w:hanging="425"/>
      </w:pPr>
      <w:r w:rsidRPr="001D4216">
        <w:t>Foxtel</w:t>
      </w:r>
      <w:r>
        <w:t>’s proposed acquisition of up to 15% of Ten</w:t>
      </w:r>
    </w:p>
    <w:p w:rsidR="00E05DC1" w:rsidRPr="001D4216" w:rsidRDefault="00E05DC1" w:rsidP="00E05DC1">
      <w:pPr>
        <w:pStyle w:val="ListParagraph"/>
        <w:tabs>
          <w:tab w:val="clear" w:pos="4188"/>
          <w:tab w:val="num" w:pos="993"/>
        </w:tabs>
        <w:ind w:left="992" w:hanging="425"/>
      </w:pPr>
      <w:r w:rsidRPr="001D4216">
        <w:t>Ten</w:t>
      </w:r>
      <w:r>
        <w:t>’s proposed acquisition of 24.99%</w:t>
      </w:r>
      <w:r w:rsidRPr="001D4216">
        <w:t xml:space="preserve"> in </w:t>
      </w:r>
      <w:r>
        <w:t>Multi Channel Network Pty Ltd (</w:t>
      </w:r>
      <w:r w:rsidRPr="00A10433">
        <w:rPr>
          <w:b/>
        </w:rPr>
        <w:t>MCN</w:t>
      </w:r>
      <w:r w:rsidRPr="00A10433">
        <w:t>)</w:t>
      </w:r>
    </w:p>
    <w:p w:rsidR="00E05DC1" w:rsidRPr="0071499C" w:rsidRDefault="00E05DC1" w:rsidP="00E05DC1">
      <w:pPr>
        <w:pStyle w:val="ListParagraph"/>
        <w:tabs>
          <w:tab w:val="clear" w:pos="4188"/>
          <w:tab w:val="num" w:pos="993"/>
        </w:tabs>
        <w:ind w:left="992" w:hanging="425"/>
      </w:pPr>
      <w:r>
        <w:t xml:space="preserve">The proposed granting of an option </w:t>
      </w:r>
      <w:r w:rsidRPr="001D4216">
        <w:t>to Ten by Presto</w:t>
      </w:r>
      <w:r>
        <w:t xml:space="preserve"> TV Pty Ltd (</w:t>
      </w:r>
      <w:r>
        <w:rPr>
          <w:b/>
        </w:rPr>
        <w:t>Presto</w:t>
      </w:r>
      <w:r>
        <w:t xml:space="preserve">) to acquire </w:t>
      </w:r>
      <w:r w:rsidRPr="001D4216">
        <w:t xml:space="preserve">10% </w:t>
      </w:r>
      <w:r>
        <w:t xml:space="preserve">of </w:t>
      </w:r>
      <w:r w:rsidRPr="001D4216">
        <w:t>Presto</w:t>
      </w:r>
      <w:r>
        <w:t>.</w:t>
      </w:r>
    </w:p>
    <w:p w:rsidR="00CE6AD8" w:rsidRDefault="00CE6AD8" w:rsidP="002916D6">
      <w:pPr>
        <w:pStyle w:val="NormalParagraph"/>
      </w:pPr>
      <w:r w:rsidRPr="002B614D">
        <w:t>The ACCC decided that the proposed acquisition</w:t>
      </w:r>
      <w:r>
        <w:t xml:space="preserve">s </w:t>
      </w:r>
      <w:r w:rsidRPr="002B614D">
        <w:t>would be unlikely to have the effect of substantially lessening competition in contravention of section 50</w:t>
      </w:r>
      <w:r>
        <w:t xml:space="preserve"> of the </w:t>
      </w:r>
      <w:r w:rsidRPr="00CE6AD8">
        <w:rPr>
          <w:i/>
        </w:rPr>
        <w:t>Competition and Consumer Act 2010</w:t>
      </w:r>
      <w:r>
        <w:t xml:space="preserve"> </w:t>
      </w:r>
      <w:r w:rsidRPr="00262EDA">
        <w:t xml:space="preserve">(the </w:t>
      </w:r>
      <w:r w:rsidRPr="00CE6AD8">
        <w:rPr>
          <w:b/>
        </w:rPr>
        <w:t>Act</w:t>
      </w:r>
      <w:r>
        <w:t>). Section 50 prohibits acquisitions that would have the effect, or be likely to have the effect, of substantially lessen</w:t>
      </w:r>
      <w:r w:rsidR="005559F9">
        <w:t>ing competition in any market.</w:t>
      </w:r>
    </w:p>
    <w:p w:rsidR="00CE6AD8" w:rsidRDefault="00CE6AD8" w:rsidP="00CE6AD8">
      <w:pPr>
        <w:pStyle w:val="NormalParagraph"/>
      </w:pPr>
      <w:r>
        <w:t>The ACCC considered the competitive effects of the proposed acquisitions in the following markets:</w:t>
      </w:r>
    </w:p>
    <w:p w:rsidR="001800F5" w:rsidRDefault="001800F5" w:rsidP="001800F5">
      <w:pPr>
        <w:pStyle w:val="ListParagraph"/>
        <w:tabs>
          <w:tab w:val="clear" w:pos="4188"/>
          <w:tab w:val="num" w:pos="993"/>
        </w:tabs>
        <w:ind w:left="992" w:hanging="425"/>
      </w:pPr>
      <w:r>
        <w:t xml:space="preserve">the national market(s) for the acquisition of television content (including possible markets, or sub-markets, for the acquisition of sports content and premium Australian original content) </w:t>
      </w:r>
    </w:p>
    <w:p w:rsidR="00CE6AD8" w:rsidRDefault="00CE6AD8" w:rsidP="00CE6AD8">
      <w:pPr>
        <w:pStyle w:val="ListParagraph"/>
        <w:tabs>
          <w:tab w:val="clear" w:pos="4188"/>
          <w:tab w:val="num" w:pos="993"/>
        </w:tabs>
        <w:ind w:left="992" w:hanging="425"/>
      </w:pPr>
      <w:r>
        <w:t>the national market for the supply of free-to-air (</w:t>
      </w:r>
      <w:r w:rsidRPr="001D4216">
        <w:t>FTA)</w:t>
      </w:r>
      <w:r w:rsidR="005559F9">
        <w:t xml:space="preserve"> television services</w:t>
      </w:r>
    </w:p>
    <w:p w:rsidR="00CE6AD8" w:rsidRDefault="00CE6AD8" w:rsidP="00CE6AD8">
      <w:pPr>
        <w:pStyle w:val="ListParagraph"/>
        <w:tabs>
          <w:tab w:val="clear" w:pos="4188"/>
          <w:tab w:val="num" w:pos="993"/>
        </w:tabs>
        <w:ind w:left="992" w:hanging="425"/>
      </w:pPr>
      <w:r>
        <w:t>the national market for the supply of subscription television (</w:t>
      </w:r>
      <w:r w:rsidRPr="001D4216">
        <w:t>STV</w:t>
      </w:r>
      <w:r>
        <w:t>) services</w:t>
      </w:r>
    </w:p>
    <w:p w:rsidR="00CE6AD8" w:rsidRDefault="00CE6AD8" w:rsidP="00CE6AD8">
      <w:pPr>
        <w:pStyle w:val="ListParagraph"/>
        <w:tabs>
          <w:tab w:val="clear" w:pos="4188"/>
          <w:tab w:val="num" w:pos="993"/>
        </w:tabs>
        <w:ind w:left="992" w:hanging="425"/>
      </w:pPr>
      <w:r>
        <w:t>a broader national market for the supply of television viewing services encompassing (at least) both FTA and STV services</w:t>
      </w:r>
    </w:p>
    <w:p w:rsidR="00CE6AD8" w:rsidRDefault="00CE6AD8" w:rsidP="00CE6AD8">
      <w:pPr>
        <w:pStyle w:val="ListParagraph"/>
        <w:tabs>
          <w:tab w:val="clear" w:pos="4188"/>
          <w:tab w:val="num" w:pos="993"/>
        </w:tabs>
        <w:ind w:left="992" w:hanging="425"/>
      </w:pPr>
      <w:r>
        <w:t>the national market for the supply of subscription video on demand (</w:t>
      </w:r>
      <w:r w:rsidRPr="001D4216">
        <w:t>SVOD</w:t>
      </w:r>
      <w:r>
        <w:t>) services</w:t>
      </w:r>
    </w:p>
    <w:p w:rsidR="00CE6AD8" w:rsidRDefault="00CE6AD8" w:rsidP="00CE6AD8">
      <w:pPr>
        <w:pStyle w:val="ListParagraph"/>
        <w:tabs>
          <w:tab w:val="clear" w:pos="4188"/>
          <w:tab w:val="num" w:pos="993"/>
        </w:tabs>
        <w:ind w:left="992" w:hanging="425"/>
      </w:pPr>
      <w:r>
        <w:t>the national market for the supply of television advertising services.</w:t>
      </w:r>
    </w:p>
    <w:p w:rsidR="00CE6AD8" w:rsidRDefault="00CE6AD8" w:rsidP="002916D6">
      <w:pPr>
        <w:pStyle w:val="NormalParagraph"/>
        <w:keepNext/>
      </w:pPr>
      <w:r>
        <w:lastRenderedPageBreak/>
        <w:t>The ACCC concluded that:</w:t>
      </w:r>
    </w:p>
    <w:p w:rsidR="00CE6AD8" w:rsidRDefault="00CE6AD8" w:rsidP="00CE6AD8">
      <w:pPr>
        <w:pStyle w:val="ListParagraph"/>
        <w:tabs>
          <w:tab w:val="clear" w:pos="4188"/>
          <w:tab w:val="num" w:pos="993"/>
        </w:tabs>
        <w:ind w:left="992" w:hanging="425"/>
      </w:pPr>
      <w:r>
        <w:t>Although t</w:t>
      </w:r>
      <w:r w:rsidRPr="00DF4EDC">
        <w:t xml:space="preserve">he </w:t>
      </w:r>
      <w:r>
        <w:t xml:space="preserve">proposed acquisitions will </w:t>
      </w:r>
      <w:r w:rsidRPr="00DF4EDC">
        <w:t xml:space="preserve">lead to a greater alignment of </w:t>
      </w:r>
      <w:r>
        <w:t xml:space="preserve">the interests of </w:t>
      </w:r>
      <w:r w:rsidRPr="00DF4EDC">
        <w:t>Foxtel</w:t>
      </w:r>
      <w:r>
        <w:t xml:space="preserve"> and Ten, and will</w:t>
      </w:r>
      <w:r w:rsidRPr="00DF4EDC">
        <w:t xml:space="preserve"> increase the degree of influence Foxtel has over </w:t>
      </w:r>
      <w:proofErr w:type="gramStart"/>
      <w:r w:rsidRPr="00DF4EDC">
        <w:t>Ten</w:t>
      </w:r>
      <w:proofErr w:type="gramEnd"/>
      <w:r>
        <w:t xml:space="preserve">, </w:t>
      </w:r>
      <w:r w:rsidRPr="00DF4EDC">
        <w:t>the proposed</w:t>
      </w:r>
      <w:r>
        <w:t xml:space="preserve"> acquisitions, on their own, are</w:t>
      </w:r>
      <w:r w:rsidRPr="00DF4EDC">
        <w:t xml:space="preserve"> unlikely to result in a substantial lessening of competition</w:t>
      </w:r>
      <w:r w:rsidR="005559F9">
        <w:t>.</w:t>
      </w:r>
    </w:p>
    <w:p w:rsidR="00AD5EE3" w:rsidRPr="00AD5EE3" w:rsidRDefault="00AD5EE3" w:rsidP="00AD5EE3">
      <w:pPr>
        <w:pStyle w:val="ListParagraph"/>
        <w:tabs>
          <w:tab w:val="clear" w:pos="4188"/>
          <w:tab w:val="num" w:pos="993"/>
        </w:tabs>
        <w:ind w:left="992" w:hanging="425"/>
      </w:pPr>
      <w:r w:rsidRPr="00AD5EE3">
        <w:t xml:space="preserve">The proposed acquisitions are minority shareholdings and there are limitations on the extent to which Foxtel will be able to influence </w:t>
      </w:r>
      <w:proofErr w:type="gramStart"/>
      <w:r w:rsidRPr="00AD5EE3">
        <w:t>Ten</w:t>
      </w:r>
      <w:proofErr w:type="gramEnd"/>
      <w:r w:rsidRPr="00AD5EE3">
        <w:t xml:space="preserve"> as a result of </w:t>
      </w:r>
      <w:r>
        <w:t xml:space="preserve">holding </w:t>
      </w:r>
      <w:r w:rsidRPr="00AD5EE3">
        <w:t xml:space="preserve">a 15% shareholding in Ten. </w:t>
      </w:r>
    </w:p>
    <w:p w:rsidR="00CE6AD8" w:rsidRDefault="00CE6AD8" w:rsidP="00CE6AD8">
      <w:pPr>
        <w:pStyle w:val="ListParagraph"/>
        <w:tabs>
          <w:tab w:val="clear" w:pos="4188"/>
          <w:tab w:val="num" w:pos="993"/>
        </w:tabs>
        <w:ind w:left="992" w:hanging="425"/>
      </w:pPr>
      <w:r>
        <w:t>T</w:t>
      </w:r>
      <w:r w:rsidRPr="002976DD">
        <w:t xml:space="preserve">he other </w:t>
      </w:r>
      <w:r>
        <w:t xml:space="preserve">FTA </w:t>
      </w:r>
      <w:r w:rsidRPr="002976DD">
        <w:t xml:space="preserve">networks, </w:t>
      </w:r>
      <w:r>
        <w:t xml:space="preserve">STV providers </w:t>
      </w:r>
      <w:r w:rsidRPr="002976DD">
        <w:t>an</w:t>
      </w:r>
      <w:r>
        <w:t>d streaming service providers (including SVOD providers) will</w:t>
      </w:r>
      <w:r w:rsidRPr="002976DD">
        <w:t xml:space="preserve"> continue to have sufficient alternatives to allow them to obtain content that is attractive to viewers</w:t>
      </w:r>
      <w:r>
        <w:t>.</w:t>
      </w:r>
    </w:p>
    <w:p w:rsidR="00CE6AD8" w:rsidRDefault="00CE6AD8" w:rsidP="00CE6AD8">
      <w:pPr>
        <w:pStyle w:val="ListParagraph"/>
        <w:tabs>
          <w:tab w:val="clear" w:pos="4188"/>
          <w:tab w:val="num" w:pos="993"/>
        </w:tabs>
        <w:ind w:left="992" w:hanging="425"/>
      </w:pPr>
      <w:r>
        <w:t>Foxtel and Ten will</w:t>
      </w:r>
      <w:r w:rsidRPr="002976DD">
        <w:t xml:space="preserve"> continue to face competition from the remaining </w:t>
      </w:r>
      <w:r w:rsidR="00200425">
        <w:t>FTA</w:t>
      </w:r>
      <w:r w:rsidRPr="002976DD">
        <w:t xml:space="preserve"> networks, and streaming services are also likely to become</w:t>
      </w:r>
      <w:r>
        <w:t xml:space="preserve"> an</w:t>
      </w:r>
      <w:r w:rsidRPr="002976DD">
        <w:t xml:space="preserve"> increasingly</w:t>
      </w:r>
      <w:r>
        <w:t xml:space="preserve"> competitive alternative for viewers, including for access to</w:t>
      </w:r>
      <w:r w:rsidRPr="002976DD">
        <w:t xml:space="preserve"> sports </w:t>
      </w:r>
      <w:r>
        <w:t>content.</w:t>
      </w:r>
    </w:p>
    <w:p w:rsidR="00CE6AD8" w:rsidRDefault="00CE6AD8" w:rsidP="00CE6AD8">
      <w:pPr>
        <w:pStyle w:val="ListParagraph"/>
        <w:tabs>
          <w:tab w:val="clear" w:pos="4188"/>
          <w:tab w:val="num" w:pos="993"/>
        </w:tabs>
        <w:ind w:left="993" w:hanging="426"/>
      </w:pPr>
      <w:r>
        <w:t xml:space="preserve">Advertisers will continue to have alternatives to Foxtel and Ten for television advertising in the event that </w:t>
      </w:r>
      <w:r w:rsidR="00200425">
        <w:t>M</w:t>
      </w:r>
      <w:r w:rsidR="00E05DC1">
        <w:t xml:space="preserve">CN </w:t>
      </w:r>
      <w:r>
        <w:t>attempted to increase advertising rates or engage in anticompetitive bundl</w:t>
      </w:r>
      <w:r w:rsidR="005559F9">
        <w:t>ing practices post-acquisition.</w:t>
      </w:r>
    </w:p>
    <w:p w:rsidR="001273BC" w:rsidRDefault="001273BC" w:rsidP="001273BC">
      <w:pPr>
        <w:pStyle w:val="NormalParagraph"/>
      </w:pPr>
      <w:r>
        <w:t xml:space="preserve">As the proposed acquisitions </w:t>
      </w:r>
      <w:r w:rsidRPr="007B7BB1">
        <w:t>raise important issues</w:t>
      </w:r>
      <w:r>
        <w:t>, the ACCC is issuing this</w:t>
      </w:r>
      <w:r w:rsidRPr="007B7BB1">
        <w:t xml:space="preserve"> </w:t>
      </w:r>
      <w:r>
        <w:t>P</w:t>
      </w:r>
      <w:r w:rsidRPr="007B7BB1">
        <w:t xml:space="preserve">ublic </w:t>
      </w:r>
      <w:r>
        <w:t>Competition Assessment to outline reasons for its decision.</w:t>
      </w:r>
    </w:p>
    <w:p w:rsidR="00D75C28" w:rsidRDefault="00D75C28" w:rsidP="00D75C28">
      <w:pPr>
        <w:pStyle w:val="NormalParagraph"/>
      </w:pPr>
      <w:r>
        <w:t>Please note that this and other public competition assessments are subject to the following qualifications:</w:t>
      </w:r>
    </w:p>
    <w:p w:rsidR="00D75C28" w:rsidRDefault="00D75C28" w:rsidP="00D75C28">
      <w:pPr>
        <w:pStyle w:val="NormalParagraph"/>
        <w:numPr>
          <w:ilvl w:val="0"/>
          <w:numId w:val="35"/>
        </w:numPr>
      </w:pPr>
      <w:r>
        <w:t xml:space="preserve"> the ACCC considers each transaction on a case-by-case basis and so the analysis and decision</w:t>
      </w:r>
      <w:r w:rsidRPr="007B7BB1">
        <w:t xml:space="preserve"> outlined in one assessment will not necessarily reflect the ACCC’</w:t>
      </w:r>
      <w:r>
        <w:t xml:space="preserve">s view of another transaction even where that other transaction may involve </w:t>
      </w:r>
      <w:r w:rsidRPr="007B7BB1">
        <w:t xml:space="preserve">the same or </w:t>
      </w:r>
      <w:r>
        <w:t>a related market; and</w:t>
      </w:r>
    </w:p>
    <w:p w:rsidR="00CE6AD8" w:rsidRDefault="00D75C28" w:rsidP="002916D6">
      <w:pPr>
        <w:pStyle w:val="NormalParagraph"/>
        <w:numPr>
          <w:ilvl w:val="0"/>
          <w:numId w:val="35"/>
        </w:numPr>
      </w:pPr>
      <w:r>
        <w:t>as assessments are brief and also do not refer to confidential information provided by the merger parties or other market participants, assessments do not set out all of the issues and information considered by the ACCC, nor all of the an</w:t>
      </w:r>
      <w:r w:rsidR="005559F9">
        <w:t>alysis and reasons of the ACCC.</w:t>
      </w:r>
    </w:p>
    <w:p w:rsidR="004B0392" w:rsidRDefault="004B0392" w:rsidP="001273BC">
      <w:pPr>
        <w:pStyle w:val="Heading3"/>
      </w:pPr>
      <w:bookmarkStart w:id="2" w:name="Target3"/>
      <w:bookmarkEnd w:id="2"/>
      <w:r>
        <w:lastRenderedPageBreak/>
        <w:t>Review timeline</w:t>
      </w:r>
    </w:p>
    <w:p w:rsidR="004B0392" w:rsidRPr="005E537F" w:rsidRDefault="004B0392" w:rsidP="001273BC">
      <w:pPr>
        <w:pStyle w:val="NormalParagraph"/>
        <w:keepNext/>
      </w:pPr>
      <w:r>
        <w:t>The following table outlines the timeline of key events in this matter.</w:t>
      </w:r>
    </w:p>
    <w:tbl>
      <w:tblPr>
        <w:tblStyle w:val="TableGrid"/>
        <w:tblW w:w="0" w:type="auto"/>
        <w:tblInd w:w="35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04"/>
        <w:gridCol w:w="5361"/>
      </w:tblGrid>
      <w:tr w:rsidR="004B0392" w:rsidRPr="00662952" w:rsidTr="002819D8">
        <w:tc>
          <w:tcPr>
            <w:tcW w:w="2804" w:type="dxa"/>
          </w:tcPr>
          <w:p w:rsidR="004B0392" w:rsidRPr="00E018FA" w:rsidRDefault="004B0392" w:rsidP="00F21075">
            <w:pPr>
              <w:pStyle w:val="Numberedlist"/>
              <w:keepNext/>
              <w:ind w:left="0" w:firstLine="0"/>
              <w:rPr>
                <w:rFonts w:cs="Arial"/>
                <w:b/>
                <w:color w:val="auto"/>
                <w:sz w:val="20"/>
              </w:rPr>
            </w:pPr>
            <w:r w:rsidRPr="00E018FA">
              <w:rPr>
                <w:rFonts w:cs="Arial"/>
                <w:b/>
                <w:color w:val="auto"/>
                <w:sz w:val="20"/>
              </w:rPr>
              <w:t>Date</w:t>
            </w:r>
          </w:p>
        </w:tc>
        <w:tc>
          <w:tcPr>
            <w:tcW w:w="5361" w:type="dxa"/>
          </w:tcPr>
          <w:p w:rsidR="004B0392" w:rsidRPr="00E018FA" w:rsidRDefault="004B0392" w:rsidP="00F21075">
            <w:pPr>
              <w:pStyle w:val="Numberedlist"/>
              <w:keepNext/>
              <w:ind w:left="0" w:firstLine="0"/>
              <w:rPr>
                <w:rFonts w:cs="Arial"/>
                <w:b/>
                <w:color w:val="auto"/>
                <w:sz w:val="20"/>
              </w:rPr>
            </w:pPr>
            <w:r w:rsidRPr="00E018FA">
              <w:rPr>
                <w:rFonts w:cs="Arial"/>
                <w:b/>
                <w:color w:val="auto"/>
                <w:sz w:val="20"/>
              </w:rPr>
              <w:t>Event</w:t>
            </w:r>
          </w:p>
        </w:tc>
      </w:tr>
      <w:tr w:rsidR="004B0392" w:rsidRPr="00662952" w:rsidTr="002819D8">
        <w:tc>
          <w:tcPr>
            <w:tcW w:w="2804" w:type="dxa"/>
          </w:tcPr>
          <w:p w:rsidR="004B0392" w:rsidRPr="00E018FA" w:rsidRDefault="004B0392" w:rsidP="00F21075">
            <w:pPr>
              <w:pStyle w:val="Numberedlist"/>
              <w:keepNext/>
              <w:ind w:left="0" w:firstLine="0"/>
              <w:rPr>
                <w:rFonts w:cs="Arial"/>
                <w:b/>
                <w:color w:val="auto"/>
                <w:sz w:val="20"/>
              </w:rPr>
            </w:pPr>
            <w:r w:rsidRPr="00E018FA">
              <w:rPr>
                <w:rFonts w:cs="Arial"/>
                <w:b/>
                <w:color w:val="auto"/>
                <w:sz w:val="20"/>
              </w:rPr>
              <w:t>25 June 2015</w:t>
            </w:r>
          </w:p>
        </w:tc>
        <w:tc>
          <w:tcPr>
            <w:tcW w:w="5361" w:type="dxa"/>
          </w:tcPr>
          <w:p w:rsidR="004B0392" w:rsidRPr="00E018FA" w:rsidRDefault="004B0392" w:rsidP="00F21075">
            <w:pPr>
              <w:pStyle w:val="Numberedlist"/>
              <w:keepNext/>
              <w:ind w:left="0" w:firstLine="0"/>
              <w:rPr>
                <w:rFonts w:cs="Arial"/>
                <w:color w:val="auto"/>
                <w:sz w:val="20"/>
              </w:rPr>
            </w:pPr>
            <w:r w:rsidRPr="00E018FA">
              <w:rPr>
                <w:rFonts w:cs="Arial"/>
                <w:color w:val="auto"/>
                <w:sz w:val="20"/>
              </w:rPr>
              <w:t>ACCC commenced review under the Merger Process Guidelines.</w:t>
            </w:r>
          </w:p>
        </w:tc>
      </w:tr>
      <w:tr w:rsidR="004B0392" w:rsidRPr="00662952" w:rsidTr="002819D8">
        <w:tc>
          <w:tcPr>
            <w:tcW w:w="2804" w:type="dxa"/>
          </w:tcPr>
          <w:p w:rsidR="004B0392" w:rsidRPr="00E018FA" w:rsidRDefault="004B0392" w:rsidP="00F21075">
            <w:pPr>
              <w:pStyle w:val="Numberedlist"/>
              <w:keepNext/>
              <w:ind w:left="0" w:firstLine="0"/>
              <w:rPr>
                <w:rFonts w:cs="Arial"/>
                <w:b/>
                <w:color w:val="auto"/>
                <w:sz w:val="20"/>
              </w:rPr>
            </w:pPr>
            <w:r>
              <w:rPr>
                <w:rFonts w:cs="Arial"/>
                <w:b/>
                <w:color w:val="auto"/>
                <w:sz w:val="20"/>
              </w:rPr>
              <w:t>24 July 2015</w:t>
            </w:r>
          </w:p>
        </w:tc>
        <w:tc>
          <w:tcPr>
            <w:tcW w:w="5361" w:type="dxa"/>
          </w:tcPr>
          <w:p w:rsidR="004B0392" w:rsidRPr="00E018FA" w:rsidRDefault="004B0392" w:rsidP="00F21075">
            <w:pPr>
              <w:pStyle w:val="Numberedlist"/>
              <w:keepNext/>
              <w:ind w:left="0" w:firstLine="0"/>
              <w:rPr>
                <w:rFonts w:cs="Arial"/>
                <w:color w:val="auto"/>
                <w:sz w:val="20"/>
                <w:szCs w:val="21"/>
              </w:rPr>
            </w:pPr>
            <w:r>
              <w:rPr>
                <w:rFonts w:cs="Arial"/>
                <w:color w:val="auto"/>
                <w:sz w:val="20"/>
                <w:szCs w:val="21"/>
              </w:rPr>
              <w:t>Closing date for submissions from interested parties.</w:t>
            </w:r>
          </w:p>
        </w:tc>
      </w:tr>
      <w:tr w:rsidR="00C041FC" w:rsidRPr="00662952" w:rsidTr="002819D8">
        <w:tc>
          <w:tcPr>
            <w:tcW w:w="2804" w:type="dxa"/>
          </w:tcPr>
          <w:p w:rsidR="00C041FC" w:rsidRDefault="00C041FC" w:rsidP="00F21075">
            <w:pPr>
              <w:pStyle w:val="Numberedlist"/>
              <w:keepNext/>
              <w:ind w:left="0" w:firstLine="0"/>
              <w:rPr>
                <w:rFonts w:cs="Arial"/>
                <w:b/>
                <w:color w:val="auto"/>
                <w:sz w:val="20"/>
              </w:rPr>
            </w:pPr>
            <w:r>
              <w:rPr>
                <w:rFonts w:cs="Arial"/>
                <w:b/>
                <w:color w:val="auto"/>
                <w:sz w:val="20"/>
              </w:rPr>
              <w:t>19 August 2015</w:t>
            </w:r>
          </w:p>
        </w:tc>
        <w:tc>
          <w:tcPr>
            <w:tcW w:w="5361" w:type="dxa"/>
          </w:tcPr>
          <w:p w:rsidR="00C041FC" w:rsidRDefault="00C041FC" w:rsidP="00F21075">
            <w:pPr>
              <w:pStyle w:val="Numberedlist"/>
              <w:keepNext/>
              <w:ind w:left="0" w:firstLine="0"/>
              <w:rPr>
                <w:rFonts w:cs="Arial"/>
                <w:color w:val="auto"/>
                <w:sz w:val="20"/>
                <w:szCs w:val="21"/>
              </w:rPr>
            </w:pPr>
            <w:r w:rsidRPr="00C041FC">
              <w:rPr>
                <w:rFonts w:cs="Arial"/>
                <w:color w:val="auto"/>
                <w:sz w:val="20"/>
                <w:szCs w:val="21"/>
              </w:rPr>
              <w:t>ACCC requested further information from the merger parties.</w:t>
            </w:r>
          </w:p>
        </w:tc>
      </w:tr>
      <w:tr w:rsidR="00C041FC" w:rsidRPr="00662952" w:rsidTr="002819D8">
        <w:tc>
          <w:tcPr>
            <w:tcW w:w="2804" w:type="dxa"/>
          </w:tcPr>
          <w:p w:rsidR="00C041FC" w:rsidRDefault="00C041FC" w:rsidP="00F21075">
            <w:pPr>
              <w:pStyle w:val="Numberedlist"/>
              <w:keepNext/>
              <w:ind w:left="0" w:firstLine="0"/>
              <w:rPr>
                <w:rFonts w:cs="Arial"/>
                <w:b/>
                <w:color w:val="auto"/>
                <w:sz w:val="20"/>
              </w:rPr>
            </w:pPr>
            <w:r>
              <w:rPr>
                <w:rFonts w:cs="Arial"/>
                <w:b/>
                <w:color w:val="auto"/>
                <w:sz w:val="20"/>
              </w:rPr>
              <w:t>3 September 2015</w:t>
            </w:r>
          </w:p>
        </w:tc>
        <w:tc>
          <w:tcPr>
            <w:tcW w:w="5361" w:type="dxa"/>
          </w:tcPr>
          <w:p w:rsidR="00C041FC" w:rsidRPr="00C041FC" w:rsidRDefault="00C041FC" w:rsidP="00F21075">
            <w:pPr>
              <w:pStyle w:val="Numberedlist"/>
              <w:keepNext/>
              <w:ind w:left="0" w:firstLine="0"/>
              <w:rPr>
                <w:rFonts w:cs="Arial"/>
                <w:color w:val="auto"/>
                <w:sz w:val="20"/>
                <w:szCs w:val="21"/>
              </w:rPr>
            </w:pPr>
            <w:r w:rsidRPr="00C041FC">
              <w:rPr>
                <w:rFonts w:cs="Arial"/>
                <w:color w:val="auto"/>
                <w:sz w:val="20"/>
                <w:szCs w:val="21"/>
              </w:rPr>
              <w:t>ACCC received further information from the merger parties.</w:t>
            </w:r>
          </w:p>
        </w:tc>
      </w:tr>
      <w:tr w:rsidR="004B0392" w:rsidRPr="00662952" w:rsidTr="002819D8">
        <w:tc>
          <w:tcPr>
            <w:tcW w:w="2804" w:type="dxa"/>
          </w:tcPr>
          <w:p w:rsidR="004B0392" w:rsidRPr="00E018FA" w:rsidRDefault="004B0392" w:rsidP="00F21075">
            <w:pPr>
              <w:pStyle w:val="Numberedlist"/>
              <w:keepNext/>
              <w:ind w:left="0" w:firstLine="0"/>
              <w:rPr>
                <w:rFonts w:cs="Arial"/>
                <w:b/>
                <w:color w:val="auto"/>
                <w:sz w:val="20"/>
              </w:rPr>
            </w:pPr>
            <w:r w:rsidRPr="00E018FA">
              <w:rPr>
                <w:rFonts w:cs="Arial"/>
                <w:b/>
                <w:color w:val="auto"/>
                <w:sz w:val="20"/>
              </w:rPr>
              <w:t>9 September 2015</w:t>
            </w:r>
          </w:p>
        </w:tc>
        <w:tc>
          <w:tcPr>
            <w:tcW w:w="5361" w:type="dxa"/>
          </w:tcPr>
          <w:p w:rsidR="004B0392" w:rsidRPr="00E018FA" w:rsidRDefault="004B0392" w:rsidP="00F21075">
            <w:pPr>
              <w:pStyle w:val="Numberedlist"/>
              <w:keepNext/>
              <w:ind w:left="0" w:firstLine="0"/>
              <w:rPr>
                <w:rFonts w:cs="Arial"/>
                <w:color w:val="auto"/>
                <w:sz w:val="20"/>
              </w:rPr>
            </w:pPr>
            <w:r w:rsidRPr="00E018FA">
              <w:rPr>
                <w:rFonts w:cs="Arial"/>
                <w:color w:val="auto"/>
                <w:sz w:val="20"/>
                <w:szCs w:val="21"/>
              </w:rPr>
              <w:t>Former proposed decision date of 10 September 2015 delayed by ACCC to allow additional time to consider the proposed acquisitions.</w:t>
            </w:r>
          </w:p>
        </w:tc>
      </w:tr>
      <w:tr w:rsidR="004B0392" w:rsidRPr="00662952" w:rsidTr="002819D8">
        <w:tc>
          <w:tcPr>
            <w:tcW w:w="2804" w:type="dxa"/>
          </w:tcPr>
          <w:p w:rsidR="004B0392" w:rsidRPr="00E018FA" w:rsidRDefault="004B0392" w:rsidP="00F21075">
            <w:pPr>
              <w:pStyle w:val="Numberedlist"/>
              <w:keepNext/>
              <w:ind w:left="0" w:firstLine="0"/>
              <w:rPr>
                <w:rFonts w:cs="Arial"/>
                <w:b/>
                <w:color w:val="auto"/>
                <w:sz w:val="20"/>
              </w:rPr>
            </w:pPr>
            <w:r w:rsidRPr="00E018FA">
              <w:rPr>
                <w:rFonts w:cs="Arial"/>
                <w:b/>
                <w:color w:val="auto"/>
                <w:sz w:val="20"/>
              </w:rPr>
              <w:t>14 September 2015</w:t>
            </w:r>
          </w:p>
        </w:tc>
        <w:tc>
          <w:tcPr>
            <w:tcW w:w="5361" w:type="dxa"/>
          </w:tcPr>
          <w:p w:rsidR="004B0392" w:rsidRPr="00E018FA" w:rsidRDefault="004B0392" w:rsidP="00F21075">
            <w:pPr>
              <w:pStyle w:val="Numberedlist"/>
              <w:keepNext/>
              <w:ind w:left="0" w:firstLine="0"/>
              <w:rPr>
                <w:rFonts w:cs="Arial"/>
                <w:color w:val="auto"/>
                <w:sz w:val="20"/>
              </w:rPr>
            </w:pPr>
            <w:r w:rsidRPr="00E018FA">
              <w:rPr>
                <w:rFonts w:cs="Arial"/>
                <w:color w:val="auto"/>
                <w:sz w:val="20"/>
              </w:rPr>
              <w:t>ACCC published a Statement of Issues outlining preliminary competition concerns.</w:t>
            </w:r>
          </w:p>
        </w:tc>
      </w:tr>
      <w:tr w:rsidR="004B0392" w:rsidRPr="00662952" w:rsidTr="002819D8">
        <w:tc>
          <w:tcPr>
            <w:tcW w:w="2804" w:type="dxa"/>
          </w:tcPr>
          <w:p w:rsidR="004B0392" w:rsidRPr="00E018FA" w:rsidRDefault="004B0392" w:rsidP="00F21075">
            <w:pPr>
              <w:pStyle w:val="Numberedlist"/>
              <w:keepNext/>
              <w:ind w:left="0" w:firstLine="0"/>
              <w:rPr>
                <w:rFonts w:cs="Arial"/>
                <w:b/>
                <w:color w:val="auto"/>
                <w:sz w:val="20"/>
              </w:rPr>
            </w:pPr>
            <w:r w:rsidRPr="00E018FA">
              <w:rPr>
                <w:rFonts w:cs="Arial"/>
                <w:b/>
                <w:color w:val="auto"/>
                <w:sz w:val="20"/>
              </w:rPr>
              <w:t>28 September 2015</w:t>
            </w:r>
          </w:p>
        </w:tc>
        <w:tc>
          <w:tcPr>
            <w:tcW w:w="5361" w:type="dxa"/>
          </w:tcPr>
          <w:p w:rsidR="004B0392" w:rsidRPr="00E018FA" w:rsidRDefault="004B0392" w:rsidP="00F21075">
            <w:pPr>
              <w:pStyle w:val="Numberedlist"/>
              <w:keepNext/>
              <w:ind w:left="0" w:firstLine="0"/>
              <w:rPr>
                <w:rFonts w:cs="Arial"/>
                <w:color w:val="auto"/>
                <w:sz w:val="20"/>
              </w:rPr>
            </w:pPr>
            <w:r w:rsidRPr="00E018FA">
              <w:rPr>
                <w:rFonts w:cs="Arial"/>
                <w:color w:val="auto"/>
                <w:sz w:val="20"/>
              </w:rPr>
              <w:t>Closing date for submissions relating to Statement of Issues.</w:t>
            </w:r>
          </w:p>
        </w:tc>
      </w:tr>
      <w:tr w:rsidR="004B0392" w:rsidRPr="00662952" w:rsidTr="002819D8">
        <w:tc>
          <w:tcPr>
            <w:tcW w:w="2804" w:type="dxa"/>
          </w:tcPr>
          <w:p w:rsidR="004B0392" w:rsidRPr="00E018FA" w:rsidRDefault="004B0392" w:rsidP="00F21075">
            <w:pPr>
              <w:pStyle w:val="Numberedlist"/>
              <w:ind w:left="0" w:firstLine="0"/>
              <w:rPr>
                <w:rFonts w:cs="Arial"/>
                <w:b/>
                <w:color w:val="auto"/>
                <w:sz w:val="20"/>
              </w:rPr>
            </w:pPr>
            <w:r w:rsidRPr="00E018FA">
              <w:rPr>
                <w:rFonts w:cs="Arial"/>
                <w:b/>
                <w:color w:val="auto"/>
                <w:sz w:val="20"/>
              </w:rPr>
              <w:t>22 October 2015</w:t>
            </w:r>
          </w:p>
        </w:tc>
        <w:tc>
          <w:tcPr>
            <w:tcW w:w="5361" w:type="dxa"/>
          </w:tcPr>
          <w:p w:rsidR="004B0392" w:rsidRPr="00E018FA" w:rsidRDefault="004B0392" w:rsidP="00F21075">
            <w:pPr>
              <w:pStyle w:val="Numberedlist"/>
              <w:ind w:left="0" w:firstLine="0"/>
              <w:rPr>
                <w:rFonts w:cs="Arial"/>
                <w:color w:val="auto"/>
                <w:sz w:val="20"/>
              </w:rPr>
            </w:pPr>
            <w:r w:rsidRPr="00E018FA">
              <w:rPr>
                <w:rFonts w:cs="Arial"/>
                <w:color w:val="auto"/>
                <w:sz w:val="20"/>
              </w:rPr>
              <w:t>ACCC announced it would not oppose the proposed acquisitions.</w:t>
            </w:r>
          </w:p>
        </w:tc>
      </w:tr>
    </w:tbl>
    <w:p w:rsidR="00B8797A" w:rsidRDefault="00A96C61" w:rsidP="00A10433">
      <w:pPr>
        <w:pStyle w:val="NormalParagraph"/>
        <w:spacing w:before="240"/>
      </w:pPr>
      <w:r w:rsidRPr="00A96C61">
        <w:t>The total elapsed time from st</w:t>
      </w:r>
      <w:r>
        <w:t>art to finish was approximately four</w:t>
      </w:r>
      <w:r w:rsidRPr="00A96C61">
        <w:t xml:space="preserve"> months. </w:t>
      </w:r>
      <w:r w:rsidR="001C190E">
        <w:t>T</w:t>
      </w:r>
      <w:r w:rsidRPr="00A96C61">
        <w:t>he total period net of time taken by the parties to submit</w:t>
      </w:r>
      <w:r>
        <w:t xml:space="preserve"> information or documents was </w:t>
      </w:r>
      <w:r w:rsidR="00AA3DD6">
        <w:t>74</w:t>
      </w:r>
      <w:r w:rsidRPr="00A96C61">
        <w:t xml:space="preserve"> business days</w:t>
      </w:r>
      <w:r w:rsidR="00B8797A">
        <w:t>.</w:t>
      </w:r>
    </w:p>
    <w:p w:rsidR="00C041FC" w:rsidRDefault="00C041FC" w:rsidP="00B8797A">
      <w:pPr>
        <w:pStyle w:val="Heading3"/>
      </w:pPr>
      <w:r>
        <w:t xml:space="preserve">Market </w:t>
      </w:r>
      <w:r w:rsidRPr="00F80A7E">
        <w:t>inquiries</w:t>
      </w:r>
    </w:p>
    <w:p w:rsidR="00C041FC" w:rsidRDefault="00C041FC" w:rsidP="00C041FC">
      <w:pPr>
        <w:pStyle w:val="NormalParagraph"/>
      </w:pPr>
      <w:r>
        <w:t>Submissions were received from, and market inquiries were conducted with, a wide</w:t>
      </w:r>
      <w:r w:rsidRPr="002B614D">
        <w:t xml:space="preserve"> range of industry participants, including competitors, potential competitors,</w:t>
      </w:r>
      <w:r>
        <w:t xml:space="preserve"> advertising agencies, audio-visual content producers</w:t>
      </w:r>
      <w:r w:rsidRPr="002B614D">
        <w:t>, other regulatory agencies and other interested parties</w:t>
      </w:r>
      <w:r>
        <w:t xml:space="preserve"> during the course of the investigation</w:t>
      </w:r>
      <w:r w:rsidR="005559F9">
        <w:t>.</w:t>
      </w:r>
    </w:p>
    <w:p w:rsidR="00395E04" w:rsidRPr="00736B68" w:rsidRDefault="00395E04" w:rsidP="00395E04">
      <w:pPr>
        <w:pStyle w:val="Heading3"/>
      </w:pPr>
      <w:r w:rsidRPr="00736B68">
        <w:t>Statement of Issues</w:t>
      </w:r>
    </w:p>
    <w:p w:rsidR="00395E04" w:rsidRDefault="00395E04" w:rsidP="00395E04">
      <w:pPr>
        <w:pStyle w:val="NormalParagraph"/>
      </w:pPr>
      <w:r w:rsidRPr="00736B68">
        <w:t xml:space="preserve">The ACCC published a Statement of </w:t>
      </w:r>
      <w:r w:rsidRPr="00736B68">
        <w:rPr>
          <w:szCs w:val="24"/>
        </w:rPr>
        <w:t xml:space="preserve">Issues on </w:t>
      </w:r>
      <w:r>
        <w:rPr>
          <w:szCs w:val="24"/>
        </w:rPr>
        <w:t>14 September 2015</w:t>
      </w:r>
      <w:r w:rsidRPr="00736B68">
        <w:rPr>
          <w:szCs w:val="24"/>
        </w:rPr>
        <w:t>.</w:t>
      </w:r>
      <w:r w:rsidRPr="00736B68">
        <w:t xml:space="preserve"> In the Statement of </w:t>
      </w:r>
      <w:r w:rsidRPr="00736B68">
        <w:rPr>
          <w:szCs w:val="24"/>
        </w:rPr>
        <w:t>Issues</w:t>
      </w:r>
      <w:r>
        <w:rPr>
          <w:szCs w:val="24"/>
        </w:rPr>
        <w:t>,</w:t>
      </w:r>
      <w:r w:rsidRPr="00736B68">
        <w:rPr>
          <w:szCs w:val="24"/>
        </w:rPr>
        <w:t xml:space="preserve"> </w:t>
      </w:r>
      <w:r w:rsidRPr="00736B68">
        <w:t xml:space="preserve">the ACCC expressed the preliminary view that the </w:t>
      </w:r>
      <w:r>
        <w:t xml:space="preserve">proposed </w:t>
      </w:r>
      <w:r w:rsidRPr="00736B68">
        <w:t xml:space="preserve">acquisition </w:t>
      </w:r>
      <w:r>
        <w:rPr>
          <w:lang w:val="en"/>
        </w:rPr>
        <w:t>had</w:t>
      </w:r>
      <w:r w:rsidRPr="00395E04">
        <w:rPr>
          <w:lang w:val="en"/>
        </w:rPr>
        <w:t xml:space="preserve"> the potential to substantially lessen competition for the supply of </w:t>
      </w:r>
      <w:r w:rsidR="001273BC">
        <w:rPr>
          <w:lang w:val="en"/>
        </w:rPr>
        <w:t>FTA</w:t>
      </w:r>
      <w:r w:rsidRPr="00395E04">
        <w:rPr>
          <w:lang w:val="en"/>
        </w:rPr>
        <w:t xml:space="preserve"> television services in Australia, particularly in the broadcasting of sports content</w:t>
      </w:r>
      <w:r w:rsidR="009F6AA7">
        <w:rPr>
          <w:lang w:val="en"/>
        </w:rPr>
        <w:t>, and reduce or even eliminate competition between Foxtel and Ten for the supply of advertising services.</w:t>
      </w:r>
    </w:p>
    <w:p w:rsidR="00395E04" w:rsidRDefault="00395E04" w:rsidP="009F6AA7">
      <w:pPr>
        <w:pStyle w:val="NormalParagraph"/>
      </w:pPr>
      <w:r w:rsidRPr="00736B68">
        <w:t>The ACCC also expressed the preliminary view that the proposed acquisition was unlikely to result in a</w:t>
      </w:r>
      <w:r w:rsidR="009F6AA7">
        <w:t xml:space="preserve"> substantial lessening of competition in the supply of </w:t>
      </w:r>
      <w:r w:rsidR="009F6AA7" w:rsidRPr="009F6AA7">
        <w:t>SVOD</w:t>
      </w:r>
      <w:r w:rsidR="009F6AA7" w:rsidRPr="00190A92">
        <w:t xml:space="preserve"> </w:t>
      </w:r>
      <w:r w:rsidR="009F6AA7">
        <w:t>services to consumers</w:t>
      </w:r>
      <w:r w:rsidR="005559F9">
        <w:t>.</w:t>
      </w:r>
    </w:p>
    <w:p w:rsidR="001273BC" w:rsidRDefault="001273BC" w:rsidP="001273BC">
      <w:pPr>
        <w:pStyle w:val="Heading3"/>
      </w:pPr>
      <w:r>
        <w:lastRenderedPageBreak/>
        <w:t xml:space="preserve">The </w:t>
      </w:r>
      <w:r w:rsidRPr="00A53505">
        <w:t>parties</w:t>
      </w:r>
      <w:r>
        <w:t xml:space="preserve"> </w:t>
      </w:r>
    </w:p>
    <w:p w:rsidR="001273BC" w:rsidRPr="006A7FE8" w:rsidRDefault="001273BC" w:rsidP="001273BC">
      <w:pPr>
        <w:pStyle w:val="Heading4"/>
      </w:pPr>
      <w:bookmarkStart w:id="3" w:name="Acquirer3"/>
      <w:bookmarkEnd w:id="3"/>
      <w:r>
        <w:t>Foxtel</w:t>
      </w:r>
    </w:p>
    <w:p w:rsidR="001273BC" w:rsidRDefault="001273BC" w:rsidP="001273BC">
      <w:pPr>
        <w:pStyle w:val="NormalParagraph"/>
      </w:pPr>
      <w:r w:rsidRPr="003E5208">
        <w:t>Foxtel is agent for (and manager of) the Foxtel Partnership. The partners in the Foxtel Partnership are Telstra Media Pty Limited (a wholly owned subsidiary of Telstra Corporation Limited) (</w:t>
      </w:r>
      <w:r w:rsidRPr="003E5208">
        <w:rPr>
          <w:b/>
        </w:rPr>
        <w:t>Telstra</w:t>
      </w:r>
      <w:r w:rsidRPr="003E5208">
        <w:t>) and Sky Cable Pty Limited (which is indirectly a wholly owned subsidiary of News Corporation</w:t>
      </w:r>
      <w:r>
        <w:t xml:space="preserve">) </w:t>
      </w:r>
      <w:r w:rsidRPr="00721E69">
        <w:t>(</w:t>
      </w:r>
      <w:r w:rsidRPr="00721E69">
        <w:rPr>
          <w:b/>
        </w:rPr>
        <w:t>News Corp</w:t>
      </w:r>
      <w:r w:rsidRPr="003E5208">
        <w:t>).</w:t>
      </w:r>
    </w:p>
    <w:p w:rsidR="001273BC" w:rsidRPr="001E4A5C" w:rsidRDefault="001273BC" w:rsidP="001273BC">
      <w:pPr>
        <w:pStyle w:val="NormalParagraph"/>
      </w:pPr>
      <w:r w:rsidRPr="001E4A5C">
        <w:t xml:space="preserve">Foxtel is Australia’s largest </w:t>
      </w:r>
      <w:r>
        <w:t>STV</w:t>
      </w:r>
      <w:r w:rsidRPr="001E4A5C">
        <w:t xml:space="preserve"> provider. It delivers </w:t>
      </w:r>
      <w:r>
        <w:t xml:space="preserve">television </w:t>
      </w:r>
      <w:r w:rsidRPr="001E4A5C">
        <w:t>content to over 2.6 million Australian subscribers. It also operates the Foxtel Play multiplatform subscription audio-visual content service</w:t>
      </w:r>
      <w:r>
        <w:t xml:space="preserve"> (which allows subscribers to view Foxtel’s television stations online via a tablet or smartphone device)</w:t>
      </w:r>
      <w:r w:rsidRPr="001E4A5C">
        <w:t xml:space="preserve"> and</w:t>
      </w:r>
      <w:r>
        <w:t xml:space="preserve"> the </w:t>
      </w:r>
      <w:r w:rsidRPr="001E4A5C">
        <w:t>Presto</w:t>
      </w:r>
      <w:r>
        <w:t xml:space="preserve"> SVOD service</w:t>
      </w:r>
      <w:r w:rsidRPr="001E4A5C">
        <w:t xml:space="preserve"> </w:t>
      </w:r>
      <w:r>
        <w:t>(see below)</w:t>
      </w:r>
      <w:r w:rsidR="005559F9">
        <w:t>.</w:t>
      </w:r>
    </w:p>
    <w:p w:rsidR="001273BC" w:rsidRDefault="001273BC" w:rsidP="001273BC">
      <w:pPr>
        <w:pStyle w:val="NormalParagraph"/>
      </w:pPr>
      <w:r w:rsidRPr="003E5208">
        <w:t>News Corp and Telstra each have the right to appoint one-half of the board of directors of Foxtel. In addition, News Corp has the right to appoint</w:t>
      </w:r>
      <w:r>
        <w:t xml:space="preserve"> the</w:t>
      </w:r>
      <w:r w:rsidRPr="003E5208">
        <w:t xml:space="preserve"> Chief Executive Officer and Chief Financial Officer of Foxtel</w:t>
      </w:r>
      <w:r>
        <w:t>;</w:t>
      </w:r>
      <w:r w:rsidRPr="003E5208">
        <w:t xml:space="preserve"> Telstra has the right to terminate these officers</w:t>
      </w:r>
      <w:r>
        <w:t>.</w:t>
      </w:r>
      <w:r w:rsidRPr="009C476D">
        <w:rPr>
          <w:rStyle w:val="FootnoteReference"/>
          <w:rFonts w:ascii="Arial" w:hAnsi="Arial" w:cs="Arial"/>
          <w:sz w:val="20"/>
        </w:rPr>
        <w:footnoteReference w:id="1"/>
      </w:r>
    </w:p>
    <w:p w:rsidR="001273BC" w:rsidRPr="001E4A5C" w:rsidRDefault="001273BC" w:rsidP="001273BC">
      <w:pPr>
        <w:pStyle w:val="NormalParagraph"/>
      </w:pPr>
      <w:r>
        <w:t>Foxtel stated that the proposed acquisitions will deliver synergies and improved advertiser access through the MCN arrangement, and “represents the best long-term solution for a revitalised, competitive and profitable Ten”.</w:t>
      </w:r>
    </w:p>
    <w:p w:rsidR="001273BC" w:rsidRDefault="001273BC" w:rsidP="001273BC">
      <w:pPr>
        <w:pStyle w:val="Heading4"/>
      </w:pPr>
      <w:r>
        <w:t>Ten</w:t>
      </w:r>
    </w:p>
    <w:p w:rsidR="001273BC" w:rsidRDefault="001273BC" w:rsidP="001273BC">
      <w:pPr>
        <w:pStyle w:val="NormalParagraph"/>
      </w:pPr>
      <w:r>
        <w:t>Ten is an ASX-listed commercial broadcaster that operates three FTA television channels in Australia (Ten, Eleven and One). It also operates Tenplay, a multiplatform online catch-up service. Ten’s five largest shareholders and their shareholdings at 16 October 2014</w:t>
      </w:r>
      <w:r w:rsidRPr="00857665">
        <w:rPr>
          <w:rStyle w:val="FootnoteReference"/>
          <w:rFonts w:ascii="Arial" w:hAnsi="Arial" w:cs="Arial"/>
          <w:sz w:val="20"/>
        </w:rPr>
        <w:footnoteReference w:id="2"/>
      </w:r>
      <w:r>
        <w:t xml:space="preserve"> were:</w:t>
      </w:r>
    </w:p>
    <w:p w:rsidR="001273BC" w:rsidRDefault="001273BC" w:rsidP="001273BC">
      <w:pPr>
        <w:pStyle w:val="ListParagraph"/>
        <w:tabs>
          <w:tab w:val="clear" w:pos="4188"/>
          <w:tab w:val="num" w:pos="993"/>
        </w:tabs>
        <w:ind w:left="993" w:hanging="426"/>
      </w:pPr>
      <w:r>
        <w:t>Birketu Pty Ltd (a company controlled by Bruce Gordon) 12.62%, with a further 1.82% held by Birketu Investments Pty Ltd (also controlled by Bruce Gordon)</w:t>
      </w:r>
    </w:p>
    <w:p w:rsidR="001273BC" w:rsidRDefault="001273BC" w:rsidP="001273BC">
      <w:pPr>
        <w:pStyle w:val="ListParagraph"/>
        <w:tabs>
          <w:tab w:val="clear" w:pos="4188"/>
          <w:tab w:val="num" w:pos="993"/>
        </w:tabs>
        <w:ind w:left="993" w:hanging="426"/>
      </w:pPr>
      <w:r>
        <w:t>Hanrine Investments Pty Ltd (a company controlled by Gina Rinehart) 9.45%</w:t>
      </w:r>
    </w:p>
    <w:p w:rsidR="001273BC" w:rsidRDefault="001273BC" w:rsidP="001273BC">
      <w:pPr>
        <w:pStyle w:val="ListParagraph"/>
        <w:tabs>
          <w:tab w:val="clear" w:pos="4188"/>
          <w:tab w:val="num" w:pos="993"/>
        </w:tabs>
        <w:ind w:left="993" w:hanging="426"/>
      </w:pPr>
      <w:r>
        <w:t>HSBC Custody Nominees (Australia) 9.40%</w:t>
      </w:r>
    </w:p>
    <w:p w:rsidR="001273BC" w:rsidRDefault="001273BC" w:rsidP="001273BC">
      <w:pPr>
        <w:pStyle w:val="ListParagraph"/>
        <w:tabs>
          <w:tab w:val="clear" w:pos="4188"/>
          <w:tab w:val="num" w:pos="993"/>
        </w:tabs>
        <w:ind w:left="993" w:hanging="426"/>
      </w:pPr>
      <w:r>
        <w:t>Illyria Nominees Television Pty Limited (</w:t>
      </w:r>
      <w:r w:rsidRPr="001D4216">
        <w:rPr>
          <w:b/>
        </w:rPr>
        <w:t>Illyria</w:t>
      </w:r>
      <w:r>
        <w:t>) (a company controlled by Lachlan Murdoch) 8.52%</w:t>
      </w:r>
    </w:p>
    <w:p w:rsidR="001273BC" w:rsidRDefault="001273BC" w:rsidP="001273BC">
      <w:pPr>
        <w:pStyle w:val="ListParagraph"/>
        <w:tabs>
          <w:tab w:val="clear" w:pos="4188"/>
          <w:tab w:val="num" w:pos="993"/>
        </w:tabs>
        <w:ind w:left="993" w:hanging="426"/>
      </w:pPr>
      <w:r>
        <w:t>Aidem Holdings Pty Limited (a company controlled by James Packer) 8.52%.</w:t>
      </w:r>
    </w:p>
    <w:p w:rsidR="001273BC" w:rsidRPr="00F66BF4" w:rsidRDefault="001273BC" w:rsidP="001273BC">
      <w:pPr>
        <w:pStyle w:val="Heading4"/>
      </w:pPr>
      <w:r w:rsidRPr="00F66BF4">
        <w:t>Multi Channel Network (MCN)</w:t>
      </w:r>
    </w:p>
    <w:p w:rsidR="001273BC" w:rsidRPr="001E4A5C" w:rsidRDefault="001273BC" w:rsidP="001273BC">
      <w:pPr>
        <w:pStyle w:val="NormalParagraph"/>
      </w:pPr>
      <w:r>
        <w:t>MCN</w:t>
      </w:r>
      <w:r w:rsidRPr="001E4A5C">
        <w:t xml:space="preserve"> is an advertising business that sells advertising </w:t>
      </w:r>
      <w:r>
        <w:t>services</w:t>
      </w:r>
      <w:r w:rsidRPr="001E4A5C">
        <w:t xml:space="preserve"> across a number of subscription television channel suppliers whose channels appear on the Foxtel platform and on other subscription platforms (e.g. Fetch TV). It also sells on-line advertising space for Telstra Media</w:t>
      </w:r>
      <w:r>
        <w:t xml:space="preserve"> Pty Ltd</w:t>
      </w:r>
      <w:r w:rsidRPr="001E4A5C">
        <w:t>.</w:t>
      </w:r>
    </w:p>
    <w:p w:rsidR="001273BC" w:rsidRDefault="001273BC" w:rsidP="001273BC">
      <w:pPr>
        <w:pStyle w:val="NormalParagraph"/>
      </w:pPr>
      <w:r>
        <w:lastRenderedPageBreak/>
        <w:t xml:space="preserve">Foxtel holds </w:t>
      </w:r>
      <w:r w:rsidRPr="001E4A5C">
        <w:t xml:space="preserve">75% of the shares in MCN </w:t>
      </w:r>
      <w:r>
        <w:t xml:space="preserve">and the remaining 25% </w:t>
      </w:r>
      <w:r w:rsidRPr="001E4A5C">
        <w:t>are held by Fox Sports Australia Pty Ltd</w:t>
      </w:r>
      <w:r>
        <w:t xml:space="preserve"> (owned by News Corporation)</w:t>
      </w:r>
      <w:r w:rsidRPr="001E4A5C">
        <w:t>.</w:t>
      </w:r>
      <w:r w:rsidRPr="00517AAF">
        <w:t xml:space="preserve"> </w:t>
      </w:r>
      <w:r>
        <w:t>As part of the proposed acquisitions, Ten will acquire a 24.99% interest in MCN.</w:t>
      </w:r>
    </w:p>
    <w:p w:rsidR="001273BC" w:rsidRPr="00A61050" w:rsidRDefault="001273BC" w:rsidP="001273BC">
      <w:pPr>
        <w:pStyle w:val="NormalParagraph"/>
      </w:pPr>
      <w:r>
        <w:t>On</w:t>
      </w:r>
      <w:r w:rsidRPr="00A61050">
        <w:t xml:space="preserve"> 1 September 2015, </w:t>
      </w:r>
      <w:r>
        <w:t>MCN commenced acting</w:t>
      </w:r>
      <w:r w:rsidRPr="00A61050">
        <w:t xml:space="preserve"> as Ten's advertising sales </w:t>
      </w:r>
      <w:r>
        <w:t>representative pursuant to a sales representation agreement entered into by Ten and MCN in June 2015.</w:t>
      </w:r>
      <w:r w:rsidRPr="00EB7E48">
        <w:rPr>
          <w:rStyle w:val="FootnoteReference"/>
          <w:rFonts w:ascii="Arial" w:hAnsi="Arial" w:cs="Arial"/>
          <w:sz w:val="20"/>
        </w:rPr>
        <w:footnoteReference w:id="3"/>
      </w:r>
    </w:p>
    <w:p w:rsidR="001273BC" w:rsidRPr="00F66BF4" w:rsidRDefault="001273BC" w:rsidP="001273BC">
      <w:pPr>
        <w:pStyle w:val="Heading4"/>
      </w:pPr>
      <w:r w:rsidRPr="00F66BF4">
        <w:t>Presto</w:t>
      </w:r>
      <w:r>
        <w:t xml:space="preserve"> TV Pty Ltd (Presto)</w:t>
      </w:r>
    </w:p>
    <w:p w:rsidR="001273BC" w:rsidRPr="001E4A5C" w:rsidRDefault="001273BC" w:rsidP="001273BC">
      <w:pPr>
        <w:pStyle w:val="NormalParagraph"/>
      </w:pPr>
      <w:r>
        <w:t>Presto is an SVOD</w:t>
      </w:r>
      <w:r w:rsidRPr="001E4A5C">
        <w:t xml:space="preserve"> service that enables subscribers to stream audio-visual content from an online library via the internet when purchase</w:t>
      </w:r>
      <w:r>
        <w:t>d with</w:t>
      </w:r>
      <w:r w:rsidRPr="001E4A5C">
        <w:t xml:space="preserve"> a monthly subscription. </w:t>
      </w:r>
      <w:r>
        <w:t>This content can be streamed on a range of devices, including televi</w:t>
      </w:r>
      <w:r w:rsidR="005559F9">
        <w:t>sions, tablets and smartphones.</w:t>
      </w:r>
    </w:p>
    <w:p w:rsidR="001273BC" w:rsidRDefault="001273BC" w:rsidP="001273BC">
      <w:pPr>
        <w:pStyle w:val="NormalParagraph"/>
      </w:pPr>
      <w:r w:rsidRPr="001E4A5C">
        <w:t>Presto is a joint venture between Seven</w:t>
      </w:r>
      <w:r>
        <w:t xml:space="preserve"> West Media</w:t>
      </w:r>
      <w:r w:rsidRPr="001E4A5C">
        <w:t xml:space="preserve"> Limited (</w:t>
      </w:r>
      <w:r w:rsidRPr="00E43938">
        <w:rPr>
          <w:b/>
        </w:rPr>
        <w:t>Seven</w:t>
      </w:r>
      <w:r w:rsidRPr="001E4A5C">
        <w:t>) and Foxtel.</w:t>
      </w:r>
    </w:p>
    <w:p w:rsidR="001273BC" w:rsidRDefault="001273BC" w:rsidP="001273BC">
      <w:pPr>
        <w:pStyle w:val="NormalParagraph"/>
      </w:pPr>
      <w:r>
        <w:t>The ACCC notes that Ten had entered into a supply arrangement with Presto. This arrangement is not subject to section 50, but may be subject to other provisions of Part IV of the Act.</w:t>
      </w:r>
    </w:p>
    <w:p w:rsidR="00AF1C87" w:rsidRDefault="00AF1C87" w:rsidP="00E018FA">
      <w:pPr>
        <w:pStyle w:val="Heading3"/>
      </w:pPr>
      <w:r>
        <w:t>Other industry participants</w:t>
      </w:r>
    </w:p>
    <w:p w:rsidR="00F66BF4" w:rsidRDefault="00E018FA" w:rsidP="00E018FA">
      <w:pPr>
        <w:pStyle w:val="Heading4"/>
      </w:pPr>
      <w:r>
        <w:t>News Corporation (News Corp)</w:t>
      </w:r>
    </w:p>
    <w:p w:rsidR="00E018FA" w:rsidRDefault="00E018FA" w:rsidP="00E018FA">
      <w:pPr>
        <w:pStyle w:val="NormalParagraph"/>
      </w:pPr>
      <w:r>
        <w:t xml:space="preserve">News Corp is the ultimate parent company of News Corp Australia Pty Limited (formerly News Limited), which is the owner of The Australian, </w:t>
      </w:r>
      <w:r w:rsidR="007C4389">
        <w:t>T</w:t>
      </w:r>
      <w:r>
        <w:t>he Herald Sun, and numerous other newspapers.</w:t>
      </w:r>
    </w:p>
    <w:p w:rsidR="00E018FA" w:rsidRDefault="00E018FA" w:rsidP="00E018FA">
      <w:pPr>
        <w:pStyle w:val="NormalParagraph"/>
      </w:pPr>
      <w:r>
        <w:t>News Corp is one of the owners of Foxtel through its indirect ownership of Sky Cable Pty Limited.</w:t>
      </w:r>
    </w:p>
    <w:p w:rsidR="00E018FA" w:rsidRDefault="00E018FA" w:rsidP="00E018FA">
      <w:pPr>
        <w:pStyle w:val="NormalParagraph"/>
      </w:pPr>
      <w:r>
        <w:t>News Corp is also the owner of Fox Sports Australia Pty Limited (</w:t>
      </w:r>
      <w:r w:rsidRPr="00D54254">
        <w:rPr>
          <w:b/>
        </w:rPr>
        <w:t>Fox Sports</w:t>
      </w:r>
      <w:r>
        <w:t xml:space="preserve">), </w:t>
      </w:r>
      <w:r w:rsidR="001273BC">
        <w:t xml:space="preserve">which supplies </w:t>
      </w:r>
      <w:r>
        <w:t>an Australian group of sports channels that is broadcast on Foxtel.</w:t>
      </w:r>
    </w:p>
    <w:p w:rsidR="00E018FA" w:rsidRDefault="00E018FA" w:rsidP="00E018FA">
      <w:pPr>
        <w:pStyle w:val="NormalParagraph"/>
      </w:pPr>
      <w:r>
        <w:t>Rupert Murdoch is the Executive Chairman and Lachlan Murdoch is the Executive Co-Chairman of News Corp. The Murdoch Family Trust holds 38.4% of the voting B class common stock in News Corporation (with Rupert Murdoch holding a further 1% interest).</w:t>
      </w:r>
      <w:r w:rsidRPr="00857665">
        <w:rPr>
          <w:rStyle w:val="FootnoteReference"/>
          <w:rFonts w:ascii="Arial" w:hAnsi="Arial" w:cs="Arial"/>
          <w:sz w:val="20"/>
        </w:rPr>
        <w:footnoteReference w:id="4"/>
      </w:r>
      <w:r>
        <w:t xml:space="preserve"> </w:t>
      </w:r>
    </w:p>
    <w:p w:rsidR="00E018FA" w:rsidRDefault="00E018FA" w:rsidP="00E018FA">
      <w:pPr>
        <w:pStyle w:val="Heading4"/>
      </w:pPr>
      <w:r>
        <w:t>Fox Sports</w:t>
      </w:r>
      <w:r w:rsidR="00950615">
        <w:t xml:space="preserve"> Australia </w:t>
      </w:r>
      <w:r w:rsidR="007C4389" w:rsidRPr="007C4389">
        <w:t>(Fox Sports)</w:t>
      </w:r>
    </w:p>
    <w:p w:rsidR="00E018FA" w:rsidRPr="00297719" w:rsidRDefault="00E018FA" w:rsidP="00E018FA">
      <w:pPr>
        <w:pStyle w:val="NormalParagraph"/>
      </w:pPr>
      <w:r w:rsidRPr="009C1CA7">
        <w:t xml:space="preserve">Fox Sports </w:t>
      </w:r>
      <w:r w:rsidRPr="00950615">
        <w:t>compiles</w:t>
      </w:r>
      <w:r w:rsidRPr="009C1CA7">
        <w:t xml:space="preserve"> and produces the FOX SPORTS 1, FOX SPORTS 2, FOX SPORTS 3, FOX SPORTS 4, FOX SPORTS 5, FOX FOOTY and FOX SPORTS N</w:t>
      </w:r>
      <w:r w:rsidR="00F60157">
        <w:t>EWS</w:t>
      </w:r>
      <w:r w:rsidRPr="009C1CA7">
        <w:t xml:space="preserve"> </w:t>
      </w:r>
      <w:r w:rsidR="00517AAF">
        <w:t xml:space="preserve">STV </w:t>
      </w:r>
      <w:r w:rsidRPr="009C1CA7">
        <w:t>channels, available via the Foxtel platform. It also produces sporting coverage and broadcasts sporting content on Foxtel’s internet TV service Foxtel Play, Foxt</w:t>
      </w:r>
      <w:r w:rsidR="005559F9">
        <w:t>el on T-box, and Foxtel Go App.</w:t>
      </w:r>
    </w:p>
    <w:p w:rsidR="00F66BF4" w:rsidRDefault="00E018FA" w:rsidP="00E018FA">
      <w:pPr>
        <w:pStyle w:val="Heading4"/>
      </w:pPr>
      <w:r>
        <w:lastRenderedPageBreak/>
        <w:t>Nine Network</w:t>
      </w:r>
    </w:p>
    <w:p w:rsidR="00E018FA" w:rsidRDefault="00E018FA" w:rsidP="00E018FA">
      <w:pPr>
        <w:pStyle w:val="NormalParagraph"/>
      </w:pPr>
      <w:r>
        <w:t>The Nine Network (</w:t>
      </w:r>
      <w:r w:rsidRPr="00E43938">
        <w:rPr>
          <w:b/>
        </w:rPr>
        <w:t>Nine</w:t>
      </w:r>
      <w:r>
        <w:t xml:space="preserve">), owned by the ASX-listed Nine Entertainment Co, operates three </w:t>
      </w:r>
      <w:r w:rsidR="00517AAF">
        <w:t xml:space="preserve">FTA </w:t>
      </w:r>
      <w:r>
        <w:t>television channels (Nine, GO! and GEM) and distributes content through its online catch-up service, 9Jump</w:t>
      </w:r>
      <w:r w:rsidR="007C4389">
        <w:t>i</w:t>
      </w:r>
      <w:r>
        <w:t>n</w:t>
      </w:r>
      <w:r w:rsidR="00BB6DF9">
        <w:t xml:space="preserve"> (rebranded ‘9Now’ in January 2016)</w:t>
      </w:r>
      <w:r>
        <w:t>. Nine also owns 50% of Stan, an SVOD service.</w:t>
      </w:r>
    </w:p>
    <w:p w:rsidR="00E018FA" w:rsidRDefault="00E018FA" w:rsidP="00E018FA">
      <w:pPr>
        <w:pStyle w:val="Heading4"/>
      </w:pPr>
      <w:r>
        <w:t>ABC</w:t>
      </w:r>
    </w:p>
    <w:p w:rsidR="00E018FA" w:rsidRDefault="00E018FA" w:rsidP="00E018FA">
      <w:pPr>
        <w:pStyle w:val="NormalParagraph"/>
      </w:pPr>
      <w:r>
        <w:t>The Australian Broadcasting Corporation</w:t>
      </w:r>
      <w:r w:rsidR="00F60157">
        <w:t xml:space="preserve"> (</w:t>
      </w:r>
      <w:r w:rsidR="00F60157">
        <w:rPr>
          <w:b/>
        </w:rPr>
        <w:t>ABC</w:t>
      </w:r>
      <w:r w:rsidR="00F60157">
        <w:t>)</w:t>
      </w:r>
      <w:r>
        <w:t xml:space="preserve"> is Australia’s national public broadcaster</w:t>
      </w:r>
      <w:r w:rsidR="007C4389">
        <w:t>.</w:t>
      </w:r>
      <w:r>
        <w:t xml:space="preserve"> </w:t>
      </w:r>
      <w:r w:rsidR="007C4389">
        <w:t>It</w:t>
      </w:r>
      <w:r>
        <w:t xml:space="preserve"> operates several FTA channels (ABC1, ABC2, ABC3, ABC 4 Kids and ABC News 24) and also distributes content via its online </w:t>
      </w:r>
      <w:r w:rsidR="000B5783">
        <w:t xml:space="preserve">video-on-demand and </w:t>
      </w:r>
      <w:r>
        <w:t>catch-up service, ABC iView.</w:t>
      </w:r>
      <w:r w:rsidR="00A63A0E">
        <w:t xml:space="preserve"> Some of the content available on ABC iView has not previously been broadcast on ABC’s FTA network.</w:t>
      </w:r>
    </w:p>
    <w:p w:rsidR="00E018FA" w:rsidRDefault="00E018FA" w:rsidP="00E018FA">
      <w:pPr>
        <w:pStyle w:val="Heading4"/>
      </w:pPr>
      <w:r>
        <w:t>SBS</w:t>
      </w:r>
    </w:p>
    <w:p w:rsidR="00E018FA" w:rsidRDefault="00E018FA" w:rsidP="00E018FA">
      <w:pPr>
        <w:pStyle w:val="NormalParagraph"/>
      </w:pPr>
      <w:r>
        <w:t>The Special Broadcasting Service</w:t>
      </w:r>
      <w:r w:rsidR="00857665">
        <w:t xml:space="preserve"> (</w:t>
      </w:r>
      <w:r w:rsidR="00857665" w:rsidRPr="00F60157">
        <w:rPr>
          <w:b/>
        </w:rPr>
        <w:t>SBS</w:t>
      </w:r>
      <w:r w:rsidR="00857665">
        <w:t>)</w:t>
      </w:r>
      <w:r>
        <w:t xml:space="preserve"> is a national public broadcaster that operates under the </w:t>
      </w:r>
      <w:r w:rsidRPr="00E43938">
        <w:rPr>
          <w:i/>
        </w:rPr>
        <w:t>Special Broadcasting Services Act 1991</w:t>
      </w:r>
      <w:r w:rsidRPr="00E43938">
        <w:t xml:space="preserve"> </w:t>
      </w:r>
      <w:r>
        <w:t>(Cth). It has a mandate to reflect the multicultural nature of Australian society. It operates three FTA channels (SBS ONE, SBS TWO and NITV) and also distributes content online through its website</w:t>
      </w:r>
      <w:r w:rsidR="000B5783">
        <w:t xml:space="preserve">, SBS </w:t>
      </w:r>
      <w:proofErr w:type="gramStart"/>
      <w:r w:rsidR="000B5783">
        <w:t>On</w:t>
      </w:r>
      <w:proofErr w:type="gramEnd"/>
      <w:r w:rsidR="000B5783">
        <w:t xml:space="preserve"> Demand</w:t>
      </w:r>
      <w:r w:rsidR="005559F9">
        <w:t>.</w:t>
      </w:r>
    </w:p>
    <w:p w:rsidR="00E018FA" w:rsidRDefault="00E018FA" w:rsidP="00E018FA">
      <w:pPr>
        <w:pStyle w:val="Heading4"/>
      </w:pPr>
      <w:r>
        <w:t>Fetch TV</w:t>
      </w:r>
    </w:p>
    <w:p w:rsidR="00E018FA" w:rsidRDefault="00E018FA" w:rsidP="00E018FA">
      <w:pPr>
        <w:pStyle w:val="NormalParagraph"/>
      </w:pPr>
      <w:r>
        <w:t>Fetch TV is an Australian internet protocol television (</w:t>
      </w:r>
      <w:r w:rsidRPr="00E43938">
        <w:rPr>
          <w:b/>
        </w:rPr>
        <w:t>IPTV</w:t>
      </w:r>
      <w:r w:rsidRPr="00A77F72">
        <w:t>)</w:t>
      </w:r>
      <w:r>
        <w:t xml:space="preserve"> subscription television service that combines FTA television viewing with video recording functions, a movie-on-demand service, and other channels including ESPN, MTV, National Geographic, Animal Planet, BBC World News and CCTV News.</w:t>
      </w:r>
    </w:p>
    <w:p w:rsidR="00E018FA" w:rsidRDefault="00E018FA" w:rsidP="00E018FA">
      <w:pPr>
        <w:pStyle w:val="Heading4"/>
      </w:pPr>
      <w:r>
        <w:t>Netflix</w:t>
      </w:r>
    </w:p>
    <w:p w:rsidR="00E018FA" w:rsidRDefault="00E018FA" w:rsidP="00E018FA">
      <w:pPr>
        <w:pStyle w:val="NormalParagraph"/>
      </w:pPr>
      <w:r>
        <w:t>Netflix is a US SVOD service provider. It has a library of content which it acquires or produces. Netflix launched in Australia in March 2015 and is currently the largest SVOD service provider.</w:t>
      </w:r>
    </w:p>
    <w:p w:rsidR="00E018FA" w:rsidRDefault="00E018FA" w:rsidP="00E018FA">
      <w:pPr>
        <w:pStyle w:val="Heading4"/>
      </w:pPr>
      <w:r>
        <w:t>Stan</w:t>
      </w:r>
    </w:p>
    <w:p w:rsidR="00E018FA" w:rsidRDefault="00E018FA" w:rsidP="00E018FA">
      <w:pPr>
        <w:pStyle w:val="NormalParagraph"/>
      </w:pPr>
      <w:r>
        <w:t>Stan is an Australian SVOD service provider. It is a joint venture between Nine and Fairfax Media Ltd</w:t>
      </w:r>
      <w:r w:rsidR="00BB6DF9">
        <w:t xml:space="preserve"> (</w:t>
      </w:r>
      <w:r w:rsidR="00BB6DF9">
        <w:rPr>
          <w:b/>
        </w:rPr>
        <w:t>Fairfax</w:t>
      </w:r>
      <w:r w:rsidR="00BB6DF9">
        <w:t>)</w:t>
      </w:r>
      <w:r>
        <w:t>. Stan launched in Australia in January 2015.</w:t>
      </w:r>
    </w:p>
    <w:p w:rsidR="00BB6DF9" w:rsidRDefault="005559F9" w:rsidP="002819D8">
      <w:pPr>
        <w:pStyle w:val="Heading4"/>
      </w:pPr>
      <w:r>
        <w:t>Fairfax</w:t>
      </w:r>
    </w:p>
    <w:p w:rsidR="00BB6DF9" w:rsidRDefault="00BB240E" w:rsidP="00E018FA">
      <w:pPr>
        <w:pStyle w:val="NormalParagraph"/>
      </w:pPr>
      <w:r w:rsidRPr="004B3DA7">
        <w:t xml:space="preserve">Fairfax is an </w:t>
      </w:r>
      <w:r>
        <w:t xml:space="preserve">Australian media company with an integrated </w:t>
      </w:r>
      <w:r w:rsidRPr="004B3DA7">
        <w:t>print</w:t>
      </w:r>
      <w:r>
        <w:t>, radio</w:t>
      </w:r>
      <w:r w:rsidRPr="004B3DA7">
        <w:t xml:space="preserve"> and online digital presence</w:t>
      </w:r>
      <w:r>
        <w:t xml:space="preserve"> in</w:t>
      </w:r>
      <w:r w:rsidR="00B86E82">
        <w:t xml:space="preserve"> metropolitan, rural and</w:t>
      </w:r>
      <w:r w:rsidRPr="004B3DA7">
        <w:t xml:space="preserve"> regional</w:t>
      </w:r>
      <w:r>
        <w:t xml:space="preserve"> areas</w:t>
      </w:r>
      <w:r w:rsidR="00B86E82">
        <w:t xml:space="preserve"> of Australia</w:t>
      </w:r>
      <w:r>
        <w:t>. Fairfax’s digital and metropolitan print publications include The Sydney Morning Herald, The Age</w:t>
      </w:r>
      <w:r w:rsidR="00B86E82">
        <w:t>,</w:t>
      </w:r>
      <w:r>
        <w:t xml:space="preserve"> The Australian Financial Review</w:t>
      </w:r>
      <w:r w:rsidR="00B86E82">
        <w:t xml:space="preserve"> and</w:t>
      </w:r>
      <w:r>
        <w:t xml:space="preserve"> numerous regional and communi</w:t>
      </w:r>
      <w:r w:rsidR="005559F9">
        <w:t>ty newspapers across Australia.</w:t>
      </w:r>
    </w:p>
    <w:p w:rsidR="00E018FA" w:rsidRDefault="00E018FA" w:rsidP="00E018FA">
      <w:pPr>
        <w:pStyle w:val="Heading4"/>
      </w:pPr>
      <w:r>
        <w:t>Endemol Shine</w:t>
      </w:r>
    </w:p>
    <w:p w:rsidR="00E018FA" w:rsidRDefault="00E018FA" w:rsidP="00E018FA">
      <w:pPr>
        <w:pStyle w:val="NormalParagraph"/>
      </w:pPr>
      <w:r>
        <w:t>Endemol Shine Group (</w:t>
      </w:r>
      <w:r w:rsidRPr="00E43938">
        <w:rPr>
          <w:b/>
        </w:rPr>
        <w:t>Endemol Shine</w:t>
      </w:r>
      <w:r>
        <w:t>), a 50:50 joint venture between 21</w:t>
      </w:r>
      <w:r w:rsidRPr="00E43938">
        <w:t>st</w:t>
      </w:r>
      <w:r>
        <w:t xml:space="preserve"> Century Fox and Apollo Management, is a global content creator, producer and </w:t>
      </w:r>
      <w:r>
        <w:lastRenderedPageBreak/>
        <w:t>distributor with over 600 scripted and non-scripted formats</w:t>
      </w:r>
      <w:r w:rsidRPr="00857665">
        <w:rPr>
          <w:sz w:val="20"/>
          <w:szCs w:val="24"/>
          <w:vertAlign w:val="superscript"/>
        </w:rPr>
        <w:footnoteReference w:id="5"/>
      </w:r>
      <w:r>
        <w:t xml:space="preserve"> a</w:t>
      </w:r>
      <w:r w:rsidRPr="00E43938">
        <w:t>cross operations spanning more than 30 countries.</w:t>
      </w:r>
      <w:r w:rsidR="00517AAF" w:rsidRPr="00EB7E48">
        <w:rPr>
          <w:rStyle w:val="FootnoteReference"/>
          <w:rFonts w:ascii="Arial" w:hAnsi="Arial" w:cs="Arial"/>
          <w:sz w:val="20"/>
        </w:rPr>
        <w:footnoteReference w:id="6"/>
      </w:r>
    </w:p>
    <w:p w:rsidR="00E018FA" w:rsidRDefault="00E018FA" w:rsidP="00E018FA">
      <w:pPr>
        <w:pStyle w:val="NormalParagraph"/>
      </w:pPr>
      <w:r>
        <w:t>Its Australian division</w:t>
      </w:r>
      <w:r w:rsidR="00517AAF">
        <w:t xml:space="preserve">, </w:t>
      </w:r>
      <w:r>
        <w:t>Endemol Shine Australia</w:t>
      </w:r>
      <w:r w:rsidR="00517AAF">
        <w:t>,</w:t>
      </w:r>
      <w:r>
        <w:t xml:space="preserve"> is Australia’s largest television production house with formats including MasterChef, The Voice, Big Brother, The </w:t>
      </w:r>
      <w:r w:rsidR="005559F9">
        <w:t>Bachelor and The Biggest Loser.</w:t>
      </w:r>
    </w:p>
    <w:p w:rsidR="00F21075" w:rsidRPr="00736B68" w:rsidRDefault="00F21075" w:rsidP="00F21075">
      <w:pPr>
        <w:pStyle w:val="Heading3"/>
      </w:pPr>
      <w:r w:rsidRPr="00736B68">
        <w:t>Industry background</w:t>
      </w:r>
    </w:p>
    <w:p w:rsidR="00F21075" w:rsidRPr="009010A3" w:rsidRDefault="00F21075" w:rsidP="002819D8">
      <w:pPr>
        <w:pStyle w:val="Heading4"/>
      </w:pPr>
      <w:r w:rsidRPr="009010A3">
        <w:t>The changing media landscape</w:t>
      </w:r>
    </w:p>
    <w:p w:rsidR="00F21075" w:rsidRDefault="00F21075" w:rsidP="00F21075">
      <w:pPr>
        <w:pStyle w:val="NormalParagraph"/>
      </w:pPr>
      <w:r>
        <w:t>Significant technological developments in the media industry have led to rapid changes in how audio-visual content is consumed. Greater take-up of broadband services in Australia</w:t>
      </w:r>
      <w:r w:rsidR="00EA6361">
        <w:t>,</w:t>
      </w:r>
      <w:r>
        <w:t xml:space="preserve"> </w:t>
      </w:r>
      <w:r w:rsidR="00EC0032">
        <w:t xml:space="preserve">with </w:t>
      </w:r>
      <w:r w:rsidR="0081684D">
        <w:t xml:space="preserve">large </w:t>
      </w:r>
      <w:r w:rsidR="00EC0032">
        <w:t xml:space="preserve">or no data </w:t>
      </w:r>
      <w:r w:rsidR="00927CCE">
        <w:t>limits</w:t>
      </w:r>
      <w:r w:rsidR="00D91923">
        <w:t>,</w:t>
      </w:r>
      <w:r w:rsidR="00EC0032">
        <w:t xml:space="preserve"> </w:t>
      </w:r>
      <w:r>
        <w:t>has facilitated significant growth in the amount of audio-visual content consumed online on multiple devices, including smar</w:t>
      </w:r>
      <w:r w:rsidR="005559F9">
        <w:t>tphones, smart TVs and tablets.</w:t>
      </w:r>
    </w:p>
    <w:p w:rsidR="00F21075" w:rsidRPr="004A524F" w:rsidRDefault="00F21075" w:rsidP="00F21075">
      <w:pPr>
        <w:pStyle w:val="NormalParagraph"/>
      </w:pPr>
      <w:r>
        <w:t>Internet-based content delivery services allow consumers to view content when, where and how they want it. SVOD services such as Presto, Netflix and Stan have been successful in attracting customers and are continuing to grow their subscriber bases. FTA and STV providers have recently changed the way they deliver services, either increasing the amount of their content available online or</w:t>
      </w:r>
      <w:r w:rsidR="00F60157">
        <w:t>, in the case of STV,</w:t>
      </w:r>
      <w:r>
        <w:t xml:space="preserve"> reducing</w:t>
      </w:r>
      <w:r w:rsidR="005559F9">
        <w:t xml:space="preserve"> the prices for their services.</w:t>
      </w:r>
    </w:p>
    <w:p w:rsidR="00F21075" w:rsidRDefault="00F21075" w:rsidP="00F21075">
      <w:pPr>
        <w:pStyle w:val="NormalParagraph"/>
      </w:pPr>
      <w:r>
        <w:t>As a result of structural changes in the media industry and changes to consumers’ viewing patterns, traditional audio-visual broadcasters are offering a mix of both linear and on-demand content distribution to maintain their audiences. Importantly, broadcasters are increasingly offering content that consumers prefer to watch live in order to maintain their audience share</w:t>
      </w:r>
      <w:r w:rsidR="00A34DD8">
        <w:t xml:space="preserve"> and advertising revenue</w:t>
      </w:r>
      <w:r>
        <w:t>. This type of content, which is known as ‘appointment viewing’ or ‘water cooler programs’, includes live sport, Australian-prod</w:t>
      </w:r>
      <w:r w:rsidR="005559F9">
        <w:t>uced reality TV shows and news.</w:t>
      </w:r>
    </w:p>
    <w:p w:rsidR="00AF1C87" w:rsidRDefault="00AF1C87" w:rsidP="006A7FE8">
      <w:pPr>
        <w:pStyle w:val="Heading3"/>
      </w:pPr>
      <w:r>
        <w:t xml:space="preserve">Market </w:t>
      </w:r>
      <w:r w:rsidRPr="00A53505">
        <w:t>definition</w:t>
      </w:r>
    </w:p>
    <w:p w:rsidR="00311B17" w:rsidRDefault="00311B17" w:rsidP="00311B17">
      <w:pPr>
        <w:pStyle w:val="NormalParagraph"/>
      </w:pPr>
      <w:r>
        <w:t>The ACCC considered the competitive effects of the proposed acquisitions in the following markets:</w:t>
      </w:r>
    </w:p>
    <w:p w:rsidR="001800F5" w:rsidRDefault="001800F5" w:rsidP="001800F5">
      <w:pPr>
        <w:pStyle w:val="ListParagraph"/>
        <w:tabs>
          <w:tab w:val="clear" w:pos="4188"/>
          <w:tab w:val="num" w:pos="993"/>
        </w:tabs>
        <w:ind w:left="993" w:hanging="426"/>
      </w:pPr>
      <w:r>
        <w:t>the national market(s) for the acquisition of television content (including possible markets, or sub-markets, for the acquisition of sports content and premi</w:t>
      </w:r>
      <w:r w:rsidR="005559F9">
        <w:t>um Australian original content)</w:t>
      </w:r>
    </w:p>
    <w:p w:rsidR="00311B17" w:rsidRDefault="00311B17" w:rsidP="001D4216">
      <w:pPr>
        <w:pStyle w:val="ListParagraph"/>
        <w:tabs>
          <w:tab w:val="clear" w:pos="4188"/>
          <w:tab w:val="num" w:pos="993"/>
        </w:tabs>
        <w:ind w:left="993" w:hanging="426"/>
      </w:pPr>
      <w:r>
        <w:t>the national market for the su</w:t>
      </w:r>
      <w:r w:rsidR="005559F9">
        <w:t>pply of FTA television services</w:t>
      </w:r>
    </w:p>
    <w:p w:rsidR="00311B17" w:rsidRDefault="00311B17" w:rsidP="001D4216">
      <w:pPr>
        <w:pStyle w:val="ListParagraph"/>
        <w:tabs>
          <w:tab w:val="clear" w:pos="4188"/>
          <w:tab w:val="num" w:pos="993"/>
        </w:tabs>
        <w:ind w:left="993" w:hanging="426"/>
      </w:pPr>
      <w:r>
        <w:t>the national market for the supply of STV services</w:t>
      </w:r>
    </w:p>
    <w:p w:rsidR="00311B17" w:rsidRDefault="00311B17" w:rsidP="001D4216">
      <w:pPr>
        <w:pStyle w:val="ListParagraph"/>
        <w:tabs>
          <w:tab w:val="clear" w:pos="4188"/>
          <w:tab w:val="num" w:pos="993"/>
        </w:tabs>
        <w:ind w:left="993" w:hanging="426"/>
      </w:pPr>
      <w:r>
        <w:t xml:space="preserve">a broader </w:t>
      </w:r>
      <w:r w:rsidR="009C32FE">
        <w:t xml:space="preserve">national </w:t>
      </w:r>
      <w:r>
        <w:t>market for the supply of television viewing services encompassing (at least) both FTA and STV services</w:t>
      </w:r>
    </w:p>
    <w:p w:rsidR="00311B17" w:rsidRDefault="00311B17" w:rsidP="001D4216">
      <w:pPr>
        <w:pStyle w:val="ListParagraph"/>
        <w:tabs>
          <w:tab w:val="clear" w:pos="4188"/>
          <w:tab w:val="num" w:pos="993"/>
        </w:tabs>
        <w:ind w:left="993" w:hanging="426"/>
      </w:pPr>
      <w:r>
        <w:lastRenderedPageBreak/>
        <w:t>the national market for the supply of SVOD services</w:t>
      </w:r>
    </w:p>
    <w:p w:rsidR="00311B17" w:rsidRDefault="00311B17" w:rsidP="001D4216">
      <w:pPr>
        <w:pStyle w:val="ListParagraph"/>
        <w:tabs>
          <w:tab w:val="clear" w:pos="4188"/>
          <w:tab w:val="num" w:pos="993"/>
        </w:tabs>
        <w:ind w:left="993" w:hanging="426"/>
      </w:pPr>
      <w:r>
        <w:t>the national market for the supply of television advertising services.</w:t>
      </w:r>
    </w:p>
    <w:p w:rsidR="00311B17" w:rsidRDefault="00311B17" w:rsidP="00311B17">
      <w:pPr>
        <w:pStyle w:val="NormalParagraph"/>
      </w:pPr>
      <w:r>
        <w:t xml:space="preserve">The ACCC did not consider it necessary to reach a concluded view in relation to the </w:t>
      </w:r>
      <w:r w:rsidR="00347D66">
        <w:t xml:space="preserve">precise boundaries of the </w:t>
      </w:r>
      <w:r>
        <w:t>relevant markets</w:t>
      </w:r>
      <w:r w:rsidR="009C32FE">
        <w:t>,</w:t>
      </w:r>
      <w:r>
        <w:t xml:space="preserve"> and considered the broader competitive dynamics in each market and the potential for these dynamics to change in the foreseeable future.</w:t>
      </w:r>
    </w:p>
    <w:p w:rsidR="00A710E4" w:rsidRDefault="001F0658" w:rsidP="00170E10">
      <w:pPr>
        <w:pStyle w:val="NormalParagraph"/>
      </w:pPr>
      <w:r>
        <w:t>However, t</w:t>
      </w:r>
      <w:r w:rsidR="00A710E4">
        <w:t>he ACCC considered that differences in pricing models</w:t>
      </w:r>
      <w:r w:rsidR="00CC5C1C">
        <w:t>,</w:t>
      </w:r>
      <w:r w:rsidR="00A710E4" w:rsidRPr="00733FA9">
        <w:rPr>
          <w:rStyle w:val="FootnoteReference"/>
          <w:rFonts w:ascii="Arial" w:hAnsi="Arial" w:cs="Arial"/>
          <w:sz w:val="20"/>
          <w:szCs w:val="20"/>
        </w:rPr>
        <w:footnoteReference w:id="7"/>
      </w:r>
      <w:r w:rsidR="00A710E4">
        <w:t xml:space="preserve"> the type of content delivered on different platforms, and the equipment, devices and complementary services needed to view content on different platforms </w:t>
      </w:r>
      <w:r w:rsidR="00CC5C1C">
        <w:t>would</w:t>
      </w:r>
      <w:r w:rsidR="00A710E4">
        <w:t xml:space="preserve"> be likely to limit the degree of substitutability of FTA, STV</w:t>
      </w:r>
      <w:r w:rsidR="006F65F8">
        <w:t>,</w:t>
      </w:r>
      <w:r w:rsidR="00A710E4">
        <w:t xml:space="preserve"> SVOD </w:t>
      </w:r>
      <w:r w:rsidR="006F65F8">
        <w:t xml:space="preserve">and direct streaming </w:t>
      </w:r>
      <w:r w:rsidR="00A710E4">
        <w:t xml:space="preserve">services for many viewers (and potential viewers). In addition, substitutability between platforms differs for particular types of content. For </w:t>
      </w:r>
      <w:r w:rsidR="00733FA9">
        <w:t xml:space="preserve">example, </w:t>
      </w:r>
      <w:r w:rsidR="00517C5B">
        <w:t xml:space="preserve">the ACCC considered </w:t>
      </w:r>
      <w:r w:rsidR="00733FA9">
        <w:t>there wa</w:t>
      </w:r>
      <w:r w:rsidR="00A710E4">
        <w:t>s greater substitutability between FTA and STV services for sports content than between these servic</w:t>
      </w:r>
      <w:r w:rsidR="00733FA9">
        <w:t>es and SVOD services</w:t>
      </w:r>
      <w:r w:rsidR="00517C5B">
        <w:t>,</w:t>
      </w:r>
      <w:r w:rsidR="00733FA9">
        <w:t xml:space="preserve"> as there wa</w:t>
      </w:r>
      <w:r w:rsidR="00A710E4">
        <w:t xml:space="preserve">s a very limited amount of sports content </w:t>
      </w:r>
      <w:r w:rsidR="00733FA9">
        <w:t xml:space="preserve">currently </w:t>
      </w:r>
      <w:r w:rsidR="00A710E4">
        <w:t>broadcast on SVOD services.</w:t>
      </w:r>
      <w:r w:rsidR="002837DE">
        <w:t xml:space="preserve"> By contrast, </w:t>
      </w:r>
      <w:r w:rsidR="006F65F8">
        <w:t>direct</w:t>
      </w:r>
      <w:r w:rsidR="002837DE">
        <w:t xml:space="preserve"> streaming of sports content is likely to be viewed by viewers as a closer substitute.</w:t>
      </w:r>
    </w:p>
    <w:p w:rsidR="00A710E4" w:rsidRDefault="00A710E4" w:rsidP="008E152A">
      <w:pPr>
        <w:pStyle w:val="NormalParagraph"/>
      </w:pPr>
      <w:r>
        <w:t>T</w:t>
      </w:r>
      <w:r w:rsidR="001F0658">
        <w:t xml:space="preserve">he ACCC considered </w:t>
      </w:r>
      <w:r>
        <w:t xml:space="preserve">that </w:t>
      </w:r>
      <w:r w:rsidR="001F0658">
        <w:t xml:space="preserve">it was </w:t>
      </w:r>
      <w:r w:rsidR="006453C2">
        <w:t xml:space="preserve">also </w:t>
      </w:r>
      <w:r w:rsidR="001F0658">
        <w:t xml:space="preserve">relevant to </w:t>
      </w:r>
      <w:r w:rsidR="00326DF5">
        <w:t>assess the potential competitive effects of the proposed acquisitions in</w:t>
      </w:r>
      <w:r w:rsidR="001F0658">
        <w:t xml:space="preserve"> </w:t>
      </w:r>
      <w:r>
        <w:t>a broader market for television services that encompasses (at least) both FTA and STV services</w:t>
      </w:r>
      <w:r w:rsidR="00D07E9A">
        <w:t>,</w:t>
      </w:r>
      <w:r>
        <w:t xml:space="preserve"> </w:t>
      </w:r>
      <w:r w:rsidR="001F0658">
        <w:t>in addition to separate markets for these services</w:t>
      </w:r>
      <w:r>
        <w:t>. While FTA services are each other’s closest substitutes, the ACCC</w:t>
      </w:r>
      <w:r w:rsidR="001F0658">
        <w:t xml:space="preserve"> considered </w:t>
      </w:r>
      <w:r>
        <w:t xml:space="preserve">that STV </w:t>
      </w:r>
      <w:r w:rsidR="00733FA9">
        <w:t>wa</w:t>
      </w:r>
      <w:r w:rsidR="007039D0">
        <w:t>s</w:t>
      </w:r>
      <w:r>
        <w:t xml:space="preserve"> likely to be the next closest substitute</w:t>
      </w:r>
      <w:r w:rsidR="001F0658">
        <w:t>.</w:t>
      </w:r>
    </w:p>
    <w:p w:rsidR="00B7086F" w:rsidRPr="004A524F" w:rsidRDefault="00B7086F" w:rsidP="00B7086F">
      <w:pPr>
        <w:pStyle w:val="NormalParagraph"/>
      </w:pPr>
      <w:r>
        <w:t xml:space="preserve"> </w:t>
      </w:r>
      <w:r w:rsidR="00685E2C">
        <w:t>A</w:t>
      </w:r>
      <w:r w:rsidRPr="00B7086F">
        <w:t xml:space="preserve">dvertisers </w:t>
      </w:r>
      <w:r>
        <w:t>t</w:t>
      </w:r>
      <w:r w:rsidRPr="00B7086F">
        <w:t>ypically seek to advertise across a range of platforms</w:t>
      </w:r>
      <w:r w:rsidR="0089351F">
        <w:t xml:space="preserve"> (</w:t>
      </w:r>
      <w:r w:rsidR="0089351F" w:rsidRPr="00B7086F">
        <w:t>including television, online, radio and print</w:t>
      </w:r>
      <w:r w:rsidR="0089351F">
        <w:t xml:space="preserve">) to maximise their reach and </w:t>
      </w:r>
      <w:r w:rsidRPr="00B7086F">
        <w:t xml:space="preserve">target specific types of viewers. </w:t>
      </w:r>
      <w:r w:rsidR="00685E2C">
        <w:t>T</w:t>
      </w:r>
      <w:r w:rsidRPr="00B7086F">
        <w:t xml:space="preserve">elevision is an important medium </w:t>
      </w:r>
      <w:r w:rsidR="0089351F">
        <w:t xml:space="preserve">for advertising </w:t>
      </w:r>
      <w:r w:rsidRPr="00B7086F">
        <w:t xml:space="preserve">because it combines visual imagery, sound and movement, and it has the ability to reach large audiences. </w:t>
      </w:r>
      <w:r w:rsidR="0089351F">
        <w:t>The ACCC considered that it was relevant to assess the proposed acquisitions in a national market for t</w:t>
      </w:r>
      <w:r w:rsidR="005559F9">
        <w:t>elevision advertising services.</w:t>
      </w:r>
    </w:p>
    <w:p w:rsidR="00AF1C87" w:rsidRPr="006A7FE8" w:rsidRDefault="00AF1C87" w:rsidP="006A7FE8">
      <w:pPr>
        <w:pStyle w:val="Heading3"/>
      </w:pPr>
      <w:r w:rsidRPr="006A7FE8">
        <w:t>Competition analysis</w:t>
      </w:r>
    </w:p>
    <w:p w:rsidR="00EC0032" w:rsidRDefault="005559F9" w:rsidP="00010ECF">
      <w:pPr>
        <w:pStyle w:val="Heading4"/>
      </w:pPr>
      <w:r>
        <w:t>With/without</w:t>
      </w:r>
    </w:p>
    <w:p w:rsidR="00EC0032" w:rsidRDefault="00EC0032" w:rsidP="00EC0032">
      <w:pPr>
        <w:pStyle w:val="NormalParagraph"/>
      </w:pPr>
      <w:r>
        <w:t xml:space="preserve">Section 50 of the Act prohibits mergers or acquisitions that would have the effect or be likely to have the effect of substantially lessening competition in a market. In assessing a proposed acquisition pursuant to </w:t>
      </w:r>
      <w:r w:rsidRPr="00053096">
        <w:t>section</w:t>
      </w:r>
      <w:r>
        <w:t xml:space="preserve"> 50 of the Act, the ACCC considers the effects of the acquisition by comparing the likely future competitive environment post-acquisition if the acquisition proceeds (the “with” position) to the likely future competitive environment if the acquisition does not proceed (the “without” position) to determine whether the proposed acquisition is likely to substantially lessen competition in any relevant market.</w:t>
      </w:r>
    </w:p>
    <w:p w:rsidR="00EC0032" w:rsidRPr="007C3426" w:rsidRDefault="00EC0032" w:rsidP="00EC0032">
      <w:pPr>
        <w:pStyle w:val="NormalParagraph"/>
        <w:rPr>
          <w:rFonts w:cs="Arial"/>
        </w:rPr>
      </w:pPr>
      <w:r>
        <w:rPr>
          <w:rFonts w:cs="Arial"/>
        </w:rPr>
        <w:t xml:space="preserve">The ACCC considered that </w:t>
      </w:r>
      <w:r w:rsidRPr="00867B09">
        <w:t>the likely competition effects of the proposed acquisition</w:t>
      </w:r>
      <w:r>
        <w:t>s</w:t>
      </w:r>
      <w:r w:rsidRPr="00867B09">
        <w:t xml:space="preserve"> </w:t>
      </w:r>
      <w:r>
        <w:t>were</w:t>
      </w:r>
      <w:r w:rsidRPr="00867B09">
        <w:t xml:space="preserve"> most appropriately assessed against a future </w:t>
      </w:r>
      <w:r>
        <w:t xml:space="preserve">without the </w:t>
      </w:r>
      <w:r>
        <w:lastRenderedPageBreak/>
        <w:t xml:space="preserve">acquisitions </w:t>
      </w:r>
      <w:r w:rsidRPr="00867B09">
        <w:t>in which Ten</w:t>
      </w:r>
      <w:r>
        <w:t>, MCN and Presto</w:t>
      </w:r>
      <w:r w:rsidRPr="00867B09">
        <w:t xml:space="preserve"> continue</w:t>
      </w:r>
      <w:r>
        <w:t xml:space="preserve"> their current operations</w:t>
      </w:r>
      <w:r w:rsidRPr="00867B09">
        <w:t xml:space="preserve"> </w:t>
      </w:r>
      <w:r>
        <w:t xml:space="preserve">under their current ownership </w:t>
      </w:r>
      <w:r w:rsidRPr="00867B09">
        <w:t>(the status quo).</w:t>
      </w:r>
    </w:p>
    <w:p w:rsidR="00EC0032" w:rsidRPr="00EC0032" w:rsidRDefault="00EC0032" w:rsidP="002819D8">
      <w:pPr>
        <w:pStyle w:val="NormalParagraph"/>
        <w:rPr>
          <w:rFonts w:cs="Arial"/>
        </w:rPr>
      </w:pPr>
      <w:r>
        <w:t xml:space="preserve">Although Ten’s ratings and financial performance are weaker than they have been in the past, the ACCC was not satisfied that Ten’s performance would decline significantly without the proposed acquisitions. In fact, Ten’s ratings had slowly improved in the months leading up to the ACCC’s decision and it was expected that this would continue to have a positive effect on its advertising revenue in the future without the proposed acquisitions. Therefore, the ACCC considered the most likely future without the acquisitions was the status quo, where Ten continues to exert </w:t>
      </w:r>
      <w:r w:rsidRPr="009554DB">
        <w:rPr>
          <w:i/>
        </w:rPr>
        <w:t>at least</w:t>
      </w:r>
      <w:r>
        <w:t xml:space="preserve"> the same competitive constraint on its rivals as it did prior to the announcement of the proposed acquisitions.</w:t>
      </w:r>
    </w:p>
    <w:p w:rsidR="00010ECF" w:rsidRDefault="006007DF" w:rsidP="00010ECF">
      <w:pPr>
        <w:pStyle w:val="Heading4"/>
      </w:pPr>
      <w:r>
        <w:t>A</w:t>
      </w:r>
      <w:r w:rsidR="00010ECF">
        <w:t>bility</w:t>
      </w:r>
      <w:r>
        <w:t xml:space="preserve"> and incentive</w:t>
      </w:r>
      <w:r w:rsidR="00010ECF">
        <w:t xml:space="preserve"> to exert control </w:t>
      </w:r>
      <w:r w:rsidR="00D07E9A">
        <w:t>or</w:t>
      </w:r>
      <w:r w:rsidR="00010ECF">
        <w:t xml:space="preserve"> influence</w:t>
      </w:r>
    </w:p>
    <w:p w:rsidR="00531ECA" w:rsidRPr="006007DF" w:rsidRDefault="00531ECA" w:rsidP="0046680B">
      <w:pPr>
        <w:pStyle w:val="NormalParagraph"/>
      </w:pPr>
      <w:r w:rsidRPr="006007DF">
        <w:t xml:space="preserve">As </w:t>
      </w:r>
      <w:r w:rsidR="00F517FA" w:rsidRPr="006007DF">
        <w:t xml:space="preserve">the proposed acquisitions involve minority </w:t>
      </w:r>
      <w:r w:rsidR="00782C7C">
        <w:t>acquisitions</w:t>
      </w:r>
      <w:r w:rsidR="00AD17C0" w:rsidRPr="006007DF">
        <w:t>, the ACCC’s competition assessment considered</w:t>
      </w:r>
      <w:r w:rsidR="00F517FA" w:rsidRPr="006007DF">
        <w:t xml:space="preserve"> the extent to</w:t>
      </w:r>
      <w:r w:rsidR="00DE2C33">
        <w:t xml:space="preserve"> which </w:t>
      </w:r>
      <w:r w:rsidR="00782C7C">
        <w:t>the proposed</w:t>
      </w:r>
      <w:r w:rsidR="00F517FA" w:rsidRPr="006007DF">
        <w:t xml:space="preserve"> acquisitions would result in </w:t>
      </w:r>
      <w:r w:rsidR="001F5C00" w:rsidRPr="006007DF">
        <w:t>the ability of Foxtel to influence Ten</w:t>
      </w:r>
      <w:r w:rsidR="006007DF">
        <w:t>’s decision making or</w:t>
      </w:r>
      <w:r w:rsidR="001F5C00" w:rsidRPr="006007DF">
        <w:t xml:space="preserve"> in </w:t>
      </w:r>
      <w:r w:rsidR="00F517FA" w:rsidRPr="006007DF">
        <w:t>an alignment of incentives betwee</w:t>
      </w:r>
      <w:r w:rsidR="005559F9">
        <w:t>n Foxtel, Ten, MCN and Presto.</w:t>
      </w:r>
    </w:p>
    <w:p w:rsidR="009329FC" w:rsidRDefault="00433BF9" w:rsidP="0046680B">
      <w:pPr>
        <w:pStyle w:val="NormalParagraph"/>
      </w:pPr>
      <w:r>
        <w:t xml:space="preserve">The ACCC considers that </w:t>
      </w:r>
      <w:r w:rsidR="00531ECA">
        <w:t xml:space="preserve">Foxtel’s acquisition of up to 15% of the issued share capital in </w:t>
      </w:r>
      <w:proofErr w:type="gramStart"/>
      <w:r w:rsidR="00531ECA">
        <w:t>Ten</w:t>
      </w:r>
      <w:proofErr w:type="gramEnd"/>
      <w:r w:rsidR="00531ECA">
        <w:t xml:space="preserve"> </w:t>
      </w:r>
      <w:r>
        <w:t xml:space="preserve">will enable Foxtel to </w:t>
      </w:r>
      <w:r w:rsidR="00D07E9A">
        <w:t>exercise</w:t>
      </w:r>
      <w:r>
        <w:t xml:space="preserve"> a</w:t>
      </w:r>
      <w:r w:rsidR="006F65F8">
        <w:t>n increased</w:t>
      </w:r>
      <w:r w:rsidR="00D07E9A">
        <w:t xml:space="preserve"> </w:t>
      </w:r>
      <w:r>
        <w:t>degree of influence over Ten</w:t>
      </w:r>
      <w:r w:rsidR="006007DF">
        <w:t>.</w:t>
      </w:r>
      <w:r w:rsidR="00AD17C0">
        <w:t xml:space="preserve">  That increased influence may arise from a range of factors including</w:t>
      </w:r>
      <w:r>
        <w:t>:</w:t>
      </w:r>
    </w:p>
    <w:p w:rsidR="009C32FE" w:rsidRPr="009C32FE" w:rsidRDefault="009C32FE" w:rsidP="001D4216">
      <w:pPr>
        <w:pStyle w:val="ListParagraph"/>
        <w:tabs>
          <w:tab w:val="clear" w:pos="4188"/>
          <w:tab w:val="num" w:pos="993"/>
        </w:tabs>
        <w:ind w:left="993" w:hanging="426"/>
      </w:pPr>
      <w:r>
        <w:t>t</w:t>
      </w:r>
      <w:r w:rsidRPr="009C32FE">
        <w:t xml:space="preserve">he </w:t>
      </w:r>
      <w:r w:rsidR="009F66A1">
        <w:t xml:space="preserve">significance of </w:t>
      </w:r>
      <w:r w:rsidRPr="009C32FE">
        <w:t>Foxtel</w:t>
      </w:r>
      <w:r w:rsidR="009F66A1">
        <w:t>’s</w:t>
      </w:r>
      <w:r w:rsidRPr="009C32FE">
        <w:t xml:space="preserve"> investment </w:t>
      </w:r>
      <w:r w:rsidR="009F66A1">
        <w:t>in</w:t>
      </w:r>
      <w:r w:rsidRPr="009C32FE">
        <w:t xml:space="preserve"> Ten</w:t>
      </w:r>
    </w:p>
    <w:p w:rsidR="00AD17C0" w:rsidRDefault="00AD17C0" w:rsidP="001D4216">
      <w:pPr>
        <w:pStyle w:val="ListParagraph"/>
        <w:tabs>
          <w:tab w:val="clear" w:pos="4188"/>
          <w:tab w:val="num" w:pos="993"/>
        </w:tabs>
        <w:ind w:left="993" w:hanging="426"/>
      </w:pPr>
      <w:r>
        <w:t xml:space="preserve">the right for Foxtel to have one of six seats on the Ten board (taking into consideration the additional sway that board member may have as a result of Foxtel’s </w:t>
      </w:r>
      <w:r w:rsidR="009F66A1">
        <w:t>extensive industry experience</w:t>
      </w:r>
      <w:r>
        <w:t>)</w:t>
      </w:r>
    </w:p>
    <w:p w:rsidR="009C32FE" w:rsidRPr="009C32FE" w:rsidRDefault="00AD17C0" w:rsidP="001D4216">
      <w:pPr>
        <w:pStyle w:val="ListParagraph"/>
        <w:tabs>
          <w:tab w:val="clear" w:pos="4188"/>
          <w:tab w:val="num" w:pos="993"/>
        </w:tabs>
        <w:ind w:left="993" w:hanging="426"/>
      </w:pPr>
      <w:r>
        <w:t>the possibility that</w:t>
      </w:r>
      <w:r w:rsidR="009F66A1">
        <w:t xml:space="preserve"> </w:t>
      </w:r>
      <w:r w:rsidR="009C32FE">
        <w:t xml:space="preserve">Lachlan </w:t>
      </w:r>
      <w:r w:rsidR="009C32FE" w:rsidRPr="009C32FE">
        <w:t>Murdoch</w:t>
      </w:r>
      <w:r w:rsidR="009F66A1" w:rsidRPr="00EB7E48">
        <w:rPr>
          <w:rStyle w:val="FootnoteReference"/>
          <w:rFonts w:ascii="Arial" w:hAnsi="Arial"/>
          <w:sz w:val="20"/>
        </w:rPr>
        <w:footnoteReference w:id="8"/>
      </w:r>
      <w:r>
        <w:t>,</w:t>
      </w:r>
      <w:r w:rsidR="00FA1ECC">
        <w:t xml:space="preserve"> </w:t>
      </w:r>
      <w:r w:rsidR="009F66A1">
        <w:t>who</w:t>
      </w:r>
      <w:r w:rsidR="006007DF">
        <w:t xml:space="preserve"> will also have a representative</w:t>
      </w:r>
      <w:r>
        <w:t xml:space="preserve"> on Ten</w:t>
      </w:r>
      <w:r w:rsidR="006007DF">
        <w:t>’s board), may have an</w:t>
      </w:r>
      <w:r>
        <w:t xml:space="preserve"> incentive to align with Foxtel in some situations given </w:t>
      </w:r>
      <w:r w:rsidR="00F60157">
        <w:t xml:space="preserve">his and </w:t>
      </w:r>
      <w:r>
        <w:t>the Murdoch Family Trust’s interest</w:t>
      </w:r>
      <w:r w:rsidR="00F60157">
        <w:t>s</w:t>
      </w:r>
      <w:r>
        <w:t xml:space="preserve"> in News Corp, and indirectly, Foxtel</w:t>
      </w:r>
      <w:r w:rsidR="007136D7">
        <w:t>.</w:t>
      </w:r>
    </w:p>
    <w:p w:rsidR="003F6738" w:rsidRDefault="006C1605" w:rsidP="003F6738">
      <w:pPr>
        <w:pStyle w:val="NormalParagraph"/>
      </w:pPr>
      <w:r>
        <w:t>Significantly</w:t>
      </w:r>
      <w:r w:rsidR="00433BF9">
        <w:t xml:space="preserve">, the ACCC </w:t>
      </w:r>
      <w:r w:rsidR="007039D0">
        <w:t>recognised</w:t>
      </w:r>
      <w:r w:rsidR="00433BF9">
        <w:t xml:space="preserve"> </w:t>
      </w:r>
      <w:r w:rsidR="003F6738">
        <w:t xml:space="preserve">that there </w:t>
      </w:r>
      <w:r w:rsidR="007039D0">
        <w:t>will</w:t>
      </w:r>
      <w:r w:rsidR="003F6738">
        <w:t xml:space="preserve"> be limitations on the extent to which Foxtel </w:t>
      </w:r>
      <w:r w:rsidR="007039D0">
        <w:t>would</w:t>
      </w:r>
      <w:r w:rsidR="003F6738">
        <w:t xml:space="preserve"> be able to exert influence</w:t>
      </w:r>
      <w:r w:rsidR="005C159E">
        <w:t xml:space="preserve"> over Ten</w:t>
      </w:r>
      <w:r w:rsidR="006007DF">
        <w:t xml:space="preserve"> in circumstances where the interests of Foxtel and Ten were not aligned</w:t>
      </w:r>
      <w:r w:rsidR="005C159E">
        <w:t>,</w:t>
      </w:r>
      <w:r w:rsidR="003F6738">
        <w:t xml:space="preserve"> includ</w:t>
      </w:r>
      <w:r w:rsidR="005C159E">
        <w:t>ing</w:t>
      </w:r>
      <w:r w:rsidR="003F6738">
        <w:t>:</w:t>
      </w:r>
    </w:p>
    <w:p w:rsidR="00EE4115" w:rsidRDefault="006C1605" w:rsidP="001D4216">
      <w:pPr>
        <w:pStyle w:val="ListParagraph"/>
        <w:tabs>
          <w:tab w:val="clear" w:pos="4188"/>
          <w:tab w:val="num" w:pos="993"/>
        </w:tabs>
        <w:ind w:left="993" w:hanging="426"/>
      </w:pPr>
      <w:proofErr w:type="gramStart"/>
      <w:r>
        <w:t>t</w:t>
      </w:r>
      <w:r w:rsidR="005559F9">
        <w:t>he</w:t>
      </w:r>
      <w:proofErr w:type="gramEnd"/>
      <w:r w:rsidR="005559F9">
        <w:t xml:space="preserve"> four remaining members of the Ten board will comprise two independent directors and representatives of other major shareholders, including Birketu (owned by Bruce Gordon). </w:t>
      </w:r>
      <w:r w:rsidR="009F66A1">
        <w:t>These board members do not ha</w:t>
      </w:r>
      <w:r w:rsidR="007136D7">
        <w:t xml:space="preserve">ve relationships with or </w:t>
      </w:r>
      <w:r w:rsidR="009F66A1">
        <w:t xml:space="preserve">direct or indirect interests in Foxtel or </w:t>
      </w:r>
      <w:r w:rsidR="003F6738">
        <w:t>News</w:t>
      </w:r>
      <w:r w:rsidR="005C159E">
        <w:t xml:space="preserve"> Corp</w:t>
      </w:r>
    </w:p>
    <w:p w:rsidR="00EE4115" w:rsidRDefault="006C1605" w:rsidP="001D4216">
      <w:pPr>
        <w:pStyle w:val="ListParagraph"/>
        <w:tabs>
          <w:tab w:val="clear" w:pos="4188"/>
          <w:tab w:val="num" w:pos="993"/>
        </w:tabs>
        <w:ind w:left="993" w:hanging="426"/>
      </w:pPr>
      <w:proofErr w:type="gramStart"/>
      <w:r>
        <w:t>a</w:t>
      </w:r>
      <w:r w:rsidR="003F6738">
        <w:t>ll</w:t>
      </w:r>
      <w:proofErr w:type="gramEnd"/>
      <w:r w:rsidR="003F6738">
        <w:t xml:space="preserve"> </w:t>
      </w:r>
      <w:r w:rsidR="006E2FF5">
        <w:t>d</w:t>
      </w:r>
      <w:r w:rsidR="003F6738">
        <w:t>irectors</w:t>
      </w:r>
      <w:r w:rsidR="009F66A1">
        <w:t xml:space="preserve"> on the Ten board</w:t>
      </w:r>
      <w:r w:rsidR="003F6738">
        <w:t xml:space="preserve"> – no matter whose interests they represent – are required to act in the best interests of Ten in accordance with their statutory and fiduciary duties</w:t>
      </w:r>
      <w:r w:rsidR="00E92501">
        <w:t>, and with any board protocols which may be in place</w:t>
      </w:r>
      <w:r w:rsidR="00F60157">
        <w:t>.</w:t>
      </w:r>
    </w:p>
    <w:p w:rsidR="002F59F7" w:rsidRDefault="00A56B4E" w:rsidP="00BB70E5">
      <w:pPr>
        <w:pStyle w:val="Heading4"/>
        <w:spacing w:before="240"/>
      </w:pPr>
      <w:r>
        <w:lastRenderedPageBreak/>
        <w:t xml:space="preserve">Markets for the acquisition of </w:t>
      </w:r>
      <w:r w:rsidR="00CF6010">
        <w:t>television</w:t>
      </w:r>
      <w:r>
        <w:t xml:space="preserve"> content</w:t>
      </w:r>
    </w:p>
    <w:p w:rsidR="00035D57" w:rsidRDefault="00035D57" w:rsidP="00BB70E5">
      <w:pPr>
        <w:pStyle w:val="NormalParagraph"/>
      </w:pPr>
      <w:r>
        <w:t xml:space="preserve">The ACCC investigated whether the proposed acquisitions, by </w:t>
      </w:r>
      <w:r w:rsidR="00C36F74">
        <w:t xml:space="preserve">more closely </w:t>
      </w:r>
      <w:r>
        <w:t xml:space="preserve">aligning the interests of Ten and Foxtel, may </w:t>
      </w:r>
      <w:r w:rsidR="00594EAF">
        <w:t xml:space="preserve">have the effect of </w:t>
      </w:r>
      <w:r>
        <w:t>limit</w:t>
      </w:r>
      <w:r w:rsidR="00594EAF">
        <w:t>ing</w:t>
      </w:r>
      <w:r w:rsidR="00CF6010">
        <w:t xml:space="preserve"> </w:t>
      </w:r>
      <w:r w:rsidR="00594EAF">
        <w:t xml:space="preserve">the ability of other </w:t>
      </w:r>
      <w:r w:rsidR="00CF6010">
        <w:t>FTA providers</w:t>
      </w:r>
      <w:r w:rsidR="00594EAF">
        <w:t xml:space="preserve"> to compete:</w:t>
      </w:r>
    </w:p>
    <w:p w:rsidR="00035D57" w:rsidRDefault="00035D57" w:rsidP="001D4216">
      <w:pPr>
        <w:pStyle w:val="ListParagraph"/>
        <w:tabs>
          <w:tab w:val="clear" w:pos="4188"/>
          <w:tab w:val="num" w:pos="993"/>
        </w:tabs>
        <w:ind w:left="993" w:hanging="426"/>
      </w:pPr>
      <w:r>
        <w:t>for th</w:t>
      </w:r>
      <w:r w:rsidR="005559F9">
        <w:t>e acquisition of sports content</w:t>
      </w:r>
    </w:p>
    <w:p w:rsidR="00035D57" w:rsidRDefault="00035D57" w:rsidP="001D4216">
      <w:pPr>
        <w:pStyle w:val="ListParagraph"/>
        <w:tabs>
          <w:tab w:val="clear" w:pos="4188"/>
          <w:tab w:val="num" w:pos="993"/>
        </w:tabs>
        <w:ind w:left="993" w:hanging="426"/>
      </w:pPr>
      <w:proofErr w:type="gramStart"/>
      <w:r>
        <w:t>for</w:t>
      </w:r>
      <w:proofErr w:type="gramEnd"/>
      <w:r>
        <w:t xml:space="preserve"> the ac</w:t>
      </w:r>
      <w:r w:rsidR="002017DA">
        <w:t>quisition of non-sport content.</w:t>
      </w:r>
    </w:p>
    <w:p w:rsidR="00BB70E5" w:rsidRDefault="00035D57" w:rsidP="00BB70E5">
      <w:pPr>
        <w:pStyle w:val="NormalParagraph"/>
      </w:pPr>
      <w:r>
        <w:t>Each of these potential effects in the relevant market is analysed below.</w:t>
      </w:r>
    </w:p>
    <w:p w:rsidR="00292019" w:rsidRDefault="00292019" w:rsidP="00BB70E5">
      <w:pPr>
        <w:pStyle w:val="Heading5"/>
        <w:keepNext/>
        <w:spacing w:before="120"/>
      </w:pPr>
      <w:r>
        <w:t>Acquisition of sports content</w:t>
      </w:r>
    </w:p>
    <w:p w:rsidR="0027226F" w:rsidRPr="00170E10" w:rsidRDefault="0027226F" w:rsidP="00B86382">
      <w:pPr>
        <w:pStyle w:val="Heading6"/>
        <w:keepNext/>
      </w:pPr>
      <w:r>
        <w:t>Background</w:t>
      </w:r>
    </w:p>
    <w:p w:rsidR="00A33207" w:rsidRDefault="00A33207" w:rsidP="007039D0">
      <w:pPr>
        <w:pStyle w:val="NormalParagraph"/>
      </w:pPr>
      <w:r>
        <w:t>The ACCC investigated whether the proposed acquisitions</w:t>
      </w:r>
      <w:r w:rsidR="00296D8B">
        <w:t xml:space="preserve"> and </w:t>
      </w:r>
      <w:r w:rsidR="000D1445">
        <w:t>subsequent</w:t>
      </w:r>
      <w:r w:rsidR="00296D8B">
        <w:t xml:space="preserve"> alignment of Foxtel, Fox Sports and Ten’s incentives to enter into joint bids, commercial arrangements or </w:t>
      </w:r>
      <w:r w:rsidR="000D1445">
        <w:t xml:space="preserve">bid exclusively with each other </w:t>
      </w:r>
      <w:r w:rsidR="00296D8B">
        <w:t xml:space="preserve">would reduce or foreclose the ability of other FTA networks to compete for </w:t>
      </w:r>
      <w:r w:rsidR="000D1445">
        <w:t>sports rights</w:t>
      </w:r>
      <w:r w:rsidR="005559F9">
        <w:t>.</w:t>
      </w:r>
    </w:p>
    <w:p w:rsidR="00437456" w:rsidRDefault="00285A1D" w:rsidP="007039D0">
      <w:pPr>
        <w:pStyle w:val="NormalParagraph"/>
      </w:pPr>
      <w:r>
        <w:t>Sports content, in particular premium sports content</w:t>
      </w:r>
      <w:r w:rsidRPr="00733FA9">
        <w:rPr>
          <w:rStyle w:val="FootnoteReference"/>
          <w:rFonts w:ascii="Arial" w:hAnsi="Arial" w:cs="Arial"/>
          <w:sz w:val="20"/>
        </w:rPr>
        <w:footnoteReference w:id="9"/>
      </w:r>
      <w:r w:rsidR="00EB7E48">
        <w:t>,</w:t>
      </w:r>
      <w:r>
        <w:t xml:space="preserve"> is </w:t>
      </w:r>
      <w:r w:rsidR="007039D0">
        <w:t xml:space="preserve">an </w:t>
      </w:r>
      <w:r>
        <w:t>extremely important part of an FTA network’s program offering due to</w:t>
      </w:r>
      <w:r w:rsidR="00517C5B">
        <w:t xml:space="preserve"> the high ratings it achieves. </w:t>
      </w:r>
      <w:r w:rsidR="00437456">
        <w:t>Viewer interest in major sports is generally consistent over many years, whereas interest in other programs or formats (for example, reality television programs) can fluctuat</w:t>
      </w:r>
      <w:r w:rsidR="005559F9">
        <w:t>e more rapidly over time.</w:t>
      </w:r>
    </w:p>
    <w:p w:rsidR="00292019" w:rsidRDefault="00437456" w:rsidP="00DF5D22">
      <w:pPr>
        <w:pStyle w:val="NormalParagraph"/>
      </w:pPr>
      <w:r>
        <w:t xml:space="preserve">The consistent ratings of major sports allow FTA networks to implement cross promotions and </w:t>
      </w:r>
      <w:r w:rsidR="00517C5B">
        <w:t>‘</w:t>
      </w:r>
      <w:r>
        <w:t>lead</w:t>
      </w:r>
      <w:r w:rsidR="003516F7">
        <w:t>-</w:t>
      </w:r>
      <w:r>
        <w:t>in</w:t>
      </w:r>
      <w:r w:rsidR="00517C5B">
        <w:t>’</w:t>
      </w:r>
      <w:r w:rsidR="003516F7">
        <w:t xml:space="preserve"> </w:t>
      </w:r>
      <w:r>
        <w:t>strategies</w:t>
      </w:r>
      <w:r w:rsidR="00DF5D22" w:rsidRPr="00EB7E48">
        <w:rPr>
          <w:rStyle w:val="FootnoteReference"/>
          <w:rFonts w:ascii="Arial" w:hAnsi="Arial" w:cs="Arial"/>
          <w:sz w:val="20"/>
        </w:rPr>
        <w:footnoteReference w:id="10"/>
      </w:r>
      <w:r>
        <w:t xml:space="preserve"> around these major events, leading to a ratings ‘halo’ effect that increases the network’s ratings overall. The benefits from sports content lead FTA networks to </w:t>
      </w:r>
      <w:r w:rsidR="006F65F8">
        <w:t xml:space="preserve">generally </w:t>
      </w:r>
      <w:r>
        <w:t>spend a significant proportion of their programming budgets on the acquisition of premium sports rights.</w:t>
      </w:r>
      <w:r w:rsidR="00DF5D22">
        <w:t xml:space="preserve"> </w:t>
      </w:r>
      <w:r w:rsidR="008974A8">
        <w:t>Sports content is also very important to Foxtel</w:t>
      </w:r>
      <w:r w:rsidR="007039D0">
        <w:t>’s</w:t>
      </w:r>
      <w:r w:rsidR="008974A8">
        <w:t xml:space="preserve"> </w:t>
      </w:r>
      <w:r w:rsidR="007039D0">
        <w:t>ability to</w:t>
      </w:r>
      <w:r w:rsidR="005559F9">
        <w:t xml:space="preserve"> attract subscribers.</w:t>
      </w:r>
    </w:p>
    <w:p w:rsidR="00292019" w:rsidRDefault="008974A8" w:rsidP="007039D0">
      <w:pPr>
        <w:pStyle w:val="NormalParagraph"/>
      </w:pPr>
      <w:r>
        <w:t>The ACCC considers that the benefits to FTA networks and STV providers of having the rights to premium sporting events are unlikely to dec</w:t>
      </w:r>
      <w:r w:rsidR="0027226F">
        <w:t>rease in the foreseeable future.</w:t>
      </w:r>
      <w:r>
        <w:t xml:space="preserve"> </w:t>
      </w:r>
    </w:p>
    <w:p w:rsidR="00292019" w:rsidRDefault="009618BE" w:rsidP="00B86382">
      <w:pPr>
        <w:pStyle w:val="Heading6"/>
        <w:keepNext/>
      </w:pPr>
      <w:r w:rsidRPr="00170E10">
        <w:t xml:space="preserve">Uncertainty </w:t>
      </w:r>
      <w:r w:rsidR="00B86382">
        <w:t>about future</w:t>
      </w:r>
      <w:r w:rsidRPr="00170E10">
        <w:t xml:space="preserve"> </w:t>
      </w:r>
      <w:r w:rsidR="00B86382">
        <w:t xml:space="preserve">broadcasting of </w:t>
      </w:r>
      <w:r w:rsidRPr="00170E10">
        <w:t>premium sport</w:t>
      </w:r>
      <w:r w:rsidR="00B86382">
        <w:t>s</w:t>
      </w:r>
      <w:r w:rsidRPr="00170E10">
        <w:t xml:space="preserve"> rights</w:t>
      </w:r>
    </w:p>
    <w:p w:rsidR="00B16EE3" w:rsidRDefault="00B16EE3" w:rsidP="00B16EE3">
      <w:pPr>
        <w:pStyle w:val="NormalParagraph"/>
      </w:pPr>
      <w:r>
        <w:t>The ACCC took into account in its consideration of the proposed acquisitions the fact that r</w:t>
      </w:r>
      <w:r w:rsidRPr="00B16EE3">
        <w:t xml:space="preserve">ights to the most popular premium sports will not </w:t>
      </w:r>
      <w:r>
        <w:t>b</w:t>
      </w:r>
      <w:r w:rsidR="005559F9">
        <w:t>ecome available for some years.</w:t>
      </w:r>
    </w:p>
    <w:p w:rsidR="006F65F8" w:rsidRDefault="008900FD" w:rsidP="00B16EE3">
      <w:pPr>
        <w:pStyle w:val="NormalParagraph"/>
      </w:pPr>
      <w:r>
        <w:t>Seven and Nine</w:t>
      </w:r>
      <w:r w:rsidR="00B16EE3">
        <w:t xml:space="preserve"> have obtained the </w:t>
      </w:r>
      <w:r w:rsidR="007B051F">
        <w:t xml:space="preserve">FTA </w:t>
      </w:r>
      <w:r w:rsidR="00B16EE3">
        <w:t xml:space="preserve">rights to content for the top four premium sports for the next 4-8 years. This includes </w:t>
      </w:r>
      <w:r w:rsidR="00B16EE3">
        <w:rPr>
          <w:rFonts w:cs="Arial"/>
        </w:rPr>
        <w:t xml:space="preserve">the AFL, NRL, Australian Open </w:t>
      </w:r>
      <w:r w:rsidR="007B051F">
        <w:rPr>
          <w:rFonts w:cs="Arial"/>
        </w:rPr>
        <w:t>t</w:t>
      </w:r>
      <w:r w:rsidR="00B16EE3">
        <w:rPr>
          <w:rFonts w:cs="Arial"/>
        </w:rPr>
        <w:t xml:space="preserve">ennis and international cricket played in Australia (including T20, one-day internationals and </w:t>
      </w:r>
      <w:r w:rsidR="007B051F">
        <w:rPr>
          <w:rFonts w:cs="Arial"/>
        </w:rPr>
        <w:t>t</w:t>
      </w:r>
      <w:r w:rsidR="00B16EE3">
        <w:rPr>
          <w:rFonts w:cs="Arial"/>
        </w:rPr>
        <w:t>est matches).</w:t>
      </w:r>
      <w:r w:rsidR="00B16EE3" w:rsidRPr="00B16EE3">
        <w:t xml:space="preserve"> </w:t>
      </w:r>
      <w:r w:rsidR="00B16EE3" w:rsidRPr="00B16EE3">
        <w:rPr>
          <w:rFonts w:cs="Arial"/>
        </w:rPr>
        <w:t xml:space="preserve">The rights to the domestic Big Bash League are currently held by </w:t>
      </w:r>
      <w:proofErr w:type="gramStart"/>
      <w:r w:rsidR="00B16EE3" w:rsidRPr="00B16EE3">
        <w:rPr>
          <w:rFonts w:cs="Arial"/>
        </w:rPr>
        <w:t>Ten</w:t>
      </w:r>
      <w:proofErr w:type="gramEnd"/>
      <w:r w:rsidR="00B16EE3" w:rsidRPr="00B16EE3">
        <w:rPr>
          <w:rFonts w:cs="Arial"/>
        </w:rPr>
        <w:t xml:space="preserve"> until 2018.</w:t>
      </w:r>
      <w:r w:rsidR="00B16EE3">
        <w:rPr>
          <w:rFonts w:cs="Arial"/>
        </w:rPr>
        <w:t xml:space="preserve"> </w:t>
      </w:r>
      <w:r w:rsidR="00443A3A">
        <w:t>During the</w:t>
      </w:r>
      <w:r w:rsidR="00544E2E">
        <w:t xml:space="preserve"> course of the ACCC’s</w:t>
      </w:r>
      <w:r w:rsidR="00443A3A">
        <w:t xml:space="preserve"> investigation, the AFL (all rights) and NRL (FTA </w:t>
      </w:r>
      <w:r w:rsidR="006573BF">
        <w:t xml:space="preserve">and digital </w:t>
      </w:r>
      <w:r w:rsidR="00443A3A">
        <w:t xml:space="preserve">rights only) </w:t>
      </w:r>
      <w:r w:rsidR="00443A3A">
        <w:lastRenderedPageBreak/>
        <w:t>completed negotiations for the broadcast of their content</w:t>
      </w:r>
      <w:r w:rsidR="00AD1DB5">
        <w:t xml:space="preserve">, with </w:t>
      </w:r>
      <w:r w:rsidR="00443A3A">
        <w:t>agreements entered</w:t>
      </w:r>
      <w:r w:rsidR="005559F9">
        <w:t xml:space="preserve"> into until 2022 for each code.</w:t>
      </w:r>
    </w:p>
    <w:p w:rsidR="00AD1DB5" w:rsidRDefault="00443A3A" w:rsidP="006624BB">
      <w:pPr>
        <w:pStyle w:val="NormalParagraph"/>
      </w:pPr>
      <w:r>
        <w:t>Given this, the</w:t>
      </w:r>
      <w:r w:rsidR="009618BE">
        <w:t xml:space="preserve"> ACC</w:t>
      </w:r>
      <w:r w:rsidR="00653F48">
        <w:t>C</w:t>
      </w:r>
      <w:r w:rsidR="009618BE">
        <w:t xml:space="preserve"> </w:t>
      </w:r>
      <w:r w:rsidR="007039D0">
        <w:t>took into account</w:t>
      </w:r>
      <w:r w:rsidR="00B34F17">
        <w:t xml:space="preserve"> </w:t>
      </w:r>
      <w:r w:rsidR="00544E2E">
        <w:t xml:space="preserve">the </w:t>
      </w:r>
      <w:r w:rsidR="009618BE">
        <w:t xml:space="preserve">uncertainty about the </w:t>
      </w:r>
      <w:r w:rsidR="007039D0">
        <w:t xml:space="preserve">likely </w:t>
      </w:r>
      <w:r w:rsidR="009618BE">
        <w:t xml:space="preserve">competitive dynamics when </w:t>
      </w:r>
      <w:r w:rsidR="00B16EE3">
        <w:t xml:space="preserve">sporting bodies, including </w:t>
      </w:r>
      <w:r w:rsidR="009618BE">
        <w:t>the AFL and NRL</w:t>
      </w:r>
      <w:r w:rsidR="00B16EE3">
        <w:t>,</w:t>
      </w:r>
      <w:r w:rsidR="007039D0">
        <w:t xml:space="preserve"> will</w:t>
      </w:r>
      <w:r w:rsidR="009618BE">
        <w:t xml:space="preserve"> commence</w:t>
      </w:r>
      <w:r w:rsidR="00B34F17">
        <w:t xml:space="preserve"> the next round of</w:t>
      </w:r>
      <w:r w:rsidR="009618BE">
        <w:t xml:space="preserve"> negotiations </w:t>
      </w:r>
      <w:r w:rsidR="00F60157">
        <w:t>to licens</w:t>
      </w:r>
      <w:r w:rsidR="00782C7C">
        <w:t xml:space="preserve">e </w:t>
      </w:r>
      <w:r w:rsidR="009618BE">
        <w:t xml:space="preserve">their rights. </w:t>
      </w:r>
      <w:r>
        <w:t>T</w:t>
      </w:r>
      <w:r w:rsidR="009618BE">
        <w:t>he ACCC consider</w:t>
      </w:r>
      <w:r w:rsidR="0027783D">
        <w:t>ed</w:t>
      </w:r>
      <w:r w:rsidR="009618BE">
        <w:t xml:space="preserve"> </w:t>
      </w:r>
      <w:r w:rsidR="008900FD">
        <w:t xml:space="preserve">that </w:t>
      </w:r>
      <w:r w:rsidR="009618BE">
        <w:t xml:space="preserve">there </w:t>
      </w:r>
      <w:r w:rsidR="00CF6010">
        <w:t>may be</w:t>
      </w:r>
      <w:r w:rsidR="0027783D">
        <w:t xml:space="preserve"> potential</w:t>
      </w:r>
      <w:r w:rsidR="0089351F">
        <w:t>,</w:t>
      </w:r>
      <w:r w:rsidR="009618BE">
        <w:t xml:space="preserve"> </w:t>
      </w:r>
      <w:r w:rsidR="008900FD">
        <w:t>in the next five years or so</w:t>
      </w:r>
      <w:r w:rsidR="0089351F">
        <w:t>,</w:t>
      </w:r>
      <w:r w:rsidR="008900FD">
        <w:t xml:space="preserve"> </w:t>
      </w:r>
      <w:r w:rsidR="009618BE">
        <w:t>for significant growth in SVOD and other streaming services</w:t>
      </w:r>
      <w:r w:rsidR="00B16EE3">
        <w:t>,</w:t>
      </w:r>
      <w:r w:rsidR="009618BE">
        <w:t xml:space="preserve"> </w:t>
      </w:r>
      <w:r w:rsidR="008900FD">
        <w:t xml:space="preserve">such as </w:t>
      </w:r>
      <w:r w:rsidR="00B16EE3">
        <w:t xml:space="preserve">direct </w:t>
      </w:r>
      <w:r w:rsidR="0027783D">
        <w:t xml:space="preserve">streaming </w:t>
      </w:r>
      <w:r w:rsidR="007039D0">
        <w:t xml:space="preserve">of </w:t>
      </w:r>
      <w:r w:rsidR="0027783D">
        <w:t xml:space="preserve">live sports </w:t>
      </w:r>
      <w:r w:rsidR="007039D0">
        <w:t>content</w:t>
      </w:r>
      <w:r w:rsidR="008900FD">
        <w:t xml:space="preserve">. </w:t>
      </w:r>
      <w:r w:rsidR="00B86382">
        <w:t>Such</w:t>
      </w:r>
      <w:r w:rsidR="00FC157A">
        <w:t xml:space="preserve"> developments</w:t>
      </w:r>
      <w:r w:rsidR="00AD1DB5">
        <w:t xml:space="preserve"> </w:t>
      </w:r>
      <w:r w:rsidR="00B86382">
        <w:t>w</w:t>
      </w:r>
      <w:r w:rsidR="00AD1DB5">
        <w:t xml:space="preserve">ould potentially </w:t>
      </w:r>
      <w:r>
        <w:t>increas</w:t>
      </w:r>
      <w:r w:rsidR="00AD1DB5">
        <w:t>e</w:t>
      </w:r>
      <w:r>
        <w:t xml:space="preserve"> competition for </w:t>
      </w:r>
      <w:r w:rsidR="00FC157A">
        <w:t>sports</w:t>
      </w:r>
      <w:r>
        <w:t xml:space="preserve"> rights</w:t>
      </w:r>
      <w:r w:rsidR="00DE2C33">
        <w:t>, in particular non-premium sports rights,</w:t>
      </w:r>
      <w:r>
        <w:t xml:space="preserve"> in the </w:t>
      </w:r>
      <w:r w:rsidR="00FC157A">
        <w:t>future</w:t>
      </w:r>
      <w:r w:rsidR="00D30A7F">
        <w:t>.</w:t>
      </w:r>
    </w:p>
    <w:p w:rsidR="00035D57" w:rsidRDefault="00E130B5" w:rsidP="00B86382">
      <w:pPr>
        <w:pStyle w:val="Heading6"/>
        <w:keepNext/>
      </w:pPr>
      <w:r>
        <w:t>B</w:t>
      </w:r>
      <w:r w:rsidR="00035D57">
        <w:t>argaining</w:t>
      </w:r>
      <w:r>
        <w:t xml:space="preserve"> and countervailing</w:t>
      </w:r>
      <w:r w:rsidR="00035D57">
        <w:t xml:space="preserve"> power of sporting bodies</w:t>
      </w:r>
    </w:p>
    <w:p w:rsidR="008E152A" w:rsidRPr="008E152A" w:rsidRDefault="008E152A" w:rsidP="008E152A">
      <w:pPr>
        <w:pStyle w:val="NormalParagraph"/>
      </w:pPr>
      <w:r>
        <w:t xml:space="preserve">The ACCC </w:t>
      </w:r>
      <w:r w:rsidR="005A7E34">
        <w:t>found</w:t>
      </w:r>
      <w:r w:rsidR="005A7E34" w:rsidRPr="005A7E34">
        <w:t xml:space="preserve"> </w:t>
      </w:r>
      <w:r>
        <w:t xml:space="preserve">that </w:t>
      </w:r>
      <w:r w:rsidR="00A07361">
        <w:t xml:space="preserve">some </w:t>
      </w:r>
      <w:r>
        <w:rPr>
          <w:rFonts w:cs="Arial"/>
        </w:rPr>
        <w:t xml:space="preserve">sporting bodies have </w:t>
      </w:r>
      <w:r w:rsidR="007B051F">
        <w:rPr>
          <w:rFonts w:cs="Arial"/>
        </w:rPr>
        <w:t>a degree of</w:t>
      </w:r>
      <w:r w:rsidR="00204D2D">
        <w:rPr>
          <w:rFonts w:cs="Arial"/>
        </w:rPr>
        <w:t xml:space="preserve"> </w:t>
      </w:r>
      <w:r w:rsidR="00E60D9C">
        <w:rPr>
          <w:rFonts w:cs="Arial"/>
        </w:rPr>
        <w:t xml:space="preserve">bargaining </w:t>
      </w:r>
      <w:r>
        <w:rPr>
          <w:rFonts w:cs="Arial"/>
        </w:rPr>
        <w:t>power when negotiating the</w:t>
      </w:r>
      <w:r w:rsidR="00866334">
        <w:rPr>
          <w:rFonts w:cs="Arial"/>
        </w:rPr>
        <w:t xml:space="preserve"> sale of</w:t>
      </w:r>
      <w:r w:rsidR="00B63721">
        <w:rPr>
          <w:rFonts w:cs="Arial"/>
        </w:rPr>
        <w:t xml:space="preserve"> premium sports</w:t>
      </w:r>
      <w:r>
        <w:rPr>
          <w:rFonts w:cs="Arial"/>
        </w:rPr>
        <w:t xml:space="preserve"> rights</w:t>
      </w:r>
      <w:r w:rsidR="00866334">
        <w:rPr>
          <w:rFonts w:cs="Arial"/>
        </w:rPr>
        <w:t>,</w:t>
      </w:r>
      <w:r>
        <w:rPr>
          <w:rFonts w:cs="Arial"/>
        </w:rPr>
        <w:t xml:space="preserve"> as their content is extremely valuable to both FTA networks and Foxtel</w:t>
      </w:r>
      <w:r w:rsidR="00866334">
        <w:rPr>
          <w:rFonts w:cs="Arial"/>
        </w:rPr>
        <w:t>,</w:t>
      </w:r>
      <w:r w:rsidR="00866334" w:rsidRPr="00866334">
        <w:rPr>
          <w:rFonts w:cs="Arial"/>
        </w:rPr>
        <w:t xml:space="preserve"> </w:t>
      </w:r>
      <w:r w:rsidR="00866334">
        <w:rPr>
          <w:rFonts w:cs="Arial"/>
        </w:rPr>
        <w:t xml:space="preserve">and </w:t>
      </w:r>
      <w:r w:rsidR="00866334" w:rsidRPr="0083675E">
        <w:rPr>
          <w:rFonts w:cs="Arial"/>
        </w:rPr>
        <w:t>this power may increase in the future if sporting bodies are able to use direct streaming as an alternative</w:t>
      </w:r>
      <w:r w:rsidR="005559F9">
        <w:rPr>
          <w:rFonts w:cs="Arial"/>
        </w:rPr>
        <w:t>.</w:t>
      </w:r>
    </w:p>
    <w:p w:rsidR="009618BE" w:rsidRPr="006C3FA5" w:rsidRDefault="009618BE" w:rsidP="009618BE">
      <w:pPr>
        <w:pStyle w:val="NormalParagraph"/>
        <w:rPr>
          <w:rFonts w:cs="Arial"/>
        </w:rPr>
      </w:pPr>
      <w:r>
        <w:t xml:space="preserve">The ACCC </w:t>
      </w:r>
      <w:r w:rsidR="005C195C">
        <w:t xml:space="preserve">found </w:t>
      </w:r>
      <w:r>
        <w:t xml:space="preserve">that </w:t>
      </w:r>
      <w:r w:rsidR="00204D2D">
        <w:t xml:space="preserve">sporting bodies, </w:t>
      </w:r>
      <w:r>
        <w:t>when negotiating the</w:t>
      </w:r>
      <w:r w:rsidR="00A43183">
        <w:t xml:space="preserve"> sale of sports viewing</w:t>
      </w:r>
      <w:r>
        <w:t xml:space="preserve"> rights, </w:t>
      </w:r>
      <w:r w:rsidR="005C195C">
        <w:t xml:space="preserve">seek to </w:t>
      </w:r>
      <w:r>
        <w:t xml:space="preserve">optimise the overall returns they obtain by balancing </w:t>
      </w:r>
      <w:r w:rsidR="008E152A">
        <w:t xml:space="preserve">audience </w:t>
      </w:r>
      <w:r>
        <w:t xml:space="preserve">reach and revenue considerations. Foxtel has historically been the highest bidder for </w:t>
      </w:r>
      <w:r w:rsidR="008E152A">
        <w:t xml:space="preserve">these </w:t>
      </w:r>
      <w:r>
        <w:t>rights because it can recoup the cost through subscription revenue</w:t>
      </w:r>
      <w:r w:rsidR="008E152A">
        <w:t>.</w:t>
      </w:r>
      <w:r w:rsidRPr="006C3FA5">
        <w:t xml:space="preserve"> </w:t>
      </w:r>
      <w:r w:rsidR="008E152A">
        <w:t>However, Foxtel</w:t>
      </w:r>
      <w:r w:rsidRPr="006C3FA5">
        <w:t xml:space="preserve"> cannot deliver</w:t>
      </w:r>
      <w:r w:rsidR="008E152A">
        <w:t xml:space="preserve"> </w:t>
      </w:r>
      <w:r w:rsidR="005A7E34">
        <w:t>the same level of</w:t>
      </w:r>
      <w:r w:rsidR="008E152A">
        <w:t xml:space="preserve"> audience</w:t>
      </w:r>
      <w:r>
        <w:t xml:space="preserve"> reach </w:t>
      </w:r>
      <w:r w:rsidR="005A7E34">
        <w:t>as</w:t>
      </w:r>
      <w:r w:rsidR="008E152A">
        <w:t xml:space="preserve"> the </w:t>
      </w:r>
      <w:r>
        <w:t>FTA</w:t>
      </w:r>
      <w:r w:rsidR="008E152A">
        <w:t xml:space="preserve"> networks</w:t>
      </w:r>
      <w:r>
        <w:t xml:space="preserve"> </w:t>
      </w:r>
      <w:r w:rsidR="008E152A">
        <w:t xml:space="preserve">as </w:t>
      </w:r>
      <w:r>
        <w:t xml:space="preserve">its penetration rate </w:t>
      </w:r>
      <w:r w:rsidR="008E152A">
        <w:t xml:space="preserve">is </w:t>
      </w:r>
      <w:r w:rsidR="00204D2D">
        <w:t xml:space="preserve">only </w:t>
      </w:r>
      <w:r w:rsidR="008E152A">
        <w:t>approximately</w:t>
      </w:r>
      <w:r>
        <w:t xml:space="preserve"> </w:t>
      </w:r>
      <w:r w:rsidR="005A7E34">
        <w:t>one</w:t>
      </w:r>
      <w:r>
        <w:t xml:space="preserve"> third of Australian households. </w:t>
      </w:r>
      <w:r w:rsidR="005A7E34">
        <w:t>Consequently</w:t>
      </w:r>
      <w:r w:rsidR="00A001A6">
        <w:t xml:space="preserve"> (and in combination with the functioning of </w:t>
      </w:r>
      <w:r w:rsidR="00F60157">
        <w:t xml:space="preserve">the </w:t>
      </w:r>
      <w:r w:rsidR="00A001A6">
        <w:t>anti-siphoning regime discussed from paragraph 8</w:t>
      </w:r>
      <w:r w:rsidR="00F630A1">
        <w:t>7)</w:t>
      </w:r>
      <w:r w:rsidR="005A7E34">
        <w:t>,</w:t>
      </w:r>
      <w:r w:rsidR="005C195C">
        <w:t xml:space="preserve"> </w:t>
      </w:r>
      <w:r>
        <w:t xml:space="preserve">it is common to see </w:t>
      </w:r>
      <w:r w:rsidRPr="006C3FA5">
        <w:t xml:space="preserve">the </w:t>
      </w:r>
      <w:r>
        <w:t>highest-rating</w:t>
      </w:r>
      <w:r w:rsidRPr="006C3FA5">
        <w:t xml:space="preserve"> </w:t>
      </w:r>
      <w:r w:rsidR="00B0441C">
        <w:t xml:space="preserve">games or </w:t>
      </w:r>
      <w:r w:rsidRPr="006C3FA5">
        <w:t>events broadcast on FTA</w:t>
      </w:r>
      <w:r>
        <w:t xml:space="preserve"> (and </w:t>
      </w:r>
      <w:r w:rsidR="00A07434">
        <w:t xml:space="preserve">in many cases </w:t>
      </w:r>
      <w:r>
        <w:t>simulcast on Foxtel)</w:t>
      </w:r>
      <w:r w:rsidR="00B0441C">
        <w:t xml:space="preserve"> and the remaining</w:t>
      </w:r>
      <w:r w:rsidR="00B12AD4">
        <w:t xml:space="preserve"> less popular</w:t>
      </w:r>
      <w:r w:rsidR="00B0441C">
        <w:t xml:space="preserve"> games or events shown exclusively on Foxtel</w:t>
      </w:r>
      <w:r w:rsidR="00EB7E48">
        <w:t>.</w:t>
      </w:r>
      <w:r w:rsidR="006624BB" w:rsidRPr="00EB7E48">
        <w:rPr>
          <w:rStyle w:val="FootnoteReference"/>
          <w:rFonts w:ascii="Arial" w:hAnsi="Arial" w:cs="Arial"/>
          <w:sz w:val="20"/>
        </w:rPr>
        <w:footnoteReference w:id="11"/>
      </w:r>
      <w:r>
        <w:t xml:space="preserve"> </w:t>
      </w:r>
      <w:r w:rsidR="002052D9">
        <w:t>T</w:t>
      </w:r>
      <w:r>
        <w:t>his gives the sporting body the desired balance between reach and revenue</w:t>
      </w:r>
      <w:r w:rsidR="006624BB">
        <w:t>.</w:t>
      </w:r>
    </w:p>
    <w:p w:rsidR="00E130B5" w:rsidRDefault="006624BB" w:rsidP="00C041FC">
      <w:pPr>
        <w:pStyle w:val="NormalParagraph"/>
      </w:pPr>
      <w:r>
        <w:t>S</w:t>
      </w:r>
      <w:r w:rsidR="009618BE">
        <w:t xml:space="preserve">porting </w:t>
      </w:r>
      <w:r w:rsidR="009618BE" w:rsidRPr="006C3FA5">
        <w:t xml:space="preserve">bodies </w:t>
      </w:r>
      <w:r w:rsidR="009618BE">
        <w:t xml:space="preserve">also aim to balance short-term with longer-term considerations. </w:t>
      </w:r>
      <w:r w:rsidR="0040653A">
        <w:t>In the short-term, s</w:t>
      </w:r>
      <w:r w:rsidR="009618BE">
        <w:t xml:space="preserve">porting </w:t>
      </w:r>
      <w:r w:rsidR="005A7E34">
        <w:t>bodies</w:t>
      </w:r>
      <w:r w:rsidR="009618BE">
        <w:t xml:space="preserve"> may forgo </w:t>
      </w:r>
      <w:r w:rsidR="005A7E34">
        <w:t>some</w:t>
      </w:r>
      <w:r w:rsidR="009618BE">
        <w:t xml:space="preserve"> revenue (by selling games or events </w:t>
      </w:r>
      <w:r w:rsidR="0040653A">
        <w:t xml:space="preserve">to a FTA network rather than </w:t>
      </w:r>
      <w:r w:rsidR="009618BE">
        <w:t>exclusively to Foxtel)</w:t>
      </w:r>
      <w:r w:rsidR="009618BE" w:rsidRPr="006C3FA5">
        <w:t xml:space="preserve"> </w:t>
      </w:r>
      <w:r w:rsidR="009618BE">
        <w:t>in order to expand the reach of their sport and thereby build (or maintain) the broad popularity of the sport over time</w:t>
      </w:r>
      <w:r w:rsidR="004B40C3">
        <w:t>.</w:t>
      </w:r>
      <w:r w:rsidR="0040653A">
        <w:t xml:space="preserve"> </w:t>
      </w:r>
      <w:r w:rsidR="004B40C3">
        <w:t>O</w:t>
      </w:r>
      <w:r w:rsidR="0040653A">
        <w:t>ver the longer-term</w:t>
      </w:r>
      <w:r w:rsidR="009618BE">
        <w:t xml:space="preserve">, </w:t>
      </w:r>
      <w:r w:rsidR="0040653A">
        <w:t>greater popularity</w:t>
      </w:r>
      <w:r w:rsidR="009618BE">
        <w:t xml:space="preserve"> will lead to higher ratings and </w:t>
      </w:r>
      <w:r w:rsidR="002052D9">
        <w:t xml:space="preserve">future </w:t>
      </w:r>
      <w:r w:rsidR="009618BE">
        <w:t xml:space="preserve">revenues for their rights. For example, Netball Australia chose Ten to televise </w:t>
      </w:r>
      <w:r w:rsidR="003E2018">
        <w:t xml:space="preserve">some matches from its </w:t>
      </w:r>
      <w:r w:rsidR="00A22C43">
        <w:t xml:space="preserve">domestic competition (the ANZ Championship) and </w:t>
      </w:r>
      <w:r w:rsidR="009618BE">
        <w:t xml:space="preserve">Netball World Cup to increase exposure to the sport as this </w:t>
      </w:r>
      <w:r w:rsidR="0040653A">
        <w:t>was</w:t>
      </w:r>
      <w:r w:rsidR="009618BE">
        <w:t xml:space="preserve"> expected to build interest, audiences and </w:t>
      </w:r>
      <w:r w:rsidR="00A22C43">
        <w:t>its</w:t>
      </w:r>
      <w:r w:rsidR="009618BE">
        <w:t xml:space="preserve"> fan base.</w:t>
      </w:r>
      <w:r w:rsidR="00A22C43">
        <w:t xml:space="preserve"> </w:t>
      </w:r>
      <w:r w:rsidR="0040653A">
        <w:t xml:space="preserve">To achieve this, Netball Australia did not charge </w:t>
      </w:r>
      <w:proofErr w:type="gramStart"/>
      <w:r w:rsidR="00A22C43">
        <w:t>Ten</w:t>
      </w:r>
      <w:proofErr w:type="gramEnd"/>
      <w:r w:rsidR="00A22C43">
        <w:t xml:space="preserve"> </w:t>
      </w:r>
      <w:r w:rsidR="0040653A">
        <w:t xml:space="preserve">for these rights; </w:t>
      </w:r>
      <w:r w:rsidR="00A22C43">
        <w:t>in fact</w:t>
      </w:r>
      <w:r w:rsidR="0040653A">
        <w:t>,</w:t>
      </w:r>
      <w:r w:rsidR="00A22C43">
        <w:t xml:space="preserve"> </w:t>
      </w:r>
      <w:r w:rsidR="0040653A" w:rsidRPr="0040653A">
        <w:t>Netball Australia’s sponsor</w:t>
      </w:r>
      <w:r w:rsidR="008E4EFB">
        <w:t>s</w:t>
      </w:r>
      <w:r w:rsidR="0040653A" w:rsidRPr="0040653A">
        <w:t xml:space="preserve"> </w:t>
      </w:r>
      <w:r w:rsidR="0040653A">
        <w:t xml:space="preserve">paid Ten </w:t>
      </w:r>
      <w:r w:rsidR="00A22C43">
        <w:t>for making the air time available.</w:t>
      </w:r>
    </w:p>
    <w:p w:rsidR="0027783D" w:rsidRDefault="00091F71" w:rsidP="004A47EB">
      <w:pPr>
        <w:pStyle w:val="NormalParagraph"/>
      </w:pPr>
      <w:r>
        <w:t>O</w:t>
      </w:r>
      <w:r w:rsidR="0027783D">
        <w:t>ptions</w:t>
      </w:r>
      <w:r w:rsidR="00444EC9">
        <w:t xml:space="preserve"> to provide direct streaming of sports content through apps, gamin</w:t>
      </w:r>
      <w:r w:rsidR="00E130B5">
        <w:t xml:space="preserve">g consoles, </w:t>
      </w:r>
      <w:proofErr w:type="spellStart"/>
      <w:r w:rsidR="00E130B5">
        <w:t>AppleTV</w:t>
      </w:r>
      <w:proofErr w:type="spellEnd"/>
      <w:r w:rsidR="00E130B5">
        <w:t xml:space="preserve"> or through</w:t>
      </w:r>
      <w:r w:rsidR="00444EC9">
        <w:t xml:space="preserve"> website</w:t>
      </w:r>
      <w:r w:rsidR="00E130B5">
        <w:t>s</w:t>
      </w:r>
      <w:r w:rsidR="0027783D">
        <w:t xml:space="preserve"> </w:t>
      </w:r>
      <w:r>
        <w:t>ar</w:t>
      </w:r>
      <w:r w:rsidR="0027783D">
        <w:t xml:space="preserve">e </w:t>
      </w:r>
      <w:r w:rsidR="006624BB">
        <w:t xml:space="preserve">also </w:t>
      </w:r>
      <w:r w:rsidR="0027783D">
        <w:t xml:space="preserve">increasingly available to sporting bodies in Australia, </w:t>
      </w:r>
      <w:r>
        <w:t>following similar developments in the United States and Europe</w:t>
      </w:r>
      <w:r w:rsidR="00EB7E48">
        <w:t>.</w:t>
      </w:r>
      <w:r w:rsidR="00CF6010" w:rsidRPr="00EB7E48">
        <w:rPr>
          <w:rStyle w:val="FootnoteReference"/>
          <w:rFonts w:ascii="Arial" w:hAnsi="Arial" w:cs="Arial"/>
          <w:sz w:val="20"/>
        </w:rPr>
        <w:footnoteReference w:id="12"/>
      </w:r>
      <w:r>
        <w:t xml:space="preserve"> </w:t>
      </w:r>
      <w:r w:rsidR="0027783D">
        <w:t xml:space="preserve">At the time of the ACCC’s decision, there were </w:t>
      </w:r>
      <w:r w:rsidR="00CF6010">
        <w:t xml:space="preserve">several </w:t>
      </w:r>
      <w:r w:rsidR="0027783D">
        <w:t>examples of live streaming of sport in Australia:</w:t>
      </w:r>
    </w:p>
    <w:p w:rsidR="0027783D" w:rsidRDefault="0027783D" w:rsidP="001D4216">
      <w:pPr>
        <w:pStyle w:val="ListParagraph"/>
        <w:tabs>
          <w:tab w:val="clear" w:pos="4188"/>
          <w:tab w:val="num" w:pos="993"/>
        </w:tabs>
        <w:ind w:left="993" w:hanging="426"/>
      </w:pPr>
      <w:r>
        <w:lastRenderedPageBreak/>
        <w:t>The AFL digital pass broadcast</w:t>
      </w:r>
      <w:r w:rsidR="00AC44D6">
        <w:t>s</w:t>
      </w:r>
      <w:r>
        <w:t xml:space="preserve"> every game live through its app, operated by Telstra, on mobile and tablet devices for an annual fee of $89.99. The app include</w:t>
      </w:r>
      <w:r w:rsidR="008C2735">
        <w:t>s</w:t>
      </w:r>
      <w:r>
        <w:t xml:space="preserve"> advanced statistics and full replays on demand.</w:t>
      </w:r>
    </w:p>
    <w:p w:rsidR="0027783D" w:rsidRDefault="0027783D" w:rsidP="001D4216">
      <w:pPr>
        <w:pStyle w:val="ListParagraph"/>
        <w:tabs>
          <w:tab w:val="clear" w:pos="4188"/>
          <w:tab w:val="num" w:pos="993"/>
        </w:tabs>
        <w:ind w:left="993" w:hanging="426"/>
      </w:pPr>
      <w:r>
        <w:t>The NRL digital pass ha</w:t>
      </w:r>
      <w:r w:rsidR="008C2735">
        <w:t>s</w:t>
      </w:r>
      <w:r>
        <w:t xml:space="preserve"> </w:t>
      </w:r>
      <w:r w:rsidR="005C195C">
        <w:t>similar</w:t>
      </w:r>
      <w:r>
        <w:t xml:space="preserve"> features as the AFL digital pass and </w:t>
      </w:r>
      <w:r w:rsidR="0081684D">
        <w:t>is</w:t>
      </w:r>
      <w:r>
        <w:t xml:space="preserve"> also operated by Telstra. It cost</w:t>
      </w:r>
      <w:r w:rsidR="008C2735">
        <w:t>s</w:t>
      </w:r>
      <w:r>
        <w:t xml:space="preserve"> $89.99 per year.</w:t>
      </w:r>
    </w:p>
    <w:p w:rsidR="0027783D" w:rsidRDefault="0027783D" w:rsidP="001D4216">
      <w:pPr>
        <w:pStyle w:val="ListParagraph"/>
        <w:tabs>
          <w:tab w:val="clear" w:pos="4188"/>
          <w:tab w:val="num" w:pos="993"/>
        </w:tabs>
        <w:ind w:left="993" w:hanging="426"/>
      </w:pPr>
      <w:r>
        <w:t>The Cricket Australia Live Pass provide</w:t>
      </w:r>
      <w:r w:rsidR="00AC44D6">
        <w:t>s</w:t>
      </w:r>
      <w:r>
        <w:t xml:space="preserve"> live streaming and match highlights of all cricket (domestic and international matches) played in Australia on its website and mobile devices. The pass cost</w:t>
      </w:r>
      <w:r w:rsidR="008C2735">
        <w:t>s</w:t>
      </w:r>
      <w:r>
        <w:t xml:space="preserve"> $29.99 for a year or $4.99 for 24 hour access.</w:t>
      </w:r>
    </w:p>
    <w:p w:rsidR="0027783D" w:rsidRDefault="0027783D" w:rsidP="001D4216">
      <w:pPr>
        <w:pStyle w:val="ListParagraph"/>
        <w:tabs>
          <w:tab w:val="clear" w:pos="4188"/>
          <w:tab w:val="num" w:pos="993"/>
        </w:tabs>
        <w:ind w:left="993" w:hanging="426"/>
      </w:pPr>
      <w:r>
        <w:t>Cricket Australia ha</w:t>
      </w:r>
      <w:r w:rsidR="008C2735">
        <w:t>s</w:t>
      </w:r>
      <w:r>
        <w:t xml:space="preserve"> recently launched a channel on Apple TV which featured interviews, skill tutorials and highlights</w:t>
      </w:r>
      <w:r w:rsidR="00BF23BF">
        <w:t>,</w:t>
      </w:r>
      <w:r>
        <w:t xml:space="preserve"> and additional content created by </w:t>
      </w:r>
      <w:proofErr w:type="gramStart"/>
      <w:r>
        <w:t>Nine</w:t>
      </w:r>
      <w:proofErr w:type="gramEnd"/>
      <w:r>
        <w:t>.</w:t>
      </w:r>
    </w:p>
    <w:p w:rsidR="0027783D" w:rsidRDefault="0027783D" w:rsidP="001D4216">
      <w:pPr>
        <w:pStyle w:val="ListParagraph"/>
        <w:tabs>
          <w:tab w:val="clear" w:pos="4188"/>
          <w:tab w:val="num" w:pos="993"/>
        </w:tabs>
        <w:ind w:left="993" w:hanging="426"/>
      </w:pPr>
      <w:r>
        <w:t>Seven created a website and app to stream its live FTA coverage of tennis content on a computer or mobile device, including Wimbledon, the Davi</w:t>
      </w:r>
      <w:r w:rsidR="00C565BF">
        <w:t>s</w:t>
      </w:r>
      <w:r>
        <w:t xml:space="preserve"> Cup and the Australian Tennis Open </w:t>
      </w:r>
      <w:r w:rsidR="000C5C27">
        <w:t>in 2016.</w:t>
      </w:r>
    </w:p>
    <w:p w:rsidR="0027783D" w:rsidRDefault="0027783D" w:rsidP="001D4216">
      <w:pPr>
        <w:pStyle w:val="ListParagraph"/>
        <w:tabs>
          <w:tab w:val="clear" w:pos="4188"/>
          <w:tab w:val="num" w:pos="993"/>
        </w:tabs>
        <w:ind w:left="993" w:hanging="426"/>
      </w:pPr>
      <w:r>
        <w:t>SBS simulcast</w:t>
      </w:r>
      <w:r w:rsidR="00B73452">
        <w:t>s</w:t>
      </w:r>
      <w:r>
        <w:t xml:space="preserve"> its FTA coverage of live cycling races (e.g. the Tour de France, World Championships) on its Cycling Central website. SBS also </w:t>
      </w:r>
      <w:r w:rsidR="00AC44D6">
        <w:t xml:space="preserve">has </w:t>
      </w:r>
      <w:r>
        <w:t xml:space="preserve">an app for the Tour de France </w:t>
      </w:r>
      <w:r w:rsidR="00AC44D6">
        <w:t xml:space="preserve">enabling </w:t>
      </w:r>
      <w:r>
        <w:t xml:space="preserve">users </w:t>
      </w:r>
      <w:r w:rsidR="00AC44D6">
        <w:t xml:space="preserve">to </w:t>
      </w:r>
      <w:r>
        <w:t>stream live coverage</w:t>
      </w:r>
      <w:r w:rsidR="00C565BF">
        <w:t>.</w:t>
      </w:r>
      <w:r>
        <w:t xml:space="preserve"> </w:t>
      </w:r>
      <w:r w:rsidR="00C565BF">
        <w:t xml:space="preserve">The app also </w:t>
      </w:r>
      <w:r w:rsidR="00AC44D6">
        <w:t xml:space="preserve">provides </w:t>
      </w:r>
      <w:r>
        <w:t>information about</w:t>
      </w:r>
      <w:r w:rsidR="003E2018">
        <w:t xml:space="preserve"> the stage,</w:t>
      </w:r>
      <w:r>
        <w:t xml:space="preserve"> riders and teams.</w:t>
      </w:r>
    </w:p>
    <w:p w:rsidR="008900FD" w:rsidRDefault="008900FD" w:rsidP="00E944AE">
      <w:pPr>
        <w:pStyle w:val="NormalParagraph"/>
      </w:pPr>
      <w:r>
        <w:t xml:space="preserve">These options are expected to grow as customer viewing trends change and as home internet </w:t>
      </w:r>
      <w:r w:rsidR="00F60157">
        <w:t>functionality</w:t>
      </w:r>
      <w:r>
        <w:t xml:space="preserve"> </w:t>
      </w:r>
      <w:proofErr w:type="gramStart"/>
      <w:r w:rsidR="00FA1ECC">
        <w:t>increases,</w:t>
      </w:r>
      <w:proofErr w:type="gramEnd"/>
      <w:r>
        <w:t xml:space="preserve"> and they would give sporting bodies the choice of streaming their own content or selling to streaming providers, in addition to their current options of selling their rights to FTAs or Foxtel. </w:t>
      </w:r>
      <w:r w:rsidR="00B12AD4">
        <w:t>Foxtel has also responded to the potential of streaming services to compete with STV broadcasts of sports by offering its own streaming services for sport through its Foxtel Play and Foxtel Go services.</w:t>
      </w:r>
    </w:p>
    <w:p w:rsidR="00204D2D" w:rsidRDefault="0083675E" w:rsidP="00E944AE">
      <w:pPr>
        <w:pStyle w:val="NormalParagraph"/>
      </w:pPr>
      <w:r>
        <w:t xml:space="preserve">However, the potential for SVOD services and other streaming services (e.g. YouTube, Google) to provide a viable alternative to FTA or STV networks is dependent on these services being able to monetise their content, for example through advertising, pay-per-view fees or various types of subscriptions </w:t>
      </w:r>
      <w:r w:rsidR="00204D2D">
        <w:t>There remains, therefore, some uncertainty as to the likely constraint of these alternative services on FTA and STV providers.</w:t>
      </w:r>
    </w:p>
    <w:p w:rsidR="00CF6010" w:rsidRDefault="00204D2D" w:rsidP="00D35312">
      <w:pPr>
        <w:pStyle w:val="NormalParagraph"/>
      </w:pPr>
      <w:r>
        <w:t xml:space="preserve">The ACCC concluded that Foxtel will ultimately continue to </w:t>
      </w:r>
      <w:r w:rsidR="003F15AD">
        <w:t>exercise</w:t>
      </w:r>
      <w:r>
        <w:t xml:space="preserve"> considerable </w:t>
      </w:r>
      <w:r w:rsidR="003F15AD">
        <w:t xml:space="preserve">market power when </w:t>
      </w:r>
      <w:r>
        <w:t>negotiating to acquire sports</w:t>
      </w:r>
      <w:r w:rsidRPr="00204D2D">
        <w:t xml:space="preserve"> </w:t>
      </w:r>
      <w:r>
        <w:t>rights</w:t>
      </w:r>
      <w:r w:rsidR="003F15AD">
        <w:t>.</w:t>
      </w:r>
      <w:r>
        <w:t xml:space="preserve"> </w:t>
      </w:r>
      <w:r w:rsidR="003F15AD">
        <w:t xml:space="preserve">This is </w:t>
      </w:r>
      <w:r>
        <w:t>particular</w:t>
      </w:r>
      <w:r w:rsidR="003F15AD">
        <w:t>ly so</w:t>
      </w:r>
      <w:r>
        <w:t xml:space="preserve"> for premium sports, given </w:t>
      </w:r>
      <w:r w:rsidR="003F15AD">
        <w:t>its ability to pay significant sums</w:t>
      </w:r>
      <w:r>
        <w:t xml:space="preserve"> to sporting bodies for these rights compared to alternative </w:t>
      </w:r>
      <w:r w:rsidR="003F15AD">
        <w:t>acquirers.</w:t>
      </w:r>
    </w:p>
    <w:p w:rsidR="00035D57" w:rsidRDefault="00035D57" w:rsidP="00091F71">
      <w:pPr>
        <w:pStyle w:val="Heading6"/>
        <w:keepNext/>
      </w:pPr>
      <w:r>
        <w:t>The importance of partnering with Foxtel to acquire sports rights</w:t>
      </w:r>
    </w:p>
    <w:p w:rsidR="003C3709" w:rsidRDefault="003C3709" w:rsidP="00C82011">
      <w:pPr>
        <w:pStyle w:val="NormalParagraph"/>
      </w:pPr>
      <w:r>
        <w:t xml:space="preserve">The ACCC has in the past found that there were substantial potential commercial benefits to be gained </w:t>
      </w:r>
      <w:r w:rsidR="0038158F">
        <w:t>by</w:t>
      </w:r>
      <w:r w:rsidR="00A10433">
        <w:t xml:space="preserve"> both Foxtel and</w:t>
      </w:r>
      <w:r w:rsidR="0038158F">
        <w:t xml:space="preserve"> an FTA network </w:t>
      </w:r>
      <w:r>
        <w:t>from joint bids or other commercial arrangements</w:t>
      </w:r>
      <w:r w:rsidR="00A10433">
        <w:t>. This was found to be the case for</w:t>
      </w:r>
      <w:r>
        <w:t xml:space="preserve"> a significant proportion of the premium sporting rights that were likely to be attractive to a FTA television network</w:t>
      </w:r>
      <w:r w:rsidR="00EB7E48">
        <w:t>.</w:t>
      </w:r>
      <w:r w:rsidRPr="00EB7E48">
        <w:rPr>
          <w:rStyle w:val="FootnoteReference"/>
          <w:rFonts w:ascii="Arial" w:hAnsi="Arial" w:cs="Arial"/>
          <w:sz w:val="20"/>
        </w:rPr>
        <w:footnoteReference w:id="13"/>
      </w:r>
    </w:p>
    <w:p w:rsidR="00C82011" w:rsidRPr="00C82011" w:rsidRDefault="00C82011" w:rsidP="00C82011">
      <w:pPr>
        <w:pStyle w:val="NormalParagraph"/>
      </w:pPr>
      <w:r>
        <w:lastRenderedPageBreak/>
        <w:t>The ACCC considers that</w:t>
      </w:r>
      <w:r w:rsidR="003C3709">
        <w:t xml:space="preserve"> although </w:t>
      </w:r>
      <w:r w:rsidR="00E5264E">
        <w:t>entering into</w:t>
      </w:r>
      <w:r w:rsidR="00E5264E" w:rsidRPr="00C82011">
        <w:rPr>
          <w:rFonts w:cs="Arial"/>
        </w:rPr>
        <w:t xml:space="preserve"> joint bidding and other commercial arrangements with Foxtel </w:t>
      </w:r>
      <w:r w:rsidR="003C3709">
        <w:t>remain advantageous in some contexts,</w:t>
      </w:r>
      <w:r>
        <w:t xml:space="preserve"> </w:t>
      </w:r>
      <w:r w:rsidR="00E5264E">
        <w:rPr>
          <w:rFonts w:cs="Arial"/>
        </w:rPr>
        <w:t xml:space="preserve">such arrangements </w:t>
      </w:r>
      <w:r w:rsidRPr="00C82011">
        <w:rPr>
          <w:rFonts w:cs="Arial"/>
        </w:rPr>
        <w:t xml:space="preserve">may not be as important as they were in the past. </w:t>
      </w:r>
      <w:r>
        <w:t>T</w:t>
      </w:r>
      <w:r w:rsidR="00035D57">
        <w:t xml:space="preserve">he ACCC </w:t>
      </w:r>
      <w:r w:rsidR="00BF5206">
        <w:t xml:space="preserve">found </w:t>
      </w:r>
      <w:r w:rsidR="00035D57">
        <w:t xml:space="preserve">that </w:t>
      </w:r>
      <w:r w:rsidR="00035D57" w:rsidRPr="00C82011">
        <w:rPr>
          <w:rFonts w:cs="Arial"/>
        </w:rPr>
        <w:t xml:space="preserve">it is not </w:t>
      </w:r>
      <w:r w:rsidR="00204D2D" w:rsidRPr="00C82011">
        <w:rPr>
          <w:rFonts w:cs="Arial"/>
        </w:rPr>
        <w:t xml:space="preserve">always </w:t>
      </w:r>
      <w:r w:rsidR="00035D57" w:rsidRPr="00C82011">
        <w:rPr>
          <w:rFonts w:cs="Arial"/>
        </w:rPr>
        <w:t xml:space="preserve">necessary </w:t>
      </w:r>
      <w:r w:rsidR="00AC44D6" w:rsidRPr="00C82011">
        <w:rPr>
          <w:rFonts w:cs="Arial"/>
        </w:rPr>
        <w:t xml:space="preserve">for FTAs </w:t>
      </w:r>
      <w:r w:rsidR="00035D57" w:rsidRPr="00C82011">
        <w:rPr>
          <w:rFonts w:cs="Arial"/>
        </w:rPr>
        <w:t xml:space="preserve">to partner or enter into commercial arrangements with Foxtel or Fox Sports to acquire </w:t>
      </w:r>
      <w:r w:rsidR="00174E99">
        <w:rPr>
          <w:rFonts w:cs="Arial"/>
        </w:rPr>
        <w:t xml:space="preserve">premium </w:t>
      </w:r>
      <w:r w:rsidR="00035D57" w:rsidRPr="00C82011">
        <w:rPr>
          <w:rFonts w:cs="Arial"/>
        </w:rPr>
        <w:t>sports rights</w:t>
      </w:r>
      <w:r w:rsidR="005559F9">
        <w:rPr>
          <w:rFonts w:cs="Arial"/>
        </w:rPr>
        <w:t>.</w:t>
      </w:r>
    </w:p>
    <w:p w:rsidR="00C82011" w:rsidRPr="00C82011" w:rsidRDefault="00C82011" w:rsidP="00C82011">
      <w:pPr>
        <w:pStyle w:val="NormalParagraph"/>
      </w:pPr>
      <w:r w:rsidRPr="00C82011">
        <w:t>The introduction of the FTA multi-channels has increased the ability and incentive of FTA networks to acquire sports content packages in full, including sports content that has in the past been acquired by Foxtel (in particular, non-premium sports and the less popular games for</w:t>
      </w:r>
      <w:r>
        <w:t xml:space="preserve"> premium sports). In addition, </w:t>
      </w:r>
      <w:r w:rsidRPr="00C82011">
        <w:t>the multi-channels give FTA broadcasters greater flexibility in broadcasting sport content to avoid conflicts with other programming.  Some events that were previously broadcast on both Foxtel and a FTA network can now be acquired and shown exclusively by a FTA broadcaster. Less valuable content that previously would have been shown on Foxtel (e.g. the outside courts at the Australian Open Tennis) can now be shown on FTA multi chann</w:t>
      </w:r>
      <w:r w:rsidR="005559F9">
        <w:t>els and FTA digital platforms.</w:t>
      </w:r>
    </w:p>
    <w:p w:rsidR="00035D57" w:rsidRDefault="00BF5206" w:rsidP="00C82011">
      <w:pPr>
        <w:pStyle w:val="NormalParagraph"/>
      </w:pPr>
      <w:r w:rsidRPr="00C82011">
        <w:rPr>
          <w:rFonts w:cs="Arial"/>
        </w:rPr>
        <w:t xml:space="preserve">For example, the following </w:t>
      </w:r>
      <w:r w:rsidR="00035D57">
        <w:t xml:space="preserve">sports rights </w:t>
      </w:r>
      <w:r>
        <w:t>were</w:t>
      </w:r>
      <w:r w:rsidR="002A233F">
        <w:t xml:space="preserve"> sold to an FTA broadcaster without a partnership with Foxtel</w:t>
      </w:r>
      <w:r w:rsidR="00035D57">
        <w:t>:</w:t>
      </w:r>
    </w:p>
    <w:p w:rsidR="00035D57" w:rsidRDefault="00035D57" w:rsidP="001D4216">
      <w:pPr>
        <w:pStyle w:val="ListParagraph"/>
        <w:tabs>
          <w:tab w:val="clear" w:pos="4188"/>
          <w:tab w:val="num" w:pos="993"/>
        </w:tabs>
        <w:ind w:left="993" w:hanging="426"/>
      </w:pPr>
      <w:r>
        <w:t xml:space="preserve">The AFL </w:t>
      </w:r>
      <w:r w:rsidR="00990454">
        <w:t xml:space="preserve">separately sold </w:t>
      </w:r>
      <w:r>
        <w:t>FTA rights to Seven, STV rights to News Cor</w:t>
      </w:r>
      <w:r w:rsidR="005559F9">
        <w:t>p and mobile rights to Telstra.</w:t>
      </w:r>
    </w:p>
    <w:p w:rsidR="00035D57" w:rsidRDefault="00035D57" w:rsidP="001D4216">
      <w:pPr>
        <w:pStyle w:val="ListParagraph"/>
        <w:tabs>
          <w:tab w:val="clear" w:pos="4188"/>
          <w:tab w:val="num" w:pos="993"/>
        </w:tabs>
        <w:ind w:left="993" w:hanging="426"/>
      </w:pPr>
      <w:r>
        <w:t xml:space="preserve">The NRL sold </w:t>
      </w:r>
      <w:r w:rsidR="00AC44D6">
        <w:t xml:space="preserve">its </w:t>
      </w:r>
      <w:r>
        <w:t>FTA and digital rights without involvement from Fox Sports or Foxtel</w:t>
      </w:r>
      <w:r w:rsidR="00990454">
        <w:t>, and it</w:t>
      </w:r>
      <w:r>
        <w:t xml:space="preserve">s STV and </w:t>
      </w:r>
      <w:r w:rsidR="006573BF">
        <w:t xml:space="preserve">other </w:t>
      </w:r>
      <w:r>
        <w:t>digital rights</w:t>
      </w:r>
      <w:r w:rsidR="00F60157">
        <w:t xml:space="preserve"> were</w:t>
      </w:r>
      <w:r w:rsidR="00990454">
        <w:t xml:space="preserve"> to be dealt with separately at a later date</w:t>
      </w:r>
      <w:r>
        <w:t>.</w:t>
      </w:r>
    </w:p>
    <w:p w:rsidR="00035D57" w:rsidRDefault="00990454" w:rsidP="001D4216">
      <w:pPr>
        <w:pStyle w:val="ListParagraph"/>
        <w:tabs>
          <w:tab w:val="clear" w:pos="4188"/>
          <w:tab w:val="num" w:pos="993"/>
        </w:tabs>
        <w:ind w:left="993" w:hanging="426"/>
      </w:pPr>
      <w:r>
        <w:t xml:space="preserve">Rights to the </w:t>
      </w:r>
      <w:r w:rsidR="00035D57">
        <w:t xml:space="preserve">Australian Open Tennis, Summer Olympics, Winter Olympics, the Australian Open Golf, The Australian PGA Championship and all Swimming Australia </w:t>
      </w:r>
      <w:r w:rsidR="00D06A44">
        <w:t xml:space="preserve">events </w:t>
      </w:r>
      <w:r w:rsidR="00035D57">
        <w:t xml:space="preserve">were all purchased solely by </w:t>
      </w:r>
      <w:proofErr w:type="gramStart"/>
      <w:r w:rsidR="00035D57">
        <w:t>Seven</w:t>
      </w:r>
      <w:proofErr w:type="gramEnd"/>
      <w:r w:rsidR="002A233F">
        <w:t>.</w:t>
      </w:r>
    </w:p>
    <w:p w:rsidR="00035D57" w:rsidRDefault="00990454" w:rsidP="001D4216">
      <w:pPr>
        <w:pStyle w:val="ListParagraph"/>
        <w:tabs>
          <w:tab w:val="clear" w:pos="4188"/>
          <w:tab w:val="num" w:pos="993"/>
        </w:tabs>
        <w:ind w:left="993" w:hanging="426"/>
      </w:pPr>
      <w:r>
        <w:t xml:space="preserve">Rights to the </w:t>
      </w:r>
      <w:r w:rsidR="00035D57">
        <w:t>International cricket matches played in Australia</w:t>
      </w:r>
      <w:r w:rsidR="00035D57" w:rsidRPr="008E4C7A">
        <w:t xml:space="preserve"> </w:t>
      </w:r>
      <w:r w:rsidR="00035D57">
        <w:t xml:space="preserve">(i.e. Test matches, one day internationals and international T20 matches) were </w:t>
      </w:r>
      <w:r>
        <w:t>purchased</w:t>
      </w:r>
      <w:r w:rsidR="00035D57">
        <w:t xml:space="preserve"> solely by </w:t>
      </w:r>
      <w:proofErr w:type="gramStart"/>
      <w:r w:rsidR="00035D57">
        <w:t>Nine</w:t>
      </w:r>
      <w:proofErr w:type="gramEnd"/>
      <w:r w:rsidR="002A233F">
        <w:t>.</w:t>
      </w:r>
    </w:p>
    <w:p w:rsidR="00035D57" w:rsidRDefault="00990454" w:rsidP="001D4216">
      <w:pPr>
        <w:pStyle w:val="ListParagraph"/>
        <w:tabs>
          <w:tab w:val="clear" w:pos="4188"/>
          <w:tab w:val="num" w:pos="993"/>
        </w:tabs>
        <w:ind w:left="993" w:hanging="426"/>
      </w:pPr>
      <w:r>
        <w:t>Rights to t</w:t>
      </w:r>
      <w:r w:rsidR="00035D57">
        <w:t>he Big Bash League w</w:t>
      </w:r>
      <w:r>
        <w:t>ere</w:t>
      </w:r>
      <w:r w:rsidR="00035D57">
        <w:t xml:space="preserve"> </w:t>
      </w:r>
      <w:r>
        <w:t>purchased</w:t>
      </w:r>
      <w:r w:rsidR="00035D57">
        <w:t xml:space="preserve"> solely by </w:t>
      </w:r>
      <w:proofErr w:type="gramStart"/>
      <w:r w:rsidR="00035D57">
        <w:t>Ten</w:t>
      </w:r>
      <w:proofErr w:type="gramEnd"/>
      <w:r w:rsidR="002A233F">
        <w:t>.</w:t>
      </w:r>
    </w:p>
    <w:p w:rsidR="00035D57" w:rsidRDefault="00990454" w:rsidP="001D4216">
      <w:pPr>
        <w:pStyle w:val="ListParagraph"/>
        <w:tabs>
          <w:tab w:val="clear" w:pos="4188"/>
          <w:tab w:val="num" w:pos="993"/>
        </w:tabs>
        <w:ind w:left="993" w:hanging="426"/>
      </w:pPr>
      <w:r>
        <w:t>Rights to t</w:t>
      </w:r>
      <w:r w:rsidR="00035D57">
        <w:t xml:space="preserve">he Football World Cup (soccer) </w:t>
      </w:r>
      <w:r>
        <w:t xml:space="preserve">were purchased </w:t>
      </w:r>
      <w:r w:rsidR="00035D57">
        <w:t>solely by SBS.</w:t>
      </w:r>
    </w:p>
    <w:p w:rsidR="00C82011" w:rsidRDefault="00866334" w:rsidP="004D3C7C">
      <w:pPr>
        <w:pStyle w:val="NormalParagraph"/>
      </w:pPr>
      <w:r>
        <w:t>T</w:t>
      </w:r>
      <w:r w:rsidR="00035D57">
        <w:t>he ACCC consider</w:t>
      </w:r>
      <w:r w:rsidR="00B4405D">
        <w:t>ed</w:t>
      </w:r>
      <w:r w:rsidR="00C82011">
        <w:t>,</w:t>
      </w:r>
      <w:r w:rsidR="00035D57">
        <w:t xml:space="preserve"> </w:t>
      </w:r>
      <w:r w:rsidR="00C82011">
        <w:t xml:space="preserve">however, </w:t>
      </w:r>
      <w:r w:rsidR="00035D57">
        <w:t xml:space="preserve">that </w:t>
      </w:r>
      <w:r w:rsidR="00035D57" w:rsidRPr="001F277C">
        <w:t xml:space="preserve">there may remain circumstances in which it </w:t>
      </w:r>
      <w:r w:rsidR="00C82011">
        <w:t>is</w:t>
      </w:r>
      <w:r w:rsidR="00035D57" w:rsidRPr="001F277C">
        <w:t xml:space="preserve"> </w:t>
      </w:r>
      <w:r w:rsidR="008B018D">
        <w:t>advantageous</w:t>
      </w:r>
      <w:r w:rsidR="008B018D" w:rsidRPr="001F277C">
        <w:t xml:space="preserve"> </w:t>
      </w:r>
      <w:r w:rsidR="00035D57" w:rsidRPr="001F277C">
        <w:t>for an FTA network to partner or enter into commercial arrangements to acquire both premium and non-premium sports rights</w:t>
      </w:r>
      <w:r w:rsidR="000D68C7">
        <w:t xml:space="preserve"> with Foxtel</w:t>
      </w:r>
      <w:r w:rsidR="006755E5">
        <w:t>.</w:t>
      </w:r>
      <w:r w:rsidR="004755CB">
        <w:t xml:space="preserve"> This includes content </w:t>
      </w:r>
      <w:r w:rsidR="00B4405D">
        <w:t>that</w:t>
      </w:r>
      <w:r w:rsidR="004755CB">
        <w:t xml:space="preserve"> </w:t>
      </w:r>
      <w:r w:rsidR="00B4405D">
        <w:t>would</w:t>
      </w:r>
      <w:r w:rsidR="004755CB">
        <w:t xml:space="preserve"> not </w:t>
      </w:r>
      <w:r w:rsidR="00B4405D">
        <w:t>be profitable</w:t>
      </w:r>
      <w:r w:rsidR="004755CB">
        <w:t xml:space="preserve"> for an FTA network to acquire, for example </w:t>
      </w:r>
      <w:r w:rsidR="00B4405D">
        <w:t>the least popular</w:t>
      </w:r>
      <w:r w:rsidR="004755CB">
        <w:t xml:space="preserve"> AFL or NRL games. </w:t>
      </w:r>
      <w:r w:rsidR="00E97B8C">
        <w:t xml:space="preserve">It may also include significant high profile events, where a higher premium can be </w:t>
      </w:r>
      <w:r w:rsidR="003C3709">
        <w:t xml:space="preserve">extracted </w:t>
      </w:r>
      <w:r w:rsidR="006C386D">
        <w:t xml:space="preserve">by </w:t>
      </w:r>
      <w:r w:rsidR="00E97B8C">
        <w:t>a sporting body through coordination and division of rights between Foxtel and an FTA or SVOD</w:t>
      </w:r>
      <w:r w:rsidR="00A933D7">
        <w:t xml:space="preserve"> service</w:t>
      </w:r>
      <w:r w:rsidR="005559F9">
        <w:t>.</w:t>
      </w:r>
    </w:p>
    <w:p w:rsidR="00292019" w:rsidRDefault="0081684D" w:rsidP="004D3C7C">
      <w:pPr>
        <w:pStyle w:val="NormalParagraph"/>
      </w:pPr>
      <w:r>
        <w:t xml:space="preserve">In considering whether the proposed acquisition may result in Foxtel exclusively partnering with </w:t>
      </w:r>
      <w:proofErr w:type="gramStart"/>
      <w:r>
        <w:t>Ten</w:t>
      </w:r>
      <w:proofErr w:type="gramEnd"/>
      <w:r>
        <w:t xml:space="preserve"> for the acquisition of sports rights, the ACCC reached the conclusion that Foxtel would not have the ability or incentive to require sporting bodies to only deal with Foxtel and Ten in partnership. </w:t>
      </w:r>
      <w:r w:rsidR="00480C8E">
        <w:t>Sports rights are of</w:t>
      </w:r>
      <w:r w:rsidR="00F60157">
        <w:t xml:space="preserve"> significant value to Foxtel and while it may favour a partnership with </w:t>
      </w:r>
      <w:proofErr w:type="gramStart"/>
      <w:r w:rsidR="00F60157">
        <w:t>Ten</w:t>
      </w:r>
      <w:proofErr w:type="gramEnd"/>
      <w:r w:rsidR="00F60157">
        <w:t>,</w:t>
      </w:r>
      <w:r w:rsidR="00480C8E">
        <w:t xml:space="preserve"> it is unlikely to forego rights in order to partner exclusively </w:t>
      </w:r>
      <w:r w:rsidR="00D1708C">
        <w:t xml:space="preserve">with </w:t>
      </w:r>
      <w:r w:rsidR="00480C8E">
        <w:t>a company in which it only has a 15% equity interest</w:t>
      </w:r>
      <w:r w:rsidR="00D1708C">
        <w:t>.</w:t>
      </w:r>
      <w:r w:rsidR="00AD5EE3">
        <w:t xml:space="preserve"> </w:t>
      </w:r>
    </w:p>
    <w:p w:rsidR="00292019" w:rsidRDefault="00292019" w:rsidP="000D68C7">
      <w:pPr>
        <w:pStyle w:val="Heading5"/>
        <w:keepNext/>
        <w:spacing w:before="120"/>
      </w:pPr>
      <w:r>
        <w:lastRenderedPageBreak/>
        <w:t>Acquisition of non-sport content</w:t>
      </w:r>
    </w:p>
    <w:p w:rsidR="0027226F" w:rsidRDefault="0027226F" w:rsidP="00B4405D">
      <w:pPr>
        <w:pStyle w:val="Heading6"/>
        <w:keepNext/>
      </w:pPr>
      <w:r>
        <w:t>Background</w:t>
      </w:r>
    </w:p>
    <w:p w:rsidR="00035D57" w:rsidRDefault="00AA247E">
      <w:pPr>
        <w:pStyle w:val="NormalParagraph"/>
      </w:pPr>
      <w:r>
        <w:t>During the course of its investigation, market participants</w:t>
      </w:r>
      <w:r w:rsidR="006453C2">
        <w:t xml:space="preserve"> submitted</w:t>
      </w:r>
      <w:r>
        <w:t xml:space="preserve"> that premium Australian content is increasingly important for </w:t>
      </w:r>
      <w:r w:rsidR="009E4B82">
        <w:t xml:space="preserve">FTA </w:t>
      </w:r>
      <w:r>
        <w:t xml:space="preserve">networks to attract audiences and, in the case of Foxtel, subscribers. This </w:t>
      </w:r>
      <w:r w:rsidR="00B4405D">
        <w:t xml:space="preserve">type of </w:t>
      </w:r>
      <w:r>
        <w:t xml:space="preserve">content, </w:t>
      </w:r>
      <w:r w:rsidR="00B4405D">
        <w:t>such as</w:t>
      </w:r>
      <w:r>
        <w:t xml:space="preserve"> Australian-produced reality </w:t>
      </w:r>
      <w:r w:rsidR="008A3042">
        <w:t>TV</w:t>
      </w:r>
      <w:r>
        <w:t xml:space="preserve"> shows, is </w:t>
      </w:r>
      <w:r w:rsidR="00B4405D">
        <w:t xml:space="preserve">characterised as </w:t>
      </w:r>
      <w:r w:rsidR="00B4405D" w:rsidRPr="00B4405D">
        <w:t>‘water cooler program</w:t>
      </w:r>
      <w:r w:rsidR="009E4B82">
        <w:t>ming</w:t>
      </w:r>
      <w:r w:rsidR="00B4405D" w:rsidRPr="00B4405D">
        <w:t>’</w:t>
      </w:r>
      <w:r w:rsidR="00B4405D">
        <w:t xml:space="preserve"> </w:t>
      </w:r>
      <w:r w:rsidR="009E4B82">
        <w:t>(</w:t>
      </w:r>
      <w:r w:rsidR="00B4405D">
        <w:t>which viewers discuss with friends and colleagues the next day</w:t>
      </w:r>
      <w:r w:rsidR="009E4B82">
        <w:t>)</w:t>
      </w:r>
      <w:r w:rsidR="00B4405D">
        <w:t xml:space="preserve"> and as </w:t>
      </w:r>
      <w:r>
        <w:t xml:space="preserve">‘appointment viewing’ </w:t>
      </w:r>
      <w:r w:rsidR="009E4B82">
        <w:t>(</w:t>
      </w:r>
      <w:r w:rsidR="00B4405D">
        <w:t>which</w:t>
      </w:r>
      <w:r>
        <w:t xml:space="preserve"> </w:t>
      </w:r>
      <w:r w:rsidR="00B4405D">
        <w:t>viewers</w:t>
      </w:r>
      <w:r>
        <w:t xml:space="preserve"> prefer to watch live rather than on catch-up or online</w:t>
      </w:r>
      <w:r w:rsidR="009E4B82">
        <w:t>)</w:t>
      </w:r>
      <w:r>
        <w:t>. This has resulted in broadcasters acquiring and producing more of this type of content</w:t>
      </w:r>
      <w:r w:rsidR="00811928">
        <w:t xml:space="preserve"> in recent years</w:t>
      </w:r>
      <w:r w:rsidR="005559F9">
        <w:t>.</w:t>
      </w:r>
    </w:p>
    <w:p w:rsidR="002F59F7" w:rsidRDefault="009E54F5" w:rsidP="00B4405D">
      <w:pPr>
        <w:pStyle w:val="Heading6"/>
        <w:keepNext/>
      </w:pPr>
      <w:r>
        <w:t>Foreclosure of competition for non-sport content</w:t>
      </w:r>
    </w:p>
    <w:p w:rsidR="009E54F5" w:rsidRDefault="009E54F5" w:rsidP="00B4405D">
      <w:pPr>
        <w:pStyle w:val="NormalParagraph"/>
      </w:pPr>
      <w:r>
        <w:t xml:space="preserve">The ACCC </w:t>
      </w:r>
      <w:r w:rsidR="00FD2261">
        <w:t>investigated whether</w:t>
      </w:r>
      <w:r>
        <w:t xml:space="preserve"> the proposed acquisitions </w:t>
      </w:r>
      <w:r w:rsidR="00FD2261">
        <w:t>would give</w:t>
      </w:r>
      <w:r>
        <w:t xml:space="preserve"> Foxtel, Ten </w:t>
      </w:r>
      <w:r w:rsidR="00B80E40">
        <w:t>or</w:t>
      </w:r>
      <w:r>
        <w:t xml:space="preserve"> Presto </w:t>
      </w:r>
      <w:r w:rsidR="00FD2261">
        <w:t xml:space="preserve">the incentive and ability </w:t>
      </w:r>
      <w:r>
        <w:t xml:space="preserve">to </w:t>
      </w:r>
      <w:r w:rsidR="00811928">
        <w:t xml:space="preserve">agree to </w:t>
      </w:r>
      <w:r>
        <w:t>acquire the rights to c</w:t>
      </w:r>
      <w:r w:rsidR="00F60157">
        <w:t>ertain non-sport</w:t>
      </w:r>
      <w:r>
        <w:t xml:space="preserve"> content across all platforms (i.e. STV, FTA and SVOD) on an exclusive basis and </w:t>
      </w:r>
      <w:r w:rsidR="00811928">
        <w:t xml:space="preserve">to </w:t>
      </w:r>
      <w:r>
        <w:t>control release windows</w:t>
      </w:r>
      <w:r w:rsidRPr="00EB7E48">
        <w:rPr>
          <w:sz w:val="20"/>
          <w:vertAlign w:val="superscript"/>
        </w:rPr>
        <w:footnoteReference w:id="14"/>
      </w:r>
      <w:r>
        <w:t xml:space="preserve"> for that content</w:t>
      </w:r>
      <w:r w:rsidR="001553BE">
        <w:t>. In this scenario, competitors to Foxtel, Ten and Presto may have a limited ability to compete for this content as they do not have a presence across all</w:t>
      </w:r>
      <w:r w:rsidR="00BA3958">
        <w:t xml:space="preserve"> of these</w:t>
      </w:r>
      <w:r w:rsidR="005559F9">
        <w:t xml:space="preserve"> platforms.</w:t>
      </w:r>
    </w:p>
    <w:p w:rsidR="00F369DC" w:rsidRPr="00F369DC" w:rsidRDefault="00B80E40" w:rsidP="009E4B82">
      <w:pPr>
        <w:pStyle w:val="NormalParagraph"/>
      </w:pPr>
      <w:r>
        <w:t>T</w:t>
      </w:r>
      <w:r w:rsidRPr="00B80E40">
        <w:t xml:space="preserve">he ACCC considered that there are some types of content where there may be advantages </w:t>
      </w:r>
      <w:r w:rsidR="00811928">
        <w:t xml:space="preserve">to acquiring it </w:t>
      </w:r>
      <w:r w:rsidRPr="00B80E40">
        <w:t xml:space="preserve">across </w:t>
      </w:r>
      <w:r w:rsidR="00811928">
        <w:t xml:space="preserve">all </w:t>
      </w:r>
      <w:r w:rsidRPr="00B80E40">
        <w:t>platforms. For example, drama and documentary programs that can attract new and repeat viewers over an extended period could be broadcast on Fox</w:t>
      </w:r>
      <w:r w:rsidR="00811928">
        <w:t>tel, Ten and potentially Presto. However, t</w:t>
      </w:r>
      <w:r>
        <w:t xml:space="preserve">he ACCC also </w:t>
      </w:r>
      <w:r w:rsidR="006453C2">
        <w:t>understands</w:t>
      </w:r>
      <w:r>
        <w:t xml:space="preserve"> that </w:t>
      </w:r>
      <w:r w:rsidRPr="00F369DC">
        <w:rPr>
          <w:rFonts w:cs="Arial"/>
        </w:rPr>
        <w:t xml:space="preserve">STV, FTA and SVOD providers have different preferences for </w:t>
      </w:r>
      <w:r w:rsidR="00811928" w:rsidRPr="00F369DC">
        <w:rPr>
          <w:rFonts w:cs="Arial"/>
        </w:rPr>
        <w:t>content</w:t>
      </w:r>
      <w:r w:rsidRPr="00F369DC">
        <w:rPr>
          <w:rFonts w:cs="Arial"/>
        </w:rPr>
        <w:t xml:space="preserve">. </w:t>
      </w:r>
      <w:r w:rsidR="00811928" w:rsidRPr="00F369DC">
        <w:rPr>
          <w:rFonts w:cs="Arial"/>
        </w:rPr>
        <w:t>For example, c</w:t>
      </w:r>
      <w:r w:rsidRPr="00F369DC">
        <w:rPr>
          <w:rFonts w:cs="Arial"/>
        </w:rPr>
        <w:t>ompetitive reality TV shows (such as The Block, MasterChef, and The Bachelor), which are designed to be appointment viewing and have limited repeat value, are generally not suitable for broadcasting on STV networks where ma</w:t>
      </w:r>
      <w:r w:rsidR="005559F9">
        <w:rPr>
          <w:rFonts w:cs="Arial"/>
        </w:rPr>
        <w:t>ny programs are repeated daily.</w:t>
      </w:r>
    </w:p>
    <w:p w:rsidR="00B80E40" w:rsidRPr="00B80E40" w:rsidRDefault="009E54F5" w:rsidP="009E4B82">
      <w:pPr>
        <w:pStyle w:val="NormalParagraph"/>
      </w:pPr>
      <w:r>
        <w:t xml:space="preserve">The ACCC </w:t>
      </w:r>
      <w:r w:rsidR="006453C2">
        <w:t>understands</w:t>
      </w:r>
      <w:r w:rsidR="00FD2261">
        <w:t xml:space="preserve"> that</w:t>
      </w:r>
      <w:r>
        <w:t xml:space="preserve"> the control of </w:t>
      </w:r>
      <w:r w:rsidR="00811928">
        <w:t xml:space="preserve">release </w:t>
      </w:r>
      <w:r>
        <w:t>windows</w:t>
      </w:r>
      <w:r w:rsidRPr="009E54F5">
        <w:t xml:space="preserve"> applies more to movies than television content and that competition</w:t>
      </w:r>
      <w:r w:rsidR="003E59CA">
        <w:t xml:space="preserve"> for non-sport content</w:t>
      </w:r>
      <w:r w:rsidRPr="009E54F5">
        <w:t xml:space="preserve"> </w:t>
      </w:r>
      <w:r w:rsidR="003E59CA">
        <w:t xml:space="preserve">generally </w:t>
      </w:r>
      <w:r w:rsidRPr="009E54F5">
        <w:t>focusse</w:t>
      </w:r>
      <w:r w:rsidR="003E59CA">
        <w:t>s</w:t>
      </w:r>
      <w:r w:rsidRPr="009E54F5">
        <w:t xml:space="preserve"> on </w:t>
      </w:r>
      <w:r w:rsidR="00811928">
        <w:t xml:space="preserve">competition by FTAs for </w:t>
      </w:r>
      <w:r w:rsidRPr="009E54F5">
        <w:t>first release rights. FTA networks</w:t>
      </w:r>
      <w:r w:rsidR="00530817">
        <w:t xml:space="preserve"> can</w:t>
      </w:r>
      <w:r w:rsidRPr="009E54F5">
        <w:t xml:space="preserve"> </w:t>
      </w:r>
      <w:r w:rsidR="00674EF6">
        <w:t xml:space="preserve">already </w:t>
      </w:r>
      <w:r w:rsidRPr="009E54F5">
        <w:t xml:space="preserve">acquire non-sport content in conjunction with STV or SVOD providers. For example, Seven </w:t>
      </w:r>
      <w:r w:rsidR="00811928">
        <w:t xml:space="preserve">(50% owner of Presto) </w:t>
      </w:r>
      <w:r w:rsidRPr="009E54F5">
        <w:t xml:space="preserve">and Nine </w:t>
      </w:r>
      <w:r w:rsidR="00811928">
        <w:t>(</w:t>
      </w:r>
      <w:r w:rsidR="00811928" w:rsidRPr="009E54F5">
        <w:t xml:space="preserve">50% </w:t>
      </w:r>
      <w:r w:rsidR="00811928">
        <w:t xml:space="preserve">owner of </w:t>
      </w:r>
      <w:r w:rsidR="00811928" w:rsidRPr="009E54F5">
        <w:t>Stan)</w:t>
      </w:r>
      <w:r w:rsidR="00811928">
        <w:t xml:space="preserve"> </w:t>
      </w:r>
      <w:r w:rsidRPr="009E54F5">
        <w:t xml:space="preserve">already acquire SVOD rights along with FTA rights for some content. </w:t>
      </w:r>
      <w:r w:rsidR="00F369DC">
        <w:t>FTA networks, STV and SVOD providers</w:t>
      </w:r>
      <w:r w:rsidR="00B80E40" w:rsidRPr="00B80E40">
        <w:t xml:space="preserve"> </w:t>
      </w:r>
      <w:r w:rsidR="002C57A9">
        <w:t xml:space="preserve">can </w:t>
      </w:r>
      <w:r w:rsidR="00B80E40">
        <w:t xml:space="preserve">also </w:t>
      </w:r>
      <w:r w:rsidR="00B80E40" w:rsidRPr="00B80E40">
        <w:t>seek to control the time period before the content can be broadcast on other platforms by acquiring holdback rights, thereby giving them exclusivity over that content for a defined period. For example, Foxtel acquired holdback rights for the television series Game of Thrones to ensure the series</w:t>
      </w:r>
      <w:r w:rsidR="005559F9">
        <w:t xml:space="preserve"> was exclusive to its platform.</w:t>
      </w:r>
    </w:p>
    <w:p w:rsidR="00B80E40" w:rsidRPr="00B80E40" w:rsidRDefault="00E50EB7" w:rsidP="00B80E40">
      <w:pPr>
        <w:pStyle w:val="NormalParagraph"/>
        <w:rPr>
          <w:rFonts w:cs="Arial"/>
        </w:rPr>
      </w:pPr>
      <w:r>
        <w:t xml:space="preserve">Given the information above, it is unlikely that the proposed acquisitions will provide Foxtel, Ten or Presto with a significant competitive advantage over its competitors as the content utilised by each platform to attract the majority of its viewers, and </w:t>
      </w:r>
      <w:r w:rsidR="00F60157">
        <w:t>how that content is consumed, are</w:t>
      </w:r>
      <w:r>
        <w:t xml:space="preserve"> different. </w:t>
      </w:r>
      <w:r w:rsidR="00F369DC">
        <w:t>T</w:t>
      </w:r>
      <w:r w:rsidR="00012CE2">
        <w:t xml:space="preserve">he ACCC </w:t>
      </w:r>
      <w:r>
        <w:t xml:space="preserve">therefore </w:t>
      </w:r>
      <w:r w:rsidR="00012CE2">
        <w:t>con</w:t>
      </w:r>
      <w:r w:rsidR="00F369DC">
        <w:t>cluded</w:t>
      </w:r>
      <w:r w:rsidR="00012CE2">
        <w:t xml:space="preserve"> that Foxtel</w:t>
      </w:r>
      <w:r w:rsidR="00F369DC">
        <w:t>,</w:t>
      </w:r>
      <w:r w:rsidR="00012CE2">
        <w:t xml:space="preserve"> Ten </w:t>
      </w:r>
      <w:r w:rsidR="00F369DC">
        <w:t xml:space="preserve">and Presto </w:t>
      </w:r>
      <w:r w:rsidR="00012CE2">
        <w:t>would not</w:t>
      </w:r>
      <w:r w:rsidR="00010214">
        <w:t>, as a result of the proposed acquisitions,</w:t>
      </w:r>
      <w:r w:rsidR="00012CE2">
        <w:t xml:space="preserve"> have a </w:t>
      </w:r>
      <w:r w:rsidR="006C1605">
        <w:t xml:space="preserve">significantly </w:t>
      </w:r>
      <w:r w:rsidR="00010214">
        <w:t>greater</w:t>
      </w:r>
      <w:r w:rsidR="00012CE2">
        <w:t xml:space="preserve"> incentive</w:t>
      </w:r>
      <w:r w:rsidR="00010214">
        <w:t xml:space="preserve"> or ability</w:t>
      </w:r>
      <w:r w:rsidR="00012CE2">
        <w:t xml:space="preserve"> to acquire content on an exclusive basis</w:t>
      </w:r>
      <w:r w:rsidR="00B80E40">
        <w:t xml:space="preserve">, or with </w:t>
      </w:r>
      <w:r w:rsidR="00B80E40" w:rsidRPr="00B80E40">
        <w:rPr>
          <w:rFonts w:cs="Arial"/>
        </w:rPr>
        <w:t>holdback rights</w:t>
      </w:r>
      <w:r w:rsidR="00012CE2">
        <w:t>.</w:t>
      </w:r>
    </w:p>
    <w:p w:rsidR="00012CE2" w:rsidRDefault="00012CE2" w:rsidP="009E54F5">
      <w:pPr>
        <w:pStyle w:val="NormalParagraph"/>
      </w:pPr>
      <w:r>
        <w:lastRenderedPageBreak/>
        <w:t xml:space="preserve">The ACCC </w:t>
      </w:r>
      <w:r w:rsidR="0089206B">
        <w:t xml:space="preserve">also </w:t>
      </w:r>
      <w:r>
        <w:t xml:space="preserve">considered </w:t>
      </w:r>
      <w:r w:rsidR="0015464C">
        <w:t>concerns raised by market participants that</w:t>
      </w:r>
      <w:r>
        <w:t xml:space="preserve"> the proposed acquisitions would result in </w:t>
      </w:r>
      <w:proofErr w:type="gramStart"/>
      <w:r>
        <w:t>Ten</w:t>
      </w:r>
      <w:proofErr w:type="gramEnd"/>
      <w:r>
        <w:t xml:space="preserve"> gaining an advantage </w:t>
      </w:r>
      <w:r w:rsidRPr="008F725E">
        <w:t>in the acquisition of premium prime</w:t>
      </w:r>
      <w:r w:rsidR="008103EA">
        <w:t>-</w:t>
      </w:r>
      <w:r w:rsidRPr="008F725E">
        <w:t>time original Australian content from Endemol Shine</w:t>
      </w:r>
      <w:r w:rsidR="008103EA">
        <w:t xml:space="preserve">, </w:t>
      </w:r>
      <w:r w:rsidR="0015464C">
        <w:t>given the</w:t>
      </w:r>
      <w:r w:rsidR="008103EA">
        <w:t xml:space="preserve"> Murdoch family </w:t>
      </w:r>
      <w:r w:rsidR="0015464C">
        <w:t>interests in each of Endemol Shine and Foxtel</w:t>
      </w:r>
      <w:r w:rsidR="008103EA">
        <w:t>.</w:t>
      </w:r>
      <w:r>
        <w:t xml:space="preserve"> </w:t>
      </w:r>
      <w:r w:rsidR="008103EA" w:rsidRPr="008103EA">
        <w:t xml:space="preserve">Endemol Shine </w:t>
      </w:r>
      <w:r>
        <w:t xml:space="preserve">is </w:t>
      </w:r>
      <w:r w:rsidRPr="008F725E">
        <w:t xml:space="preserve">Australia’s largest television production house </w:t>
      </w:r>
      <w:r>
        <w:t>and owns the rights to the</w:t>
      </w:r>
      <w:r w:rsidRPr="008F725E">
        <w:t xml:space="preserve"> formats</w:t>
      </w:r>
      <w:r>
        <w:t xml:space="preserve"> for high-quality, high-rating Australian programming. </w:t>
      </w:r>
      <w:r w:rsidR="001E2A40">
        <w:t>Given the increasing importance of premium Australian original content to FTA networks and Foxtel in attracting audiences and subscribers respectively,</w:t>
      </w:r>
      <w:r>
        <w:t xml:space="preserve"> </w:t>
      </w:r>
      <w:r w:rsidR="001C7A5F">
        <w:t>any</w:t>
      </w:r>
      <w:r>
        <w:t xml:space="preserve"> advantage Ten </w:t>
      </w:r>
      <w:r w:rsidR="001C7A5F">
        <w:t xml:space="preserve">would obtain through the </w:t>
      </w:r>
      <w:r w:rsidR="00DD2F6F">
        <w:t xml:space="preserve">proposed </w:t>
      </w:r>
      <w:r w:rsidR="001C7A5F">
        <w:t xml:space="preserve">acquisitions in acquiring this content could give it </w:t>
      </w:r>
      <w:r>
        <w:t>a significant competitive advantage against its FTA rivals.</w:t>
      </w:r>
    </w:p>
    <w:p w:rsidR="00B84148" w:rsidRDefault="001C7A5F" w:rsidP="00B84148">
      <w:pPr>
        <w:pStyle w:val="NormalParagraph"/>
      </w:pPr>
      <w:r>
        <w:t>T</w:t>
      </w:r>
      <w:r w:rsidRPr="001C7A5F">
        <w:t xml:space="preserve">he ACCC </w:t>
      </w:r>
      <w:r w:rsidR="002D0638">
        <w:t>considered</w:t>
      </w:r>
      <w:r>
        <w:t xml:space="preserve"> </w:t>
      </w:r>
      <w:r w:rsidRPr="001C7A5F">
        <w:t>that</w:t>
      </w:r>
      <w:r w:rsidR="00F369DC">
        <w:t>,</w:t>
      </w:r>
      <w:r w:rsidRPr="001C7A5F">
        <w:t xml:space="preserve"> although access to Endemol Shine content is important, </w:t>
      </w:r>
      <w:r w:rsidR="0015464C">
        <w:t xml:space="preserve">even if it could be said that Endemol Shine would favour </w:t>
      </w:r>
      <w:proofErr w:type="gramStart"/>
      <w:r w:rsidR="0015464C">
        <w:t>Ten</w:t>
      </w:r>
      <w:proofErr w:type="gramEnd"/>
      <w:r w:rsidR="0015464C">
        <w:t xml:space="preserve">, </w:t>
      </w:r>
      <w:r w:rsidRPr="001C7A5F">
        <w:t xml:space="preserve">there would remain </w:t>
      </w:r>
      <w:r w:rsidR="00B80E40">
        <w:t>alternative</w:t>
      </w:r>
      <w:r w:rsidRPr="001C7A5F">
        <w:t xml:space="preserve"> options for the acquisition of </w:t>
      </w:r>
      <w:r w:rsidR="00B80E40">
        <w:t xml:space="preserve">premium prime-time original Australian </w:t>
      </w:r>
      <w:r w:rsidRPr="001C7A5F">
        <w:t xml:space="preserve">content post-acquisition. </w:t>
      </w:r>
      <w:r w:rsidR="00012CE2">
        <w:t xml:space="preserve">The ACCC </w:t>
      </w:r>
      <w:r w:rsidR="006453C2">
        <w:t>is aware</w:t>
      </w:r>
      <w:r w:rsidR="00012CE2">
        <w:t xml:space="preserve"> that FTA </w:t>
      </w:r>
      <w:r>
        <w:t>networks</w:t>
      </w:r>
      <w:r w:rsidR="00012CE2">
        <w:t xml:space="preserve"> </w:t>
      </w:r>
      <w:r>
        <w:t>can and do</w:t>
      </w:r>
      <w:r w:rsidR="00012CE2">
        <w:t xml:space="preserve"> produce their own premium non-sport </w:t>
      </w:r>
      <w:r w:rsidR="00012CE2" w:rsidRPr="00012CE2">
        <w:t>content.</w:t>
      </w:r>
      <w:r>
        <w:t xml:space="preserve"> For example, </w:t>
      </w:r>
      <w:proofErr w:type="gramStart"/>
      <w:r w:rsidR="00B84148">
        <w:t>Seven</w:t>
      </w:r>
      <w:proofErr w:type="gramEnd"/>
      <w:r w:rsidR="00B84148">
        <w:t xml:space="preserve"> has in-house production capacity and produces programs such as </w:t>
      </w:r>
      <w:r w:rsidR="00B84148" w:rsidRPr="00B84148">
        <w:t>My Kitchen Rules, Packed to the Rafters, Home and Away, Winners and Losers, and Million Dollar Minute</w:t>
      </w:r>
      <w:r w:rsidR="005559F9">
        <w:t>.</w:t>
      </w:r>
    </w:p>
    <w:p w:rsidR="001E2A40" w:rsidRDefault="001C7A5F" w:rsidP="001C7A5F">
      <w:pPr>
        <w:pStyle w:val="NormalParagraph"/>
      </w:pPr>
      <w:r>
        <w:t xml:space="preserve">In addition, </w:t>
      </w:r>
      <w:r w:rsidR="00B84148">
        <w:t>a number of production companies produce pre</w:t>
      </w:r>
      <w:r w:rsidR="00B84148" w:rsidRPr="008F725E">
        <w:t>mium</w:t>
      </w:r>
      <w:r w:rsidR="00B84148">
        <w:t xml:space="preserve"> prime</w:t>
      </w:r>
      <w:r>
        <w:t>-</w:t>
      </w:r>
      <w:r w:rsidR="00B84148">
        <w:t>time original content</w:t>
      </w:r>
      <w:r>
        <w:t xml:space="preserve"> in Australia</w:t>
      </w:r>
      <w:r w:rsidR="00B84148">
        <w:t>, including</w:t>
      </w:r>
      <w:r w:rsidR="00B84148" w:rsidRPr="00B84148">
        <w:t xml:space="preserve"> </w:t>
      </w:r>
      <w:r w:rsidR="00B84148">
        <w:t xml:space="preserve">Fremantle Media, </w:t>
      </w:r>
      <w:r w:rsidR="00B84148" w:rsidRPr="00B84148">
        <w:t>Cavalier Productions</w:t>
      </w:r>
      <w:r w:rsidR="00B84148">
        <w:t xml:space="preserve">, ITV, Matchbox, </w:t>
      </w:r>
      <w:proofErr w:type="spellStart"/>
      <w:r w:rsidR="00B84148">
        <w:t>Zapruder</w:t>
      </w:r>
      <w:proofErr w:type="spellEnd"/>
      <w:r w:rsidR="00B84148">
        <w:t xml:space="preserve"> and Essential Media. </w:t>
      </w:r>
      <w:r w:rsidR="003039B1">
        <w:t xml:space="preserve">The ACCC </w:t>
      </w:r>
      <w:r w:rsidR="00B80E40">
        <w:t xml:space="preserve">did not receive information indicating </w:t>
      </w:r>
      <w:r w:rsidR="003039B1">
        <w:t xml:space="preserve">significant barriers to these production companies expanding their </w:t>
      </w:r>
      <w:r w:rsidR="00FD2A0A">
        <w:t>production</w:t>
      </w:r>
      <w:r w:rsidR="003039B1">
        <w:t xml:space="preserve"> </w:t>
      </w:r>
      <w:r w:rsidR="00FD2A0A">
        <w:t>of such</w:t>
      </w:r>
      <w:r w:rsidR="003039B1">
        <w:t xml:space="preserve"> content should there be a</w:t>
      </w:r>
      <w:r w:rsidR="0089206B">
        <w:t>n</w:t>
      </w:r>
      <w:r w:rsidR="003039B1">
        <w:t xml:space="preserve"> incentive for them to do so. </w:t>
      </w:r>
      <w:r w:rsidR="00FD2A0A">
        <w:t>These companies compete to supply this content to FTA networks, STV providers and SVOD providers.</w:t>
      </w:r>
    </w:p>
    <w:p w:rsidR="004770E6" w:rsidRDefault="004770E6" w:rsidP="004770E6">
      <w:pPr>
        <w:pStyle w:val="Heading5"/>
        <w:keepNext/>
        <w:spacing w:before="120"/>
      </w:pPr>
      <w:r>
        <w:t>Conclusion</w:t>
      </w:r>
      <w:r w:rsidR="00003BD2">
        <w:t xml:space="preserve"> – markets for the acquisition of </w:t>
      </w:r>
      <w:r w:rsidR="00B80E40">
        <w:t xml:space="preserve">television </w:t>
      </w:r>
      <w:r w:rsidR="00003BD2">
        <w:t>content</w:t>
      </w:r>
    </w:p>
    <w:p w:rsidR="004770E6" w:rsidRDefault="004770E6" w:rsidP="001C7A5F">
      <w:pPr>
        <w:pStyle w:val="NormalParagraph"/>
      </w:pPr>
      <w:r w:rsidRPr="00D674A6">
        <w:t>The ACCC concluded that the proposed acquisitions w</w:t>
      </w:r>
      <w:r w:rsidR="00F60157">
        <w:t>ould be</w:t>
      </w:r>
      <w:r w:rsidRPr="00D674A6">
        <w:t xml:space="preserve"> unlikely to result in a substantial lessening of competition </w:t>
      </w:r>
      <w:r>
        <w:t xml:space="preserve">in the markets for the acquisition of </w:t>
      </w:r>
      <w:r w:rsidR="00B80E40">
        <w:t xml:space="preserve">television </w:t>
      </w:r>
      <w:r>
        <w:t>content</w:t>
      </w:r>
      <w:r w:rsidRPr="00D674A6">
        <w:t>.</w:t>
      </w:r>
    </w:p>
    <w:p w:rsidR="002F59F7" w:rsidRDefault="00237118" w:rsidP="00BB70E5">
      <w:pPr>
        <w:pStyle w:val="Heading4"/>
        <w:spacing w:before="240"/>
      </w:pPr>
      <w:r>
        <w:t>The national market</w:t>
      </w:r>
      <w:r w:rsidR="00E97B8C">
        <w:t>s</w:t>
      </w:r>
      <w:r>
        <w:t xml:space="preserve"> for the </w:t>
      </w:r>
      <w:r w:rsidR="00E97B8C">
        <w:t>s</w:t>
      </w:r>
      <w:r w:rsidR="002F59F7">
        <w:t>upply of F</w:t>
      </w:r>
      <w:r w:rsidR="00A56B4E">
        <w:t xml:space="preserve">TA services and supply of television viewing services </w:t>
      </w:r>
      <w:r w:rsidR="00FC6338">
        <w:t xml:space="preserve">encompassing </w:t>
      </w:r>
      <w:r w:rsidR="00B80E40">
        <w:t xml:space="preserve">(at least) </w:t>
      </w:r>
      <w:r w:rsidR="00FC6338">
        <w:t>both FTA and STV services</w:t>
      </w:r>
    </w:p>
    <w:p w:rsidR="00FC6338" w:rsidRDefault="00B40A9E" w:rsidP="00A56B4E">
      <w:pPr>
        <w:pStyle w:val="NormalParagraph"/>
      </w:pPr>
      <w:r>
        <w:t>T</w:t>
      </w:r>
      <w:r w:rsidR="00FC6338">
        <w:t xml:space="preserve">he </w:t>
      </w:r>
      <w:r>
        <w:t xml:space="preserve">ACCC’s </w:t>
      </w:r>
      <w:r w:rsidR="00FC6338">
        <w:t xml:space="preserve">preliminary view </w:t>
      </w:r>
      <w:r>
        <w:t>was</w:t>
      </w:r>
      <w:r w:rsidR="00FC6338">
        <w:t xml:space="preserve"> that the proposed acquisitions may raise competition concerns</w:t>
      </w:r>
      <w:r>
        <w:t xml:space="preserve"> in the market for the supply of FTA services and a broader market that includes both FTA and STV services.</w:t>
      </w:r>
      <w:r w:rsidR="00FC6338">
        <w:t xml:space="preserve"> </w:t>
      </w:r>
      <w:r>
        <w:t xml:space="preserve">This view was based on the potential for the </w:t>
      </w:r>
      <w:r w:rsidRPr="00AC68AE">
        <w:t>proposed acquisitions</w:t>
      </w:r>
      <w:r>
        <w:t xml:space="preserve"> to reduce the ability of </w:t>
      </w:r>
      <w:r w:rsidR="00FC6338">
        <w:t>FTA</w:t>
      </w:r>
      <w:r w:rsidR="00B80E40">
        <w:t>s</w:t>
      </w:r>
      <w:r w:rsidR="007C3E1D">
        <w:t xml:space="preserve"> </w:t>
      </w:r>
      <w:r w:rsidR="00FC6338">
        <w:t xml:space="preserve">to </w:t>
      </w:r>
      <w:r w:rsidR="00F811F8">
        <w:t xml:space="preserve">compete effectively </w:t>
      </w:r>
      <w:r w:rsidR="00320EE5">
        <w:t xml:space="preserve">for viewers and advertisers </w:t>
      </w:r>
      <w:r w:rsidR="00F811F8">
        <w:t>against</w:t>
      </w:r>
      <w:r w:rsidR="00FC6338">
        <w:t xml:space="preserve"> </w:t>
      </w:r>
      <w:r w:rsidR="00003BD2">
        <w:t xml:space="preserve">a more closely aligned </w:t>
      </w:r>
      <w:r w:rsidR="00FC6338">
        <w:t>Ten</w:t>
      </w:r>
      <w:r w:rsidR="00003BD2">
        <w:t xml:space="preserve"> and Foxtel</w:t>
      </w:r>
      <w:r w:rsidR="00FC6338" w:rsidRPr="00AC68AE">
        <w:t>, potentially leading to a reduction in the quality or choice of FTA television programming available to viewers.</w:t>
      </w:r>
    </w:p>
    <w:p w:rsidR="00F811F8" w:rsidRPr="00AC68AE" w:rsidRDefault="00F811F8" w:rsidP="00A56B4E">
      <w:pPr>
        <w:pStyle w:val="NormalParagraph"/>
      </w:pPr>
      <w:r>
        <w:t>As discussed</w:t>
      </w:r>
      <w:r w:rsidR="00F82929">
        <w:t xml:space="preserve"> above</w:t>
      </w:r>
      <w:r>
        <w:t xml:space="preserve">, premium sports content is important to both FTA networks and Foxtel as it </w:t>
      </w:r>
      <w:r w:rsidR="00B56497">
        <w:t xml:space="preserve">provides </w:t>
      </w:r>
      <w:r w:rsidR="00856352">
        <w:t xml:space="preserve">more consistent </w:t>
      </w:r>
      <w:r w:rsidR="00B56497">
        <w:t xml:space="preserve">ratings </w:t>
      </w:r>
      <w:r w:rsidR="00856352">
        <w:t xml:space="preserve">than </w:t>
      </w:r>
      <w:r w:rsidR="00B56497">
        <w:t>other content, can have a ‘halo’</w:t>
      </w:r>
      <w:r w:rsidR="000C5DA8">
        <w:t xml:space="preserve"> effect</w:t>
      </w:r>
      <w:r w:rsidR="007136D7">
        <w:t xml:space="preserve"> </w:t>
      </w:r>
      <w:r w:rsidR="00856352">
        <w:t>of increasing overall</w:t>
      </w:r>
      <w:r w:rsidR="007136D7">
        <w:t xml:space="preserve"> ratings</w:t>
      </w:r>
      <w:r w:rsidR="000C5DA8">
        <w:t xml:space="preserve">, allows </w:t>
      </w:r>
      <w:r w:rsidR="00B56497">
        <w:t>networks to cross promote and</w:t>
      </w:r>
      <w:r w:rsidR="000C5DA8">
        <w:t xml:space="preserve">, in the case of Foxtel, is </w:t>
      </w:r>
      <w:r w:rsidR="0089206B">
        <w:t xml:space="preserve">critical to </w:t>
      </w:r>
      <w:r w:rsidR="005559F9">
        <w:t>attracting subscribers.</w:t>
      </w:r>
    </w:p>
    <w:p w:rsidR="001D4216" w:rsidRPr="001D4216" w:rsidRDefault="00F811F8" w:rsidP="0046680B">
      <w:pPr>
        <w:pStyle w:val="NormalParagraph"/>
      </w:pPr>
      <w:r w:rsidRPr="00AC68AE">
        <w:t xml:space="preserve">The ACCC investigated whether </w:t>
      </w:r>
      <w:r w:rsidR="0015464C">
        <w:t xml:space="preserve">the proposed acquisitions </w:t>
      </w:r>
      <w:r w:rsidR="00EF6CAF">
        <w:t xml:space="preserve">and </w:t>
      </w:r>
      <w:r w:rsidR="002D0638">
        <w:t xml:space="preserve">potential </w:t>
      </w:r>
      <w:r w:rsidR="00EF6CAF">
        <w:t xml:space="preserve">alignment of Foxtel, Fox Sports and Ten’s incentives </w:t>
      </w:r>
      <w:r w:rsidR="0015464C">
        <w:t xml:space="preserve">would result in </w:t>
      </w:r>
      <w:r w:rsidRPr="00AC68AE">
        <w:t xml:space="preserve">Foxtel and </w:t>
      </w:r>
      <w:r w:rsidRPr="00AC68AE">
        <w:lastRenderedPageBreak/>
        <w:t xml:space="preserve">Ten </w:t>
      </w:r>
      <w:r w:rsidR="0015464C">
        <w:t xml:space="preserve">obtaining </w:t>
      </w:r>
      <w:r w:rsidR="00C10304">
        <w:t>a significant</w:t>
      </w:r>
      <w:r w:rsidR="00F60157">
        <w:t xml:space="preserve">ly increased </w:t>
      </w:r>
      <w:r w:rsidR="00C10304">
        <w:t>proportion of the</w:t>
      </w:r>
      <w:r w:rsidR="0015464C">
        <w:t xml:space="preserve"> rights to</w:t>
      </w:r>
      <w:r w:rsidR="00097FFE">
        <w:t xml:space="preserve"> premium sports, primarily through Foxtel and Ten partnering with each other exclusively when bidding for these rights</w:t>
      </w:r>
      <w:r w:rsidR="0027385D">
        <w:t xml:space="preserve">. </w:t>
      </w:r>
      <w:r w:rsidR="001D4216">
        <w:t>The ACCC concluded</w:t>
      </w:r>
      <w:r w:rsidR="00222EE9">
        <w:t>, for a range of reasons including those set out above, that</w:t>
      </w:r>
      <w:r w:rsidR="001D4216">
        <w:t xml:space="preserve"> this was unlikely to occur</w:t>
      </w:r>
      <w:r w:rsidR="00222EE9">
        <w:t>. In addition to the reasons set out above as to why Foxtel and Ten would not have the ability and incentive to exclusively partner for the acquisition of sports rights, there are</w:t>
      </w:r>
      <w:r w:rsidR="00AC68AE" w:rsidRPr="001D4216">
        <w:rPr>
          <w:rFonts w:cs="Arial"/>
        </w:rPr>
        <w:t xml:space="preserve"> </w:t>
      </w:r>
      <w:r w:rsidR="00F1722C" w:rsidRPr="001D4216">
        <w:rPr>
          <w:rFonts w:cs="Arial"/>
        </w:rPr>
        <w:t>limit</w:t>
      </w:r>
      <w:r w:rsidR="0027385D" w:rsidRPr="001D4216">
        <w:rPr>
          <w:rFonts w:cs="Arial"/>
        </w:rPr>
        <w:t>s</w:t>
      </w:r>
      <w:r w:rsidR="00F1722C" w:rsidRPr="001D4216">
        <w:rPr>
          <w:rFonts w:cs="Arial"/>
        </w:rPr>
        <w:t xml:space="preserve"> </w:t>
      </w:r>
      <w:r w:rsidR="001D4216">
        <w:rPr>
          <w:rFonts w:cs="Arial"/>
        </w:rPr>
        <w:t>on</w:t>
      </w:r>
      <w:r w:rsidR="00F1722C" w:rsidRPr="001D4216">
        <w:rPr>
          <w:rFonts w:cs="Arial"/>
        </w:rPr>
        <w:t xml:space="preserve"> how much sport content a </w:t>
      </w:r>
      <w:r w:rsidR="001D4216" w:rsidRPr="001D4216">
        <w:rPr>
          <w:rFonts w:cs="Arial"/>
        </w:rPr>
        <w:t xml:space="preserve">single </w:t>
      </w:r>
      <w:r w:rsidR="00F1722C" w:rsidRPr="001D4216">
        <w:rPr>
          <w:rFonts w:cs="Arial"/>
        </w:rPr>
        <w:t xml:space="preserve">FTA network </w:t>
      </w:r>
      <w:r w:rsidR="0027385D" w:rsidRPr="001D4216">
        <w:rPr>
          <w:rFonts w:cs="Arial"/>
        </w:rPr>
        <w:t>could</w:t>
      </w:r>
      <w:r w:rsidR="00F1722C" w:rsidRPr="001D4216">
        <w:rPr>
          <w:rFonts w:cs="Arial"/>
        </w:rPr>
        <w:t xml:space="preserve"> acquire</w:t>
      </w:r>
      <w:r w:rsidR="007C3E1D">
        <w:rPr>
          <w:rFonts w:cs="Arial"/>
        </w:rPr>
        <w:t>, even in combination with Foxtel,</w:t>
      </w:r>
      <w:r w:rsidR="00F1722C" w:rsidRPr="001D4216">
        <w:rPr>
          <w:rFonts w:cs="Arial"/>
        </w:rPr>
        <w:t xml:space="preserve"> due to</w:t>
      </w:r>
      <w:r w:rsidR="001D4216" w:rsidRPr="001D4216">
        <w:rPr>
          <w:rFonts w:cs="Arial"/>
        </w:rPr>
        <w:t>:</w:t>
      </w:r>
    </w:p>
    <w:p w:rsidR="001D4216" w:rsidRDefault="00F1722C" w:rsidP="001D4216">
      <w:pPr>
        <w:pStyle w:val="ListParagraph"/>
        <w:tabs>
          <w:tab w:val="clear" w:pos="4188"/>
          <w:tab w:val="num" w:pos="993"/>
        </w:tabs>
        <w:ind w:left="993" w:hanging="426"/>
      </w:pPr>
      <w:r w:rsidRPr="001D4216">
        <w:t>the high cost of premium sports rights</w:t>
      </w:r>
    </w:p>
    <w:p w:rsidR="001D4216" w:rsidRDefault="00F1722C" w:rsidP="001D4216">
      <w:pPr>
        <w:pStyle w:val="ListParagraph"/>
        <w:tabs>
          <w:tab w:val="clear" w:pos="4188"/>
          <w:tab w:val="num" w:pos="993"/>
        </w:tabs>
        <w:ind w:left="993" w:hanging="426"/>
      </w:pPr>
      <w:r w:rsidRPr="001D4216">
        <w:t>the likelihood of scheduling clashes on the main channel</w:t>
      </w:r>
      <w:r w:rsidR="001D4216">
        <w:t xml:space="preserve"> and</w:t>
      </w:r>
      <w:r w:rsidRPr="001D4216">
        <w:t xml:space="preserve"> the reluctance of premium sports rights holders to agree to their most popular games being shown on multi-channels</w:t>
      </w:r>
      <w:r w:rsidR="007C3E1D">
        <w:t xml:space="preserve"> or STV</w:t>
      </w:r>
      <w:r w:rsidR="00F82929">
        <w:t>, and</w:t>
      </w:r>
    </w:p>
    <w:p w:rsidR="002F59F7" w:rsidRPr="00436723" w:rsidRDefault="00F1722C" w:rsidP="001D4216">
      <w:pPr>
        <w:pStyle w:val="ListParagraph"/>
        <w:tabs>
          <w:tab w:val="clear" w:pos="4188"/>
          <w:tab w:val="num" w:pos="993"/>
        </w:tabs>
        <w:ind w:left="993" w:hanging="426"/>
      </w:pPr>
      <w:r w:rsidRPr="001D4216">
        <w:t xml:space="preserve">the </w:t>
      </w:r>
      <w:r w:rsidR="001D4216" w:rsidRPr="001D4216">
        <w:t>likelihood that</w:t>
      </w:r>
      <w:r w:rsidRPr="001D4216">
        <w:t xml:space="preserve"> an FTA network </w:t>
      </w:r>
      <w:r w:rsidR="001D4216" w:rsidRPr="001D4216">
        <w:t>could not</w:t>
      </w:r>
      <w:r w:rsidRPr="001D4216">
        <w:t xml:space="preserve"> satisfy a sporting body that it would be able to promote its sport effectively if it held the rights to a </w:t>
      </w:r>
      <w:r w:rsidR="007C3E1D">
        <w:t xml:space="preserve">major </w:t>
      </w:r>
      <w:r w:rsidRPr="001D4216">
        <w:t>competing sport (such as the AFL and NRL).</w:t>
      </w:r>
    </w:p>
    <w:p w:rsidR="00D50167" w:rsidRDefault="001D4216" w:rsidP="00D50167">
      <w:pPr>
        <w:pStyle w:val="NormalParagraph"/>
      </w:pPr>
      <w:r w:rsidRPr="001D4216">
        <w:t xml:space="preserve">The ACCC also investigated whether </w:t>
      </w:r>
      <w:r w:rsidR="007C3E1D">
        <w:t xml:space="preserve">the proposed acquisitions would result in </w:t>
      </w:r>
      <w:r w:rsidR="00F82929">
        <w:t>a reduction in</w:t>
      </w:r>
      <w:r w:rsidR="00F82929" w:rsidRPr="00436723">
        <w:t xml:space="preserve"> the quality and quantity of games broadcast on FTA</w:t>
      </w:r>
      <w:r w:rsidR="00274833">
        <w:t xml:space="preserve"> in instances where Foxtel and Ten jointly acquire the rights to a sport. </w:t>
      </w:r>
      <w:r w:rsidR="00D50167">
        <w:t>For example, this may occur</w:t>
      </w:r>
      <w:r w:rsidR="006D071C">
        <w:t xml:space="preserve"> through</w:t>
      </w:r>
      <w:r w:rsidR="00F82929" w:rsidRPr="001D4216">
        <w:t xml:space="preserve"> </w:t>
      </w:r>
      <w:r w:rsidR="006D071C">
        <w:t xml:space="preserve">Foxtel seeking to secure rights to </w:t>
      </w:r>
      <w:r w:rsidR="00274833">
        <w:t>a greater share of</w:t>
      </w:r>
      <w:r w:rsidR="006D071C">
        <w:t xml:space="preserve"> </w:t>
      </w:r>
      <w:r w:rsidRPr="001D4216">
        <w:t>premium sports content</w:t>
      </w:r>
      <w:r w:rsidR="006D071C">
        <w:t xml:space="preserve"> to increase its subscription base</w:t>
      </w:r>
      <w:r w:rsidRPr="001D4216">
        <w:t xml:space="preserve">, with </w:t>
      </w:r>
      <w:proofErr w:type="gramStart"/>
      <w:r w:rsidRPr="001D4216">
        <w:t>Ten</w:t>
      </w:r>
      <w:proofErr w:type="gramEnd"/>
      <w:r w:rsidRPr="001D4216">
        <w:t xml:space="preserve"> retaining the less popula</w:t>
      </w:r>
      <w:r w:rsidR="005559F9">
        <w:t>r sports content.</w:t>
      </w:r>
    </w:p>
    <w:p w:rsidR="00D50167" w:rsidRDefault="00F1722C" w:rsidP="00D50167">
      <w:pPr>
        <w:pStyle w:val="NormalParagraph"/>
      </w:pPr>
      <w:r w:rsidRPr="00436723">
        <w:t>The ACCC considered</w:t>
      </w:r>
      <w:r w:rsidR="00581A94">
        <w:t xml:space="preserve"> that </w:t>
      </w:r>
      <w:proofErr w:type="gramStart"/>
      <w:r w:rsidR="00581A94">
        <w:t>Ten</w:t>
      </w:r>
      <w:proofErr w:type="gramEnd"/>
      <w:r w:rsidR="00581A94">
        <w:t xml:space="preserve"> would only agree to do so if it was also in Ten’s best interests. The ACCC also considered that</w:t>
      </w:r>
      <w:r w:rsidRPr="00436723">
        <w:t xml:space="preserve"> </w:t>
      </w:r>
      <w:r w:rsidR="00D50167">
        <w:t xml:space="preserve">the anti-siphoning regime, as well as some </w:t>
      </w:r>
      <w:r w:rsidR="006C1605">
        <w:t xml:space="preserve">bargaining </w:t>
      </w:r>
      <w:r w:rsidR="00D50167">
        <w:t xml:space="preserve">power of sporting bodies (discussed above), and competition from independent FTA networks and SVOD providers, would </w:t>
      </w:r>
      <w:r w:rsidR="006C1605">
        <w:t xml:space="preserve">be likely to constrain </w:t>
      </w:r>
      <w:r w:rsidR="00D50167">
        <w:t xml:space="preserve">any attempt by Foxtel to work with Ten </w:t>
      </w:r>
      <w:r w:rsidR="00D50167" w:rsidRPr="00436723">
        <w:t xml:space="preserve">to </w:t>
      </w:r>
      <w:r w:rsidR="00D50167">
        <w:t>shift</w:t>
      </w:r>
      <w:r w:rsidR="00D50167" w:rsidRPr="00436723">
        <w:t xml:space="preserve"> the </w:t>
      </w:r>
      <w:r w:rsidR="00D50167">
        <w:t>most popular sporting</w:t>
      </w:r>
      <w:r w:rsidR="00D50167" w:rsidRPr="00436723">
        <w:t xml:space="preserve"> </w:t>
      </w:r>
      <w:r w:rsidR="00D50167">
        <w:t>events</w:t>
      </w:r>
      <w:r w:rsidR="00D50167" w:rsidRPr="00436723">
        <w:t xml:space="preserve"> to </w:t>
      </w:r>
      <w:r w:rsidR="00D50167">
        <w:t>Foxtel</w:t>
      </w:r>
      <w:r w:rsidR="00D50167" w:rsidRPr="00436723">
        <w:t>.</w:t>
      </w:r>
    </w:p>
    <w:p w:rsidR="001551CB" w:rsidRDefault="001551CB" w:rsidP="001551CB">
      <w:pPr>
        <w:pStyle w:val="NormalParagraph"/>
      </w:pPr>
      <w:r>
        <w:t>The anti-siphoning regime states that pay TV broadcasters are prohibited from acquiring the rights to televise an event on the anti-siphoning list unless:</w:t>
      </w:r>
    </w:p>
    <w:p w:rsidR="001551CB" w:rsidRDefault="001551CB" w:rsidP="001D4216">
      <w:pPr>
        <w:pStyle w:val="ListParagraph"/>
        <w:tabs>
          <w:tab w:val="clear" w:pos="4188"/>
          <w:tab w:val="num" w:pos="993"/>
        </w:tabs>
        <w:ind w:left="993" w:hanging="426"/>
      </w:pPr>
      <w:r>
        <w:t>the rights are held by commercial television licensees who have the right to televise the event to more than 50 per cent of the Australian population</w:t>
      </w:r>
    </w:p>
    <w:p w:rsidR="001551CB" w:rsidRDefault="001551CB" w:rsidP="001D4216">
      <w:pPr>
        <w:pStyle w:val="ListParagraph"/>
        <w:tabs>
          <w:tab w:val="clear" w:pos="4188"/>
          <w:tab w:val="num" w:pos="993"/>
        </w:tabs>
        <w:ind w:left="993" w:hanging="426"/>
      </w:pPr>
      <w:r>
        <w:t>the rights are held by either the ABC or SBS</w:t>
      </w:r>
      <w:r w:rsidR="00F82929">
        <w:t>, or</w:t>
      </w:r>
    </w:p>
    <w:p w:rsidR="001551CB" w:rsidRDefault="001551CB" w:rsidP="001D4216">
      <w:pPr>
        <w:pStyle w:val="ListParagraph"/>
        <w:tabs>
          <w:tab w:val="clear" w:pos="4188"/>
          <w:tab w:val="num" w:pos="993"/>
        </w:tabs>
        <w:ind w:left="993" w:hanging="426"/>
      </w:pPr>
      <w:proofErr w:type="gramStart"/>
      <w:r>
        <w:t>national</w:t>
      </w:r>
      <w:proofErr w:type="gramEnd"/>
      <w:r>
        <w:t xml:space="preserve"> or commercial television broadcasters have not obtained these rights by 12 weeks before the start of the event.</w:t>
      </w:r>
    </w:p>
    <w:p w:rsidR="00AC68AE" w:rsidRDefault="00436723" w:rsidP="008D3938">
      <w:pPr>
        <w:pStyle w:val="NormalParagraph"/>
      </w:pPr>
      <w:r w:rsidRPr="00436723">
        <w:t xml:space="preserve">In relation to </w:t>
      </w:r>
      <w:r w:rsidR="00AC68AE" w:rsidRPr="00436723">
        <w:t xml:space="preserve">non-sport content, </w:t>
      </w:r>
      <w:r w:rsidR="00452405">
        <w:t xml:space="preserve">the ACCC concluded that </w:t>
      </w:r>
      <w:r w:rsidR="00AC68AE" w:rsidRPr="00436723">
        <w:t>Ten may</w:t>
      </w:r>
      <w:r w:rsidR="00581A94">
        <w:t xml:space="preserve"> in some cases</w:t>
      </w:r>
      <w:r w:rsidR="00AC68AE" w:rsidRPr="00436723">
        <w:t xml:space="preserve">, as a result of the </w:t>
      </w:r>
      <w:r w:rsidR="00320EE5">
        <w:t xml:space="preserve">proposed </w:t>
      </w:r>
      <w:r w:rsidR="00AC68AE" w:rsidRPr="00436723">
        <w:t>acquisitions, be able to compete more effectively for high-rating proven content and Foxtel and Ten may be able to compete more effectively for content that can be shown</w:t>
      </w:r>
      <w:r w:rsidR="005B7C67">
        <w:t xml:space="preserve"> (concurrently or at different times)</w:t>
      </w:r>
      <w:r w:rsidR="00AC68AE" w:rsidRPr="00436723">
        <w:t xml:space="preserve"> on STV and FTA channels</w:t>
      </w:r>
      <w:r w:rsidR="005B7C67">
        <w:t>. However</w:t>
      </w:r>
      <w:r w:rsidR="00AC68AE" w:rsidRPr="00436723">
        <w:t>,</w:t>
      </w:r>
      <w:r w:rsidR="004770E6">
        <w:t xml:space="preserve"> a</w:t>
      </w:r>
      <w:r w:rsidR="00452405" w:rsidRPr="00452405">
        <w:t xml:space="preserve">s noted above, the ACCC found that a large amount of </w:t>
      </w:r>
      <w:r w:rsidR="00F82929">
        <w:t xml:space="preserve">this </w:t>
      </w:r>
      <w:r w:rsidR="00452405" w:rsidRPr="00452405">
        <w:t>content</w:t>
      </w:r>
      <w:r w:rsidR="00C10304">
        <w:t xml:space="preserve"> </w:t>
      </w:r>
      <w:r w:rsidR="00F82929" w:rsidRPr="00452405">
        <w:t>is available</w:t>
      </w:r>
      <w:r w:rsidR="00452405" w:rsidRPr="00452405">
        <w:t xml:space="preserve">. Ten </w:t>
      </w:r>
      <w:r w:rsidR="00320EE5">
        <w:t xml:space="preserve">and Foxtel </w:t>
      </w:r>
      <w:r w:rsidR="00452405" w:rsidRPr="00452405">
        <w:t>would not be able to acquire a large enough proportion of this content to create an inadequate supply to other FTA networks.</w:t>
      </w:r>
    </w:p>
    <w:p w:rsidR="004770E6" w:rsidRPr="00436723" w:rsidRDefault="004770E6" w:rsidP="008D3938">
      <w:pPr>
        <w:pStyle w:val="NormalParagraph"/>
      </w:pPr>
      <w:r>
        <w:t xml:space="preserve">Taking these factors into </w:t>
      </w:r>
      <w:proofErr w:type="gramStart"/>
      <w:r>
        <w:t>account,</w:t>
      </w:r>
      <w:proofErr w:type="gramEnd"/>
      <w:r w:rsidR="00AD5EE3">
        <w:t xml:space="preserve"> and the fact that Foxtel will have </w:t>
      </w:r>
      <w:r w:rsidR="00D67765">
        <w:t xml:space="preserve">only </w:t>
      </w:r>
      <w:r w:rsidR="00AD5EE3">
        <w:t>a minority shareholding in Ten,</w:t>
      </w:r>
      <w:r>
        <w:t xml:space="preserve"> t</w:t>
      </w:r>
      <w:r w:rsidRPr="004770E6">
        <w:t xml:space="preserve">he ACCC </w:t>
      </w:r>
      <w:r>
        <w:t>concluded</w:t>
      </w:r>
      <w:r w:rsidRPr="004770E6">
        <w:t xml:space="preserve"> that </w:t>
      </w:r>
      <w:r>
        <w:t>the proposed acquisitions</w:t>
      </w:r>
      <w:r w:rsidRPr="004770E6">
        <w:t xml:space="preserve"> </w:t>
      </w:r>
      <w:r w:rsidR="00F60157">
        <w:t>would be</w:t>
      </w:r>
      <w:r w:rsidRPr="004770E6">
        <w:t xml:space="preserve"> unlikely to result in a substantial lessening of competition </w:t>
      </w:r>
      <w:r w:rsidRPr="004770E6">
        <w:lastRenderedPageBreak/>
        <w:t xml:space="preserve">in either the </w:t>
      </w:r>
      <w:r w:rsidR="00F82929">
        <w:t>market for the suppl</w:t>
      </w:r>
      <w:r w:rsidR="006C1605">
        <w:t>y</w:t>
      </w:r>
      <w:r w:rsidR="00F82929">
        <w:t xml:space="preserve"> of </w:t>
      </w:r>
      <w:r w:rsidRPr="004770E6">
        <w:t xml:space="preserve">FTA </w:t>
      </w:r>
      <w:r w:rsidR="00F82929">
        <w:t>services</w:t>
      </w:r>
      <w:r w:rsidRPr="004770E6">
        <w:t xml:space="preserve"> or a broader market that includes FTA and STV services</w:t>
      </w:r>
      <w:r w:rsidR="00EC1ED7">
        <w:t>.</w:t>
      </w:r>
    </w:p>
    <w:p w:rsidR="002F59F7" w:rsidRPr="00436723" w:rsidRDefault="002F59F7" w:rsidP="00BB70E5">
      <w:pPr>
        <w:pStyle w:val="Heading4"/>
        <w:spacing w:before="240"/>
      </w:pPr>
      <w:r w:rsidRPr="00436723">
        <w:t>The national market for the supply of television advertising se</w:t>
      </w:r>
      <w:r w:rsidR="005559F9">
        <w:t>rvices</w:t>
      </w:r>
    </w:p>
    <w:p w:rsidR="00BA446E" w:rsidRDefault="00BA446E" w:rsidP="00A56B4E">
      <w:pPr>
        <w:pStyle w:val="NormalParagraph"/>
      </w:pPr>
      <w:r w:rsidRPr="00436723">
        <w:t xml:space="preserve">The ACCC </w:t>
      </w:r>
      <w:r w:rsidR="006D071C">
        <w:t xml:space="preserve">investigated </w:t>
      </w:r>
      <w:r w:rsidRPr="00436723">
        <w:t xml:space="preserve">whether the </w:t>
      </w:r>
      <w:r w:rsidR="00F573DF">
        <w:t xml:space="preserve">proposed </w:t>
      </w:r>
      <w:r w:rsidRPr="00436723">
        <w:t xml:space="preserve">acquisitions may give Foxtel and Ten an </w:t>
      </w:r>
      <w:r w:rsidR="0014157D">
        <w:t xml:space="preserve">ability and </w:t>
      </w:r>
      <w:r w:rsidRPr="00436723">
        <w:t xml:space="preserve">incentive to coordinate (through MCN) their offers to advertisers and </w:t>
      </w:r>
      <w:r w:rsidR="00FF7D0C">
        <w:t>whether</w:t>
      </w:r>
      <w:r w:rsidRPr="00436723">
        <w:t xml:space="preserve"> this </w:t>
      </w:r>
      <w:r w:rsidR="00FF7D0C">
        <w:t>would</w:t>
      </w:r>
      <w:r w:rsidRPr="00436723">
        <w:t xml:space="preserve"> lessen competition in the supply of television advertising services, including by reducing the num</w:t>
      </w:r>
      <w:r>
        <w:t>ber of independent competitors available to advertisers.</w:t>
      </w:r>
    </w:p>
    <w:p w:rsidR="00A56B4E" w:rsidRDefault="00BA446E" w:rsidP="00BA446E">
      <w:pPr>
        <w:pStyle w:val="NormalParagraph"/>
      </w:pPr>
      <w:r>
        <w:t xml:space="preserve">The ACCC </w:t>
      </w:r>
      <w:r w:rsidR="00416015">
        <w:t>consider</w:t>
      </w:r>
      <w:r w:rsidR="006D071C">
        <w:t>ed</w:t>
      </w:r>
      <w:r>
        <w:t xml:space="preserve"> that </w:t>
      </w:r>
      <w:r w:rsidRPr="00BA446E">
        <w:t>the</w:t>
      </w:r>
      <w:r w:rsidR="00EC1ED7">
        <w:t xml:space="preserve"> proposed</w:t>
      </w:r>
      <w:r w:rsidRPr="00BA446E">
        <w:t xml:space="preserve"> acquisition</w:t>
      </w:r>
      <w:r w:rsidR="00EC1ED7">
        <w:t>s</w:t>
      </w:r>
      <w:r w:rsidR="00DF3D45">
        <w:t>, and in particular Ten’s acquisition of a 24.99% interest in MCN,</w:t>
      </w:r>
      <w:r w:rsidRPr="00BA446E">
        <w:t xml:space="preserve"> </w:t>
      </w:r>
      <w:r w:rsidR="00DF3D45">
        <w:t>could</w:t>
      </w:r>
      <w:r w:rsidRPr="00BA446E">
        <w:t xml:space="preserve"> increase the </w:t>
      </w:r>
      <w:r w:rsidR="0014157D">
        <w:t xml:space="preserve">ability and </w:t>
      </w:r>
      <w:r w:rsidRPr="00BA446E">
        <w:t>incentive for Ten and Foxtel to offer bundled advertising packages across their platforms, and to integra</w:t>
      </w:r>
      <w:r>
        <w:t xml:space="preserve">te their advertising strategies. </w:t>
      </w:r>
      <w:r w:rsidR="00A56B4E">
        <w:t xml:space="preserve">The ability of MCN to offer packages of advertising opportunities across multiple platforms is likely to increase the attractiveness of </w:t>
      </w:r>
      <w:proofErr w:type="gramStart"/>
      <w:r w:rsidR="00A56B4E">
        <w:t>Ten</w:t>
      </w:r>
      <w:proofErr w:type="gramEnd"/>
      <w:r w:rsidR="00A56B4E">
        <w:t xml:space="preserve"> to advertisers and strengthen its ability to compete against Seven and Nine</w:t>
      </w:r>
      <w:r w:rsidR="00097FFE">
        <w:t xml:space="preserve">. </w:t>
      </w:r>
      <w:r w:rsidR="003E04C0">
        <w:t xml:space="preserve">The addition of Ten to </w:t>
      </w:r>
      <w:r w:rsidR="00097FFE">
        <w:t xml:space="preserve">MCN will </w:t>
      </w:r>
      <w:r w:rsidR="003E04C0">
        <w:t>enable it</w:t>
      </w:r>
      <w:r w:rsidR="00097FFE">
        <w:t xml:space="preserve"> to market directly to advertisers who previously would not have considered Foxtel due to its small audience share compared to FTA networks.</w:t>
      </w:r>
    </w:p>
    <w:p w:rsidR="00B840F7" w:rsidRDefault="00A56B4E" w:rsidP="00A56B4E">
      <w:pPr>
        <w:pStyle w:val="NormalParagraph"/>
      </w:pPr>
      <w:r>
        <w:t xml:space="preserve">However, </w:t>
      </w:r>
      <w:r w:rsidR="00BA446E">
        <w:t xml:space="preserve">the ACCC considers that </w:t>
      </w:r>
      <w:r>
        <w:t xml:space="preserve">advertisers will continue to </w:t>
      </w:r>
      <w:r w:rsidR="00EC1ED7">
        <w:t>be able to access alternative television advertising services to MCN</w:t>
      </w:r>
      <w:r>
        <w:t>. Seven and Nine are likely to continue to offer attractive advertising opportunities (based on continued access to compelling sports and non-sport content)</w:t>
      </w:r>
      <w:r w:rsidR="00110D67">
        <w:t xml:space="preserve"> and to have the resources and ability to acquire or innovate to develop even more attractive advertising opportunities in the future</w:t>
      </w:r>
      <w:r w:rsidR="005559F9">
        <w:t>.</w:t>
      </w:r>
    </w:p>
    <w:p w:rsidR="00BA446E" w:rsidRPr="00436723" w:rsidRDefault="00BA446E" w:rsidP="00A56B4E">
      <w:pPr>
        <w:pStyle w:val="NormalParagraph"/>
      </w:pPr>
      <w:r w:rsidRPr="00436723">
        <w:t>The ACCC concluded tha</w:t>
      </w:r>
      <w:r w:rsidR="00F60157">
        <w:t>t the proposed acquisitions would be</w:t>
      </w:r>
      <w:r w:rsidRPr="00436723">
        <w:t xml:space="preserve"> unlikely to substantially lessen competition in the national market for the supply of television advertising services. </w:t>
      </w:r>
      <w:r w:rsidR="0014157D">
        <w:t>In reac</w:t>
      </w:r>
      <w:r w:rsidR="00FA1ECC">
        <w:t>hing this</w:t>
      </w:r>
      <w:r w:rsidR="0014157D">
        <w:t xml:space="preserve"> conclusion the ACCC also considered that as the proposed acquisitions are minority acquisitions, Foxtel and Ten will be subject to provisions of the Act other than section 50 which would apply to any agreements between them to coordinate or bundle advertising packages.</w:t>
      </w:r>
    </w:p>
    <w:p w:rsidR="002F59F7" w:rsidRPr="00436723" w:rsidRDefault="002F59F7" w:rsidP="00BB70E5">
      <w:pPr>
        <w:pStyle w:val="Heading4"/>
        <w:spacing w:before="240"/>
      </w:pPr>
      <w:r w:rsidRPr="00436723">
        <w:t xml:space="preserve">The national market for the supply of </w:t>
      </w:r>
      <w:r w:rsidR="009677C6">
        <w:t>subscription-video-on-demand (</w:t>
      </w:r>
      <w:r w:rsidRPr="00436723">
        <w:t>SVOD</w:t>
      </w:r>
      <w:r w:rsidR="009677C6">
        <w:t>)</w:t>
      </w:r>
      <w:r w:rsidRPr="00436723">
        <w:t xml:space="preserve"> </w:t>
      </w:r>
      <w:r w:rsidR="009677C6">
        <w:t>services</w:t>
      </w:r>
    </w:p>
    <w:p w:rsidR="003E04C0" w:rsidRDefault="003D6ECE" w:rsidP="003E04C0">
      <w:pPr>
        <w:pStyle w:val="NormalParagraph"/>
      </w:pPr>
      <w:r w:rsidRPr="00436723">
        <w:t xml:space="preserve">The ACCC considered </w:t>
      </w:r>
      <w:r w:rsidR="002F3AE4">
        <w:t>whether</w:t>
      </w:r>
      <w:r w:rsidRPr="00436723">
        <w:t xml:space="preserve"> the proposed acquisitions</w:t>
      </w:r>
      <w:r w:rsidR="0014157D">
        <w:t>, and in particular Ten’s option to acquire a 10% interest in Presto,</w:t>
      </w:r>
      <w:r w:rsidRPr="00436723">
        <w:t xml:space="preserve"> </w:t>
      </w:r>
      <w:r w:rsidR="002F3AE4">
        <w:t>would</w:t>
      </w:r>
      <w:r w:rsidR="002F3AE4" w:rsidRPr="00436723">
        <w:t xml:space="preserve"> </w:t>
      </w:r>
      <w:r w:rsidRPr="00436723">
        <w:t xml:space="preserve">raise competition concerns by limiting the ability of </w:t>
      </w:r>
      <w:r w:rsidR="002F3AE4">
        <w:t>other</w:t>
      </w:r>
      <w:r w:rsidR="002F3AE4" w:rsidRPr="00436723">
        <w:t xml:space="preserve"> </w:t>
      </w:r>
      <w:r w:rsidRPr="00436723">
        <w:t xml:space="preserve">SVOD providers </w:t>
      </w:r>
      <w:r w:rsidR="00D06A44">
        <w:t xml:space="preserve">to acquire the content necessary </w:t>
      </w:r>
      <w:r w:rsidRPr="00436723">
        <w:t>to compete with Presto</w:t>
      </w:r>
      <w:r w:rsidR="00D06A44">
        <w:t>. Specifically, the ACCC considered whether by bidding jointly for content, Foxtel, Ten and Presto could limit other SVOD providers from accessing content necessary to make them effective competitors</w:t>
      </w:r>
      <w:r w:rsidR="00CA7A6E">
        <w:t>.</w:t>
      </w:r>
    </w:p>
    <w:p w:rsidR="00B7086F" w:rsidRDefault="00EC1ED7" w:rsidP="00B7086F">
      <w:pPr>
        <w:pStyle w:val="NormalParagraph"/>
      </w:pPr>
      <w:r>
        <w:t xml:space="preserve">Several </w:t>
      </w:r>
      <w:r w:rsidR="003D6ECE" w:rsidRPr="00436723">
        <w:t>new entrants commenced supply of SVOD services in Australia in 2015</w:t>
      </w:r>
      <w:r w:rsidR="002F3AE4">
        <w:t>.</w:t>
      </w:r>
      <w:r w:rsidR="008A2238">
        <w:t xml:space="preserve"> There has been strong take-up of these services, particularly Netflix, which has over </w:t>
      </w:r>
      <w:r w:rsidR="002C3173">
        <w:t xml:space="preserve">one </w:t>
      </w:r>
      <w:r w:rsidR="008A2238">
        <w:t>m</w:t>
      </w:r>
      <w:r w:rsidR="002C3173">
        <w:t>illion</w:t>
      </w:r>
      <w:r w:rsidR="008A2238">
        <w:t xml:space="preserve"> subscribers in Australia</w:t>
      </w:r>
      <w:r w:rsidR="00BB70E5">
        <w:t xml:space="preserve"> (although some of these subscribers</w:t>
      </w:r>
      <w:r w:rsidR="00FF7D0C">
        <w:t xml:space="preserve"> </w:t>
      </w:r>
      <w:r w:rsidR="00BB70E5">
        <w:t xml:space="preserve">are </w:t>
      </w:r>
      <w:r w:rsidR="00FF7D0C">
        <w:t>on free trial offers)</w:t>
      </w:r>
      <w:r w:rsidR="005559F9">
        <w:t>.</w:t>
      </w:r>
    </w:p>
    <w:p w:rsidR="00DF20E9" w:rsidRDefault="00B7086F" w:rsidP="00B63721">
      <w:pPr>
        <w:pStyle w:val="NormalParagraph"/>
      </w:pPr>
      <w:r>
        <w:t xml:space="preserve">These </w:t>
      </w:r>
      <w:r w:rsidR="00936CE3" w:rsidRPr="00B63721">
        <w:rPr>
          <w:rFonts w:cs="Arial"/>
        </w:rPr>
        <w:t>SVOD providers do not currently broadcast sport content, which has most value when viewed live. T</w:t>
      </w:r>
      <w:r w:rsidR="003D6ECE">
        <w:t>h</w:t>
      </w:r>
      <w:r w:rsidR="002C3173">
        <w:t xml:space="preserve">ere </w:t>
      </w:r>
      <w:r w:rsidR="003D6ECE">
        <w:t xml:space="preserve">is </w:t>
      </w:r>
      <w:r w:rsidR="002C3173">
        <w:t xml:space="preserve">a large back catalogue of non-sport content available </w:t>
      </w:r>
      <w:r w:rsidR="00B735F0" w:rsidRPr="00B735F0">
        <w:t>from a range of producers globally</w:t>
      </w:r>
      <w:r w:rsidR="00936CE3">
        <w:t>,</w:t>
      </w:r>
      <w:r w:rsidR="00B735F0" w:rsidRPr="00B735F0">
        <w:t xml:space="preserve"> </w:t>
      </w:r>
      <w:r w:rsidR="002C3173">
        <w:t>and this currently forms</w:t>
      </w:r>
      <w:r w:rsidR="00FE1187">
        <w:t xml:space="preserve"> the majority </w:t>
      </w:r>
      <w:r w:rsidR="00FE1187">
        <w:lastRenderedPageBreak/>
        <w:t>of content shown on SVOD</w:t>
      </w:r>
      <w:r w:rsidR="00B735F0">
        <w:t xml:space="preserve"> platforms</w:t>
      </w:r>
      <w:r w:rsidR="00FE1187">
        <w:t xml:space="preserve">. As SVOD </w:t>
      </w:r>
      <w:r w:rsidR="00B735F0">
        <w:t>providers</w:t>
      </w:r>
      <w:r w:rsidR="00FE1187">
        <w:t xml:space="preserve"> charge a low monthly fee, they </w:t>
      </w:r>
      <w:r w:rsidR="002C3173">
        <w:t>typically do not</w:t>
      </w:r>
      <w:r w:rsidR="00FE1187">
        <w:t xml:space="preserve"> commission </w:t>
      </w:r>
      <w:r w:rsidR="002C3173">
        <w:t xml:space="preserve">a </w:t>
      </w:r>
      <w:r w:rsidR="00FE1187">
        <w:t xml:space="preserve">large </w:t>
      </w:r>
      <w:r w:rsidR="002C3173">
        <w:t>volume</w:t>
      </w:r>
      <w:r w:rsidR="00FE1187">
        <w:t xml:space="preserve"> of </w:t>
      </w:r>
      <w:r w:rsidR="002C3173">
        <w:t xml:space="preserve">original </w:t>
      </w:r>
      <w:r w:rsidR="00FE1187">
        <w:t xml:space="preserve">content or acquire </w:t>
      </w:r>
      <w:r w:rsidR="002C3173">
        <w:t xml:space="preserve">a </w:t>
      </w:r>
      <w:r w:rsidR="00FE1187">
        <w:t>significant</w:t>
      </w:r>
      <w:r w:rsidR="002C3173">
        <w:t xml:space="preserve"> </w:t>
      </w:r>
      <w:r w:rsidR="002C3173" w:rsidRPr="002C3173">
        <w:t xml:space="preserve">volume </w:t>
      </w:r>
      <w:r w:rsidR="002C3173">
        <w:t>of</w:t>
      </w:r>
      <w:r w:rsidR="00FE1187">
        <w:t xml:space="preserve"> first</w:t>
      </w:r>
      <w:r w:rsidR="002C3173">
        <w:t>-</w:t>
      </w:r>
      <w:r w:rsidR="00FE1187">
        <w:t>run content unless</w:t>
      </w:r>
      <w:r w:rsidR="002C3173">
        <w:t>, like Netflix,</w:t>
      </w:r>
      <w:r w:rsidR="00FE1187">
        <w:t xml:space="preserve"> they have global scale </w:t>
      </w:r>
      <w:r w:rsidR="002C3173">
        <w:t>which allows them to spread the costs of such content over a large subscriber base</w:t>
      </w:r>
      <w:r w:rsidR="005559F9">
        <w:t>.</w:t>
      </w:r>
    </w:p>
    <w:p w:rsidR="00B7086F" w:rsidRDefault="00B7086F" w:rsidP="003D6ECE">
      <w:pPr>
        <w:pStyle w:val="NormalParagraph"/>
      </w:pPr>
      <w:r>
        <w:t xml:space="preserve">The </w:t>
      </w:r>
      <w:r w:rsidR="0014157D">
        <w:t xml:space="preserve">proposed </w:t>
      </w:r>
      <w:r w:rsidRPr="00436723">
        <w:t>acquisition</w:t>
      </w:r>
      <w:r w:rsidR="0014157D">
        <w:t>s</w:t>
      </w:r>
      <w:r w:rsidRPr="00436723">
        <w:t xml:space="preserve"> </w:t>
      </w:r>
      <w:r w:rsidR="0014157D">
        <w:t>are</w:t>
      </w:r>
      <w:r w:rsidRPr="00436723">
        <w:t xml:space="preserve"> unlikely to prevent</w:t>
      </w:r>
      <w:r>
        <w:t xml:space="preserve"> these and other SVOD </w:t>
      </w:r>
      <w:r w:rsidRPr="00436723">
        <w:t>competitors</w:t>
      </w:r>
      <w:r>
        <w:t xml:space="preserve"> of Presto</w:t>
      </w:r>
      <w:r w:rsidRPr="00436723">
        <w:t xml:space="preserve"> from being able to acquire enough content to attract a sufficient subscriber base to be commercially</w:t>
      </w:r>
      <w:r w:rsidRPr="00C54D85">
        <w:t xml:space="preserve"> viable.</w:t>
      </w:r>
    </w:p>
    <w:p w:rsidR="003E04C0" w:rsidRDefault="004770E6" w:rsidP="00A10433">
      <w:pPr>
        <w:pStyle w:val="NormalParagraph"/>
      </w:pPr>
      <w:r>
        <w:t>The ACCC concluded that</w:t>
      </w:r>
      <w:r w:rsidRPr="00436723">
        <w:t xml:space="preserve"> </w:t>
      </w:r>
      <w:r w:rsidR="00F60157">
        <w:t>the proposed acquisitions would be</w:t>
      </w:r>
      <w:r>
        <w:t xml:space="preserve"> </w:t>
      </w:r>
      <w:r w:rsidRPr="00436723">
        <w:t xml:space="preserve">unlikely </w:t>
      </w:r>
      <w:r>
        <w:t>to</w:t>
      </w:r>
      <w:r w:rsidRPr="00436723">
        <w:t xml:space="preserve"> result in a substantial lessening of competition in </w:t>
      </w:r>
      <w:r>
        <w:t xml:space="preserve">the </w:t>
      </w:r>
      <w:r w:rsidRPr="004770E6">
        <w:t xml:space="preserve">market for the supply of </w:t>
      </w:r>
      <w:r w:rsidR="00B7086F">
        <w:t xml:space="preserve">SVOD </w:t>
      </w:r>
      <w:r w:rsidRPr="004770E6">
        <w:t>services</w:t>
      </w:r>
      <w:r>
        <w:t>.</w:t>
      </w:r>
    </w:p>
    <w:p w:rsidR="00AF1C87" w:rsidRDefault="005B074E" w:rsidP="006A7FE8">
      <w:pPr>
        <w:pStyle w:val="Heading3"/>
      </w:pPr>
      <w:r>
        <w:t>Conclusion</w:t>
      </w:r>
    </w:p>
    <w:p w:rsidR="005B074E" w:rsidRDefault="005B074E" w:rsidP="0046680B">
      <w:pPr>
        <w:pStyle w:val="NormalParagraph"/>
      </w:pPr>
      <w:r>
        <w:t xml:space="preserve">The ACCC formed the view that the proposed acquisitions would be unlikely to have the </w:t>
      </w:r>
      <w:r w:rsidRPr="009C476D">
        <w:t xml:space="preserve">effect of substantially lessening competition in any relevant market. </w:t>
      </w:r>
      <w:r w:rsidR="00126CED" w:rsidRPr="009C476D">
        <w:t xml:space="preserve"> The ACCC’s decision does not extend to MCN’s arrangement with Ten in relation to managing Ten’s advertising sales</w:t>
      </w:r>
      <w:r w:rsidR="00D1708C" w:rsidRPr="009C476D">
        <w:t xml:space="preserve"> and supply agreement with Presto</w:t>
      </w:r>
      <w:r w:rsidR="00126CED" w:rsidRPr="009C476D">
        <w:t xml:space="preserve">, which is not subject to the merger provisions of the </w:t>
      </w:r>
      <w:r w:rsidR="0014157D" w:rsidRPr="009C476D">
        <w:t>Act.</w:t>
      </w:r>
    </w:p>
    <w:p w:rsidR="00110D67" w:rsidRPr="009B7D03" w:rsidRDefault="00F60157" w:rsidP="009B7D03">
      <w:pPr>
        <w:pStyle w:val="NormalParagraph"/>
      </w:pPr>
      <w:r>
        <w:t xml:space="preserve">The ACCC, </w:t>
      </w:r>
      <w:r w:rsidR="00110D67" w:rsidRPr="009B7D03">
        <w:t>however</w:t>
      </w:r>
      <w:r>
        <w:t>, will</w:t>
      </w:r>
      <w:r w:rsidR="00110D67" w:rsidRPr="009B7D03">
        <w:t xml:space="preserve"> closely examine any </w:t>
      </w:r>
      <w:r w:rsidR="00C1429C">
        <w:t xml:space="preserve">future acquisitions by the merger parties, </w:t>
      </w:r>
      <w:r w:rsidR="00110D67" w:rsidRPr="009B7D03">
        <w:t xml:space="preserve">including where increases in shareholdings </w:t>
      </w:r>
      <w:r w:rsidR="00075F8C" w:rsidRPr="009B7D03">
        <w:t>are</w:t>
      </w:r>
      <w:r w:rsidR="00110D67" w:rsidRPr="009B7D03">
        <w:t xml:space="preserve"> made possible through changes to the existing media diversity and control rules.</w:t>
      </w:r>
    </w:p>
    <w:p w:rsidR="009B7D03" w:rsidRPr="009B7D03" w:rsidRDefault="002835F6" w:rsidP="007E3479">
      <w:pPr>
        <w:pStyle w:val="NormalParagraph"/>
      </w:pPr>
      <w:r w:rsidRPr="002835F6">
        <w:t>Unlike most acquisitions reviewed by the ACCC</w:t>
      </w:r>
      <w:r w:rsidR="00C1429C">
        <w:t>,</w:t>
      </w:r>
      <w:r w:rsidRPr="002835F6">
        <w:t xml:space="preserve"> which result in the target coming under the control of the acquirer, the </w:t>
      </w:r>
      <w:r w:rsidR="00C1429C">
        <w:t xml:space="preserve">proposed acquisitions involve </w:t>
      </w:r>
      <w:r w:rsidRPr="002835F6">
        <w:t>minority interest</w:t>
      </w:r>
      <w:r w:rsidR="00C1429C">
        <w:t>s with limited associated rights</w:t>
      </w:r>
      <w:r w:rsidRPr="002835F6">
        <w:t>, meaning that the merger parties will remain separate entities and</w:t>
      </w:r>
      <w:r w:rsidR="00C10304">
        <w:t xml:space="preserve"> therefore</w:t>
      </w:r>
      <w:r w:rsidR="00DE2C33">
        <w:t xml:space="preserve"> </w:t>
      </w:r>
      <w:r w:rsidRPr="002835F6">
        <w:t>competitors post acquisition. Accordingl</w:t>
      </w:r>
      <w:r w:rsidR="00C1429C">
        <w:t xml:space="preserve">y, any arrangements between Foxtel, Ten and </w:t>
      </w:r>
      <w:proofErr w:type="gramStart"/>
      <w:r w:rsidR="00C1429C">
        <w:t>Presto</w:t>
      </w:r>
      <w:proofErr w:type="gramEnd"/>
      <w:r w:rsidRPr="002835F6">
        <w:t xml:space="preserve"> following the proposed acquisition</w:t>
      </w:r>
      <w:r w:rsidR="00C1429C">
        <w:t>s</w:t>
      </w:r>
      <w:r w:rsidRPr="002835F6">
        <w:t xml:space="preserve"> will be subject to the competition provisions of the Act. The ACCC will closely examine </w:t>
      </w:r>
      <w:r w:rsidR="00C1429C">
        <w:t xml:space="preserve">any </w:t>
      </w:r>
      <w:r w:rsidRPr="002835F6">
        <w:t>arrangements between Foxtel</w:t>
      </w:r>
      <w:r w:rsidR="00C1429C">
        <w:t xml:space="preserve">, </w:t>
      </w:r>
      <w:r w:rsidRPr="002835F6">
        <w:t xml:space="preserve">Ten </w:t>
      </w:r>
      <w:r w:rsidR="00C1429C">
        <w:t xml:space="preserve">and Presto </w:t>
      </w:r>
      <w:r w:rsidRPr="002835F6">
        <w:t>which</w:t>
      </w:r>
      <w:r w:rsidR="00C1429C">
        <w:t xml:space="preserve"> may raise competition concerns</w:t>
      </w:r>
      <w:r w:rsidR="005559F9">
        <w:t>.</w:t>
      </w:r>
    </w:p>
    <w:sectPr w:rsidR="009B7D03" w:rsidRPr="009B7D03">
      <w:headerReference w:type="even" r:id="rId10"/>
      <w:headerReference w:type="default" r:id="rId11"/>
      <w:footerReference w:type="even" r:id="rId12"/>
      <w:footerReference w:type="default" r:id="rId13"/>
      <w:headerReference w:type="first" r:id="rId14"/>
      <w:footerReference w:type="first" r:id="rId15"/>
      <w:pgSz w:w="11906" w:h="16838" w:code="9"/>
      <w:pgMar w:top="1440" w:right="1729" w:bottom="1582" w:left="1729" w:header="720" w:footer="10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E99" w:rsidRDefault="00174E99">
      <w:r>
        <w:separator/>
      </w:r>
    </w:p>
  </w:endnote>
  <w:endnote w:type="continuationSeparator" w:id="0">
    <w:p w:rsidR="00174E99" w:rsidRDefault="00174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E99" w:rsidRDefault="00174E9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174E99" w:rsidRDefault="00174E99">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E99" w:rsidRPr="001E2914" w:rsidRDefault="00174E99">
    <w:pPr>
      <w:pStyle w:val="Footer"/>
      <w:jc w:val="right"/>
      <w:rPr>
        <w:rFonts w:ascii="Arial" w:hAnsi="Arial" w:cs="Arial"/>
        <w:sz w:val="22"/>
        <w:szCs w:val="22"/>
      </w:rPr>
    </w:pPr>
    <w:r w:rsidRPr="001E2914">
      <w:rPr>
        <w:rFonts w:ascii="Arial" w:hAnsi="Arial" w:cs="Arial"/>
        <w:sz w:val="22"/>
        <w:szCs w:val="22"/>
      </w:rPr>
      <w:t xml:space="preserve">Page </w:t>
    </w:r>
    <w:r w:rsidRPr="001E2914">
      <w:rPr>
        <w:rFonts w:ascii="Arial" w:hAnsi="Arial" w:cs="Arial"/>
        <w:b/>
        <w:sz w:val="22"/>
        <w:szCs w:val="22"/>
      </w:rPr>
      <w:fldChar w:fldCharType="begin"/>
    </w:r>
    <w:r w:rsidRPr="001E2914">
      <w:rPr>
        <w:rFonts w:ascii="Arial" w:hAnsi="Arial" w:cs="Arial"/>
        <w:b/>
        <w:sz w:val="22"/>
        <w:szCs w:val="22"/>
      </w:rPr>
      <w:instrText xml:space="preserve"> PAGE </w:instrText>
    </w:r>
    <w:r w:rsidRPr="001E2914">
      <w:rPr>
        <w:rFonts w:ascii="Arial" w:hAnsi="Arial" w:cs="Arial"/>
        <w:b/>
        <w:sz w:val="22"/>
        <w:szCs w:val="22"/>
      </w:rPr>
      <w:fldChar w:fldCharType="separate"/>
    </w:r>
    <w:r w:rsidR="005B65E5">
      <w:rPr>
        <w:rFonts w:ascii="Arial" w:hAnsi="Arial" w:cs="Arial"/>
        <w:b/>
        <w:noProof/>
        <w:sz w:val="22"/>
        <w:szCs w:val="22"/>
      </w:rPr>
      <w:t>18</w:t>
    </w:r>
    <w:r w:rsidRPr="001E2914">
      <w:rPr>
        <w:rFonts w:ascii="Arial" w:hAnsi="Arial" w:cs="Arial"/>
        <w:b/>
        <w:sz w:val="22"/>
        <w:szCs w:val="22"/>
      </w:rPr>
      <w:fldChar w:fldCharType="end"/>
    </w:r>
    <w:r w:rsidRPr="001E2914">
      <w:rPr>
        <w:rFonts w:ascii="Arial" w:hAnsi="Arial" w:cs="Arial"/>
        <w:sz w:val="22"/>
        <w:szCs w:val="22"/>
      </w:rPr>
      <w:t xml:space="preserve"> of </w:t>
    </w:r>
    <w:r w:rsidRPr="001E2914">
      <w:rPr>
        <w:rFonts w:ascii="Arial" w:hAnsi="Arial" w:cs="Arial"/>
        <w:b/>
        <w:sz w:val="22"/>
        <w:szCs w:val="22"/>
      </w:rPr>
      <w:fldChar w:fldCharType="begin"/>
    </w:r>
    <w:r w:rsidRPr="001E2914">
      <w:rPr>
        <w:rFonts w:ascii="Arial" w:hAnsi="Arial" w:cs="Arial"/>
        <w:b/>
        <w:sz w:val="22"/>
        <w:szCs w:val="22"/>
      </w:rPr>
      <w:instrText xml:space="preserve"> NUMPAGES  </w:instrText>
    </w:r>
    <w:r w:rsidRPr="001E2914">
      <w:rPr>
        <w:rFonts w:ascii="Arial" w:hAnsi="Arial" w:cs="Arial"/>
        <w:b/>
        <w:sz w:val="22"/>
        <w:szCs w:val="22"/>
      </w:rPr>
      <w:fldChar w:fldCharType="separate"/>
    </w:r>
    <w:r w:rsidR="005B65E5">
      <w:rPr>
        <w:rFonts w:ascii="Arial" w:hAnsi="Arial" w:cs="Arial"/>
        <w:b/>
        <w:noProof/>
        <w:sz w:val="22"/>
        <w:szCs w:val="22"/>
      </w:rPr>
      <w:t>18</w:t>
    </w:r>
    <w:r w:rsidRPr="001E2914">
      <w:rPr>
        <w:rFonts w:ascii="Arial" w:hAnsi="Arial" w:cs="Arial"/>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E99" w:rsidRPr="00D11F62" w:rsidRDefault="00174E99">
    <w:pPr>
      <w:pStyle w:val="Footer"/>
      <w:jc w:val="right"/>
      <w:rPr>
        <w:rFonts w:ascii="Arial" w:hAnsi="Arial" w:cs="Arial"/>
        <w:sz w:val="22"/>
        <w:szCs w:val="22"/>
      </w:rPr>
    </w:pPr>
    <w:r w:rsidRPr="00D11F62">
      <w:rPr>
        <w:rFonts w:ascii="Arial" w:hAnsi="Arial" w:cs="Arial"/>
        <w:sz w:val="22"/>
        <w:szCs w:val="22"/>
      </w:rPr>
      <w:t xml:space="preserve">Page </w:t>
    </w:r>
    <w:r w:rsidRPr="00D11F62">
      <w:rPr>
        <w:rFonts w:ascii="Arial" w:hAnsi="Arial" w:cs="Arial"/>
        <w:b/>
        <w:sz w:val="22"/>
        <w:szCs w:val="22"/>
      </w:rPr>
      <w:fldChar w:fldCharType="begin"/>
    </w:r>
    <w:r w:rsidRPr="00D11F62">
      <w:rPr>
        <w:rFonts w:ascii="Arial" w:hAnsi="Arial" w:cs="Arial"/>
        <w:b/>
        <w:sz w:val="22"/>
        <w:szCs w:val="22"/>
      </w:rPr>
      <w:instrText xml:space="preserve"> PAGE </w:instrText>
    </w:r>
    <w:r w:rsidRPr="00D11F62">
      <w:rPr>
        <w:rFonts w:ascii="Arial" w:hAnsi="Arial" w:cs="Arial"/>
        <w:b/>
        <w:sz w:val="22"/>
        <w:szCs w:val="22"/>
      </w:rPr>
      <w:fldChar w:fldCharType="separate"/>
    </w:r>
    <w:r w:rsidR="005B65E5">
      <w:rPr>
        <w:rFonts w:ascii="Arial" w:hAnsi="Arial" w:cs="Arial"/>
        <w:b/>
        <w:noProof/>
        <w:sz w:val="22"/>
        <w:szCs w:val="22"/>
      </w:rPr>
      <w:t>1</w:t>
    </w:r>
    <w:r w:rsidRPr="00D11F62">
      <w:rPr>
        <w:rFonts w:ascii="Arial" w:hAnsi="Arial" w:cs="Arial"/>
        <w:b/>
        <w:sz w:val="22"/>
        <w:szCs w:val="22"/>
      </w:rPr>
      <w:fldChar w:fldCharType="end"/>
    </w:r>
    <w:r w:rsidRPr="00D11F62">
      <w:rPr>
        <w:rFonts w:ascii="Arial" w:hAnsi="Arial" w:cs="Arial"/>
        <w:sz w:val="22"/>
        <w:szCs w:val="22"/>
      </w:rPr>
      <w:t xml:space="preserve"> of </w:t>
    </w:r>
    <w:r w:rsidRPr="00D11F62">
      <w:rPr>
        <w:rFonts w:ascii="Arial" w:hAnsi="Arial" w:cs="Arial"/>
        <w:b/>
        <w:sz w:val="22"/>
        <w:szCs w:val="22"/>
      </w:rPr>
      <w:fldChar w:fldCharType="begin"/>
    </w:r>
    <w:r w:rsidRPr="00D11F62">
      <w:rPr>
        <w:rFonts w:ascii="Arial" w:hAnsi="Arial" w:cs="Arial"/>
        <w:b/>
        <w:sz w:val="22"/>
        <w:szCs w:val="22"/>
      </w:rPr>
      <w:instrText xml:space="preserve"> NUMPAGES  </w:instrText>
    </w:r>
    <w:r w:rsidRPr="00D11F62">
      <w:rPr>
        <w:rFonts w:ascii="Arial" w:hAnsi="Arial" w:cs="Arial"/>
        <w:b/>
        <w:sz w:val="22"/>
        <w:szCs w:val="22"/>
      </w:rPr>
      <w:fldChar w:fldCharType="separate"/>
    </w:r>
    <w:r w:rsidR="005B65E5">
      <w:rPr>
        <w:rFonts w:ascii="Arial" w:hAnsi="Arial" w:cs="Arial"/>
        <w:b/>
        <w:noProof/>
        <w:sz w:val="22"/>
        <w:szCs w:val="22"/>
      </w:rPr>
      <w:t>18</w:t>
    </w:r>
    <w:r w:rsidRPr="00D11F62">
      <w:rPr>
        <w:rFonts w:ascii="Arial" w:hAnsi="Arial" w:cs="Arial"/>
        <w:b/>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E99" w:rsidRDefault="00174E99">
      <w:r>
        <w:separator/>
      </w:r>
    </w:p>
  </w:footnote>
  <w:footnote w:type="continuationSeparator" w:id="0">
    <w:p w:rsidR="00174E99" w:rsidRDefault="00174E99">
      <w:r>
        <w:continuationSeparator/>
      </w:r>
    </w:p>
  </w:footnote>
  <w:footnote w:id="1">
    <w:p w:rsidR="001273BC" w:rsidRDefault="001273BC" w:rsidP="001273BC">
      <w:pPr>
        <w:pStyle w:val="FootnoteText"/>
      </w:pPr>
      <w:r>
        <w:rPr>
          <w:rStyle w:val="FootnoteReference"/>
        </w:rPr>
        <w:footnoteRef/>
      </w:r>
      <w:r>
        <w:t xml:space="preserve"> </w:t>
      </w:r>
      <w:r>
        <w:tab/>
      </w:r>
      <w:r w:rsidRPr="00A10433">
        <w:rPr>
          <w:rFonts w:ascii="Arial" w:hAnsi="Arial" w:cs="Arial"/>
        </w:rPr>
        <w:t>New Corp Annual Report (Form 10K) filed 13 August 2015.</w:t>
      </w:r>
    </w:p>
  </w:footnote>
  <w:footnote w:id="2">
    <w:p w:rsidR="001273BC" w:rsidRPr="0046680B" w:rsidRDefault="001273BC" w:rsidP="001273BC">
      <w:pPr>
        <w:pStyle w:val="FootnoteText"/>
        <w:rPr>
          <w:rFonts w:ascii="Arial" w:hAnsi="Arial" w:cs="Arial"/>
        </w:rPr>
      </w:pPr>
      <w:r w:rsidRPr="000C5C27">
        <w:rPr>
          <w:rStyle w:val="FootnoteReference"/>
          <w:rFonts w:ascii="Arial" w:hAnsi="Arial" w:cs="Arial"/>
          <w:szCs w:val="18"/>
        </w:rPr>
        <w:footnoteRef/>
      </w:r>
      <w:r w:rsidRPr="002916D6">
        <w:rPr>
          <w:rFonts w:ascii="Arial" w:hAnsi="Arial" w:cs="Arial"/>
          <w:sz w:val="18"/>
          <w:szCs w:val="18"/>
        </w:rPr>
        <w:t xml:space="preserve"> </w:t>
      </w:r>
      <w:r>
        <w:rPr>
          <w:rFonts w:ascii="Arial" w:hAnsi="Arial" w:cs="Arial"/>
          <w:sz w:val="18"/>
          <w:szCs w:val="18"/>
        </w:rPr>
        <w:tab/>
        <w:t xml:space="preserve">According to </w:t>
      </w:r>
      <w:proofErr w:type="gramStart"/>
      <w:r w:rsidRPr="000C5C27">
        <w:rPr>
          <w:rFonts w:ascii="Arial" w:hAnsi="Arial" w:cs="Arial"/>
          <w:sz w:val="18"/>
          <w:szCs w:val="18"/>
        </w:rPr>
        <w:t>Ten</w:t>
      </w:r>
      <w:r>
        <w:rPr>
          <w:rFonts w:ascii="Arial" w:hAnsi="Arial" w:cs="Arial"/>
          <w:sz w:val="18"/>
          <w:szCs w:val="18"/>
        </w:rPr>
        <w:t>’s</w:t>
      </w:r>
      <w:proofErr w:type="gramEnd"/>
      <w:r w:rsidRPr="000C5C27">
        <w:rPr>
          <w:rFonts w:ascii="Arial" w:hAnsi="Arial" w:cs="Arial"/>
          <w:sz w:val="18"/>
          <w:szCs w:val="18"/>
        </w:rPr>
        <w:t xml:space="preserve"> 2014 Annual Review. </w:t>
      </w:r>
    </w:p>
  </w:footnote>
  <w:footnote w:id="3">
    <w:p w:rsidR="001273BC" w:rsidRPr="002819D8" w:rsidRDefault="001273BC" w:rsidP="001273BC">
      <w:pPr>
        <w:pStyle w:val="FootnoteText"/>
        <w:rPr>
          <w:rFonts w:ascii="Arial" w:hAnsi="Arial" w:cs="Arial"/>
        </w:rPr>
      </w:pPr>
      <w:r w:rsidRPr="002819D8">
        <w:rPr>
          <w:rStyle w:val="FootnoteReference"/>
          <w:rFonts w:ascii="Arial" w:hAnsi="Arial" w:cs="Arial"/>
        </w:rPr>
        <w:footnoteRef/>
      </w:r>
      <w:r w:rsidRPr="002819D8">
        <w:rPr>
          <w:rFonts w:ascii="Arial" w:hAnsi="Arial" w:cs="Arial"/>
        </w:rPr>
        <w:t xml:space="preserve"> </w:t>
      </w:r>
      <w:r>
        <w:rPr>
          <w:rFonts w:ascii="Arial" w:hAnsi="Arial" w:cs="Arial"/>
        </w:rPr>
        <w:tab/>
      </w:r>
      <w:r w:rsidRPr="002819D8">
        <w:rPr>
          <w:rFonts w:ascii="Arial" w:hAnsi="Arial" w:cs="Arial"/>
          <w:sz w:val="18"/>
        </w:rPr>
        <w:t xml:space="preserve">This </w:t>
      </w:r>
      <w:r w:rsidRPr="000C5C27">
        <w:rPr>
          <w:rFonts w:ascii="Arial" w:hAnsi="Arial" w:cs="Arial"/>
          <w:sz w:val="18"/>
        </w:rPr>
        <w:t>agreement is not subject to section 50 of the Act.</w:t>
      </w:r>
    </w:p>
  </w:footnote>
  <w:footnote w:id="4">
    <w:p w:rsidR="00174E99" w:rsidRPr="002819D8" w:rsidRDefault="00174E99" w:rsidP="00E018FA">
      <w:pPr>
        <w:pStyle w:val="FootnoteText"/>
        <w:rPr>
          <w:sz w:val="18"/>
          <w:szCs w:val="18"/>
        </w:rPr>
      </w:pPr>
      <w:r w:rsidRPr="000C5C27">
        <w:rPr>
          <w:rStyle w:val="FootnoteReference"/>
          <w:rFonts w:ascii="Arial" w:hAnsi="Arial" w:cs="Arial"/>
          <w:szCs w:val="18"/>
        </w:rPr>
        <w:footnoteRef/>
      </w:r>
      <w:r w:rsidRPr="002819D8">
        <w:rPr>
          <w:rFonts w:ascii="Arial" w:hAnsi="Arial" w:cs="Arial"/>
          <w:sz w:val="18"/>
          <w:szCs w:val="18"/>
        </w:rPr>
        <w:t xml:space="preserve"> </w:t>
      </w:r>
      <w:r w:rsidRPr="002819D8">
        <w:rPr>
          <w:rFonts w:ascii="Arial" w:hAnsi="Arial" w:cs="Arial"/>
          <w:sz w:val="18"/>
          <w:szCs w:val="18"/>
        </w:rPr>
        <w:tab/>
      </w:r>
      <w:r w:rsidRPr="000C5C27">
        <w:rPr>
          <w:rFonts w:ascii="Arial" w:hAnsi="Arial" w:cs="Arial"/>
          <w:sz w:val="18"/>
          <w:szCs w:val="18"/>
        </w:rPr>
        <w:t>News Corp Proxy Statement</w:t>
      </w:r>
      <w:r>
        <w:rPr>
          <w:rFonts w:ascii="Arial" w:hAnsi="Arial" w:cs="Arial"/>
          <w:sz w:val="18"/>
          <w:szCs w:val="18"/>
        </w:rPr>
        <w:t>, 1 September 2015</w:t>
      </w:r>
      <w:r w:rsidRPr="000C5C27">
        <w:rPr>
          <w:rFonts w:ascii="Arial" w:hAnsi="Arial" w:cs="Arial"/>
          <w:sz w:val="18"/>
          <w:szCs w:val="18"/>
        </w:rPr>
        <w:t>.</w:t>
      </w:r>
    </w:p>
  </w:footnote>
  <w:footnote w:id="5">
    <w:p w:rsidR="00174E99" w:rsidRPr="0038158F" w:rsidRDefault="00174E99" w:rsidP="00E018FA">
      <w:pPr>
        <w:pStyle w:val="FootnoteText"/>
        <w:rPr>
          <w:rFonts w:ascii="Arial" w:hAnsi="Arial" w:cs="Arial"/>
          <w:sz w:val="18"/>
          <w:szCs w:val="18"/>
        </w:rPr>
      </w:pPr>
      <w:r w:rsidRPr="000C5C27">
        <w:rPr>
          <w:rStyle w:val="FootnoteReference"/>
          <w:rFonts w:ascii="Arial" w:hAnsi="Arial" w:cs="Arial"/>
          <w:szCs w:val="18"/>
        </w:rPr>
        <w:footnoteRef/>
      </w:r>
      <w:r w:rsidRPr="002819D8">
        <w:rPr>
          <w:rFonts w:ascii="Arial" w:hAnsi="Arial" w:cs="Arial"/>
          <w:sz w:val="18"/>
          <w:szCs w:val="18"/>
        </w:rPr>
        <w:t xml:space="preserve"> </w:t>
      </w:r>
      <w:r w:rsidRPr="002819D8">
        <w:rPr>
          <w:rFonts w:ascii="Arial" w:hAnsi="Arial" w:cs="Arial"/>
          <w:sz w:val="18"/>
          <w:szCs w:val="18"/>
        </w:rPr>
        <w:tab/>
      </w:r>
      <w:r w:rsidRPr="000C5C27">
        <w:rPr>
          <w:rFonts w:ascii="Arial" w:hAnsi="Arial" w:cs="Arial"/>
          <w:sz w:val="18"/>
          <w:szCs w:val="18"/>
        </w:rPr>
        <w:t>‘</w:t>
      </w:r>
      <w:r w:rsidRPr="0038158F">
        <w:rPr>
          <w:rFonts w:ascii="Arial" w:hAnsi="Arial" w:cs="Arial"/>
          <w:sz w:val="18"/>
          <w:szCs w:val="18"/>
        </w:rPr>
        <w:t xml:space="preserve">Format’ refers to the </w:t>
      </w:r>
      <w:r w:rsidRPr="0038158F">
        <w:rPr>
          <w:rStyle w:val="tgc"/>
          <w:rFonts w:ascii="Arial" w:hAnsi="Arial" w:cs="Arial"/>
          <w:color w:val="222222"/>
          <w:sz w:val="18"/>
          <w:szCs w:val="18"/>
        </w:rPr>
        <w:t xml:space="preserve">overall concept and branding of a copyrighted </w:t>
      </w:r>
      <w:r w:rsidRPr="0038158F">
        <w:rPr>
          <w:rStyle w:val="tgc"/>
          <w:rFonts w:ascii="Arial" w:hAnsi="Arial" w:cs="Arial"/>
          <w:bCs/>
          <w:color w:val="222222"/>
          <w:sz w:val="18"/>
          <w:szCs w:val="18"/>
        </w:rPr>
        <w:t>television</w:t>
      </w:r>
      <w:r w:rsidRPr="0038158F">
        <w:rPr>
          <w:rStyle w:val="tgc"/>
          <w:rFonts w:ascii="Arial" w:hAnsi="Arial" w:cs="Arial"/>
          <w:color w:val="222222"/>
          <w:sz w:val="18"/>
          <w:szCs w:val="18"/>
        </w:rPr>
        <w:t xml:space="preserve"> program</w:t>
      </w:r>
      <w:r w:rsidRPr="0038158F">
        <w:rPr>
          <w:rFonts w:ascii="Arial" w:hAnsi="Arial" w:cs="Arial"/>
          <w:sz w:val="18"/>
          <w:szCs w:val="18"/>
        </w:rPr>
        <w:t>.</w:t>
      </w:r>
    </w:p>
  </w:footnote>
  <w:footnote w:id="6">
    <w:p w:rsidR="00174E99" w:rsidRDefault="00174E99">
      <w:pPr>
        <w:pStyle w:val="FootnoteText"/>
      </w:pPr>
      <w:r w:rsidRPr="0038158F">
        <w:rPr>
          <w:rStyle w:val="FootnoteReference"/>
          <w:rFonts w:ascii="Arial" w:hAnsi="Arial" w:cs="Arial"/>
          <w:szCs w:val="18"/>
        </w:rPr>
        <w:footnoteRef/>
      </w:r>
      <w:r w:rsidRPr="0038158F">
        <w:rPr>
          <w:sz w:val="18"/>
          <w:szCs w:val="18"/>
        </w:rPr>
        <w:t xml:space="preserve"> </w:t>
      </w:r>
      <w:r w:rsidRPr="0038158F">
        <w:rPr>
          <w:sz w:val="18"/>
          <w:szCs w:val="18"/>
        </w:rPr>
        <w:tab/>
      </w:r>
      <w:r w:rsidRPr="00A10433">
        <w:rPr>
          <w:rFonts w:ascii="Arial" w:hAnsi="Arial" w:cs="Arial"/>
          <w:sz w:val="18"/>
          <w:szCs w:val="18"/>
        </w:rPr>
        <w:t>21st Century Fox was formed following the 2013 separation of the old News Corporation into 21</w:t>
      </w:r>
      <w:r w:rsidRPr="00A10433">
        <w:rPr>
          <w:rFonts w:ascii="Arial" w:hAnsi="Arial" w:cs="Arial"/>
          <w:sz w:val="18"/>
          <w:szCs w:val="18"/>
          <w:vertAlign w:val="superscript"/>
        </w:rPr>
        <w:t>St</w:t>
      </w:r>
      <w:r w:rsidRPr="00A10433">
        <w:rPr>
          <w:rFonts w:ascii="Arial" w:hAnsi="Arial" w:cs="Arial"/>
          <w:sz w:val="18"/>
          <w:szCs w:val="18"/>
        </w:rPr>
        <w:t xml:space="preserve"> Century Fox and the new News Corpora</w:t>
      </w:r>
      <w:r w:rsidR="00F630A1">
        <w:rPr>
          <w:rFonts w:ascii="Arial" w:hAnsi="Arial" w:cs="Arial"/>
          <w:sz w:val="18"/>
          <w:szCs w:val="18"/>
        </w:rPr>
        <w:t>tion (described in paragraphs 24-27</w:t>
      </w:r>
      <w:r w:rsidRPr="00A10433">
        <w:rPr>
          <w:rFonts w:ascii="Arial" w:hAnsi="Arial" w:cs="Arial"/>
          <w:sz w:val="18"/>
          <w:szCs w:val="18"/>
        </w:rPr>
        <w:t xml:space="preserve"> above). Rupert Murdoch and Lachlan Murdoch are Co-Chairmen of 21st Century Fox and James Murdoch is its Chief Executive Officer. According to 21</w:t>
      </w:r>
      <w:r w:rsidRPr="00A10433">
        <w:rPr>
          <w:rFonts w:ascii="Arial" w:hAnsi="Arial" w:cs="Arial"/>
          <w:sz w:val="18"/>
          <w:szCs w:val="18"/>
          <w:vertAlign w:val="superscript"/>
        </w:rPr>
        <w:t>st</w:t>
      </w:r>
      <w:r w:rsidRPr="00A10433">
        <w:rPr>
          <w:rFonts w:ascii="Arial" w:hAnsi="Arial" w:cs="Arial"/>
          <w:sz w:val="18"/>
          <w:szCs w:val="18"/>
        </w:rPr>
        <w:t xml:space="preserve"> Century Fox’s Proxy Statement of 29 September 2015</w:t>
      </w:r>
      <w:r w:rsidR="0081684D" w:rsidRPr="00A10433">
        <w:rPr>
          <w:rFonts w:ascii="Arial" w:hAnsi="Arial" w:cs="Arial"/>
          <w:sz w:val="18"/>
          <w:szCs w:val="18"/>
        </w:rPr>
        <w:t>, the</w:t>
      </w:r>
      <w:r w:rsidRPr="00A10433">
        <w:rPr>
          <w:rFonts w:ascii="Arial" w:hAnsi="Arial" w:cs="Arial"/>
          <w:sz w:val="18"/>
          <w:szCs w:val="18"/>
        </w:rPr>
        <w:t xml:space="preserve"> Murdoch Family Trust holds 38.4% of the voting B class common stock in 21st Century.</w:t>
      </w:r>
      <w:r w:rsidRPr="009F6AA7">
        <w:rPr>
          <w:sz w:val="18"/>
        </w:rPr>
        <w:t xml:space="preserve">  </w:t>
      </w:r>
    </w:p>
  </w:footnote>
  <w:footnote w:id="7">
    <w:p w:rsidR="00174E99" w:rsidRPr="002819D8" w:rsidRDefault="00174E99" w:rsidP="00A710E4">
      <w:pPr>
        <w:pStyle w:val="FootnoteText"/>
        <w:rPr>
          <w:sz w:val="18"/>
          <w:szCs w:val="18"/>
        </w:rPr>
      </w:pPr>
      <w:r w:rsidRPr="000C5C27">
        <w:rPr>
          <w:rStyle w:val="FootnoteReference"/>
          <w:rFonts w:ascii="Arial" w:hAnsi="Arial" w:cs="Arial"/>
          <w:szCs w:val="18"/>
        </w:rPr>
        <w:footnoteRef/>
      </w:r>
      <w:r w:rsidRPr="002819D8">
        <w:rPr>
          <w:rFonts w:ascii="Arial" w:hAnsi="Arial" w:cs="Arial"/>
          <w:sz w:val="18"/>
          <w:szCs w:val="18"/>
        </w:rPr>
        <w:t xml:space="preserve"> </w:t>
      </w:r>
      <w:r w:rsidRPr="002819D8">
        <w:rPr>
          <w:rFonts w:ascii="Arial" w:hAnsi="Arial" w:cs="Arial"/>
          <w:sz w:val="18"/>
          <w:szCs w:val="18"/>
        </w:rPr>
        <w:tab/>
      </w:r>
      <w:r w:rsidRPr="000C5C27">
        <w:rPr>
          <w:rFonts w:ascii="Arial" w:hAnsi="Arial" w:cs="Arial"/>
          <w:sz w:val="18"/>
          <w:szCs w:val="18"/>
        </w:rPr>
        <w:t>For example, SVOD providers and Foxtel have different subscription charging models (with Foxtel also carrying som</w:t>
      </w:r>
      <w:r w:rsidRPr="002819D8">
        <w:rPr>
          <w:rFonts w:ascii="Arial" w:hAnsi="Arial" w:cs="Arial"/>
          <w:sz w:val="18"/>
          <w:szCs w:val="18"/>
        </w:rPr>
        <w:t>e advertising), whereas FTA providers do not charge viewers a subscription fee but effectively ‘charge’ viewers by providing programming content bundled with advertising.</w:t>
      </w:r>
    </w:p>
  </w:footnote>
  <w:footnote w:id="8">
    <w:p w:rsidR="00174E99" w:rsidRPr="002819D8" w:rsidRDefault="00174E99">
      <w:pPr>
        <w:pStyle w:val="FootnoteText"/>
        <w:rPr>
          <w:rFonts w:ascii="Arial" w:hAnsi="Arial" w:cs="Arial"/>
          <w:sz w:val="18"/>
          <w:szCs w:val="18"/>
        </w:rPr>
      </w:pPr>
      <w:r w:rsidRPr="002819D8">
        <w:rPr>
          <w:rStyle w:val="FootnoteReference"/>
          <w:rFonts w:ascii="Arial" w:hAnsi="Arial" w:cs="Arial"/>
          <w:szCs w:val="18"/>
        </w:rPr>
        <w:footnoteRef/>
      </w:r>
      <w:r w:rsidRPr="002819D8">
        <w:rPr>
          <w:rFonts w:ascii="Arial" w:hAnsi="Arial" w:cs="Arial"/>
          <w:sz w:val="18"/>
          <w:szCs w:val="18"/>
        </w:rPr>
        <w:t xml:space="preserve"> </w:t>
      </w:r>
      <w:r w:rsidRPr="002819D8">
        <w:rPr>
          <w:rFonts w:ascii="Arial" w:hAnsi="Arial" w:cs="Arial"/>
          <w:sz w:val="18"/>
          <w:szCs w:val="18"/>
        </w:rPr>
        <w:tab/>
        <w:t xml:space="preserve">The ACCC notes the relationship between Mr Murdoch and Foxtel (through News Corp). Mr Murdoch’s Illyria has an 8.52% interest in </w:t>
      </w:r>
      <w:proofErr w:type="gramStart"/>
      <w:r w:rsidRPr="002819D8">
        <w:rPr>
          <w:rFonts w:ascii="Arial" w:hAnsi="Arial" w:cs="Arial"/>
          <w:sz w:val="18"/>
          <w:szCs w:val="18"/>
        </w:rPr>
        <w:t>Ten</w:t>
      </w:r>
      <w:proofErr w:type="gramEnd"/>
      <w:r w:rsidRPr="002819D8">
        <w:rPr>
          <w:rFonts w:ascii="Arial" w:hAnsi="Arial" w:cs="Arial"/>
          <w:sz w:val="18"/>
          <w:szCs w:val="18"/>
        </w:rPr>
        <w:t xml:space="preserve"> and will have a board representative (giving the News Corp-aligned interests two of six board representatives).</w:t>
      </w:r>
    </w:p>
  </w:footnote>
  <w:footnote w:id="9">
    <w:p w:rsidR="00174E99" w:rsidRPr="00E944AE" w:rsidRDefault="00174E99">
      <w:pPr>
        <w:pStyle w:val="FootnoteText"/>
        <w:rPr>
          <w:rFonts w:ascii="Arial" w:hAnsi="Arial" w:cs="Arial"/>
          <w:sz w:val="18"/>
          <w:szCs w:val="18"/>
        </w:rPr>
      </w:pPr>
      <w:r w:rsidRPr="00A96C61">
        <w:rPr>
          <w:rStyle w:val="FootnoteReference"/>
          <w:rFonts w:ascii="Arial" w:hAnsi="Arial" w:cs="Arial"/>
          <w:szCs w:val="18"/>
        </w:rPr>
        <w:footnoteRef/>
      </w:r>
      <w:r w:rsidRPr="00E944AE">
        <w:rPr>
          <w:rFonts w:ascii="Arial" w:hAnsi="Arial" w:cs="Arial"/>
          <w:sz w:val="18"/>
          <w:szCs w:val="18"/>
        </w:rPr>
        <w:t xml:space="preserve"> </w:t>
      </w:r>
      <w:r w:rsidRPr="00E944AE">
        <w:rPr>
          <w:rFonts w:ascii="Arial" w:hAnsi="Arial" w:cs="Arial"/>
          <w:sz w:val="18"/>
          <w:szCs w:val="18"/>
        </w:rPr>
        <w:tab/>
      </w:r>
      <w:r w:rsidRPr="00A96C61">
        <w:rPr>
          <w:rFonts w:ascii="Arial" w:hAnsi="Arial" w:cs="Arial"/>
          <w:sz w:val="18"/>
          <w:szCs w:val="18"/>
        </w:rPr>
        <w:t xml:space="preserve">The ACCC considers that premium sport content encompasses the AFL, NRL, Australian Tennis Open and International cricket played in Australia, and potentially the Big Bash League. </w:t>
      </w:r>
    </w:p>
  </w:footnote>
  <w:footnote w:id="10">
    <w:p w:rsidR="00174E99" w:rsidRDefault="00174E99">
      <w:pPr>
        <w:pStyle w:val="FootnoteText"/>
      </w:pPr>
      <w:r w:rsidRPr="00A96C61">
        <w:rPr>
          <w:rStyle w:val="FootnoteReference"/>
          <w:rFonts w:ascii="Arial" w:hAnsi="Arial" w:cs="Arial"/>
          <w:szCs w:val="18"/>
        </w:rPr>
        <w:footnoteRef/>
      </w:r>
      <w:r w:rsidRPr="00E944AE">
        <w:rPr>
          <w:sz w:val="18"/>
          <w:szCs w:val="18"/>
        </w:rPr>
        <w:t xml:space="preserve"> </w:t>
      </w:r>
      <w:r w:rsidRPr="00E944AE">
        <w:rPr>
          <w:sz w:val="18"/>
          <w:szCs w:val="18"/>
        </w:rPr>
        <w:tab/>
      </w:r>
      <w:r w:rsidRPr="00A96C61">
        <w:rPr>
          <w:rFonts w:ascii="Arial" w:hAnsi="Arial" w:cs="Arial"/>
          <w:sz w:val="18"/>
          <w:szCs w:val="18"/>
        </w:rPr>
        <w:t xml:space="preserve">Lead-in strategies relate </w:t>
      </w:r>
      <w:r w:rsidRPr="002819D8">
        <w:rPr>
          <w:rFonts w:ascii="Arial" w:hAnsi="Arial" w:cs="Arial"/>
          <w:sz w:val="18"/>
          <w:szCs w:val="18"/>
        </w:rPr>
        <w:t>to programs retaining a significant</w:t>
      </w:r>
      <w:r w:rsidRPr="002916D6">
        <w:rPr>
          <w:rFonts w:ascii="Arial" w:hAnsi="Arial" w:cs="Arial"/>
          <w:sz w:val="18"/>
          <w:szCs w:val="18"/>
        </w:rPr>
        <w:t xml:space="preserve"> proportion of the audience of the program scheduled immediately </w:t>
      </w:r>
      <w:r w:rsidRPr="00E944AE">
        <w:rPr>
          <w:rFonts w:ascii="Arial" w:hAnsi="Arial" w:cs="Arial"/>
          <w:sz w:val="18"/>
          <w:szCs w:val="18"/>
        </w:rPr>
        <w:t>before it.</w:t>
      </w:r>
      <w:r>
        <w:rPr>
          <w:rFonts w:ascii="Arial" w:hAnsi="Arial" w:cs="Arial"/>
          <w:sz w:val="18"/>
        </w:rPr>
        <w:t xml:space="preserve"> </w:t>
      </w:r>
    </w:p>
  </w:footnote>
  <w:footnote w:id="11">
    <w:p w:rsidR="00174E99" w:rsidRPr="002916D6" w:rsidRDefault="00174E99">
      <w:pPr>
        <w:pStyle w:val="FootnoteText"/>
        <w:rPr>
          <w:rFonts w:ascii="Arial" w:hAnsi="Arial" w:cs="Arial"/>
          <w:sz w:val="18"/>
          <w:szCs w:val="18"/>
        </w:rPr>
      </w:pPr>
      <w:r w:rsidRPr="002916D6">
        <w:rPr>
          <w:rStyle w:val="FootnoteReference"/>
          <w:rFonts w:ascii="Arial" w:hAnsi="Arial" w:cs="Arial"/>
          <w:szCs w:val="18"/>
        </w:rPr>
        <w:footnoteRef/>
      </w:r>
      <w:r w:rsidRPr="002916D6">
        <w:rPr>
          <w:rFonts w:ascii="Arial" w:hAnsi="Arial" w:cs="Arial"/>
          <w:sz w:val="18"/>
          <w:szCs w:val="18"/>
        </w:rPr>
        <w:t xml:space="preserve"> </w:t>
      </w:r>
      <w:r w:rsidRPr="002819D8">
        <w:rPr>
          <w:rFonts w:ascii="Arial" w:hAnsi="Arial" w:cs="Arial"/>
          <w:sz w:val="18"/>
          <w:szCs w:val="18"/>
        </w:rPr>
        <w:tab/>
      </w:r>
      <w:r w:rsidRPr="002916D6">
        <w:rPr>
          <w:rFonts w:ascii="Arial" w:hAnsi="Arial" w:cs="Arial"/>
          <w:sz w:val="18"/>
          <w:szCs w:val="18"/>
        </w:rPr>
        <w:t>Examples of this include the AFL, NRL, and V8 Supercars and Formula 1 motor racing.</w:t>
      </w:r>
    </w:p>
  </w:footnote>
  <w:footnote w:id="12">
    <w:p w:rsidR="00174E99" w:rsidRDefault="00174E99">
      <w:pPr>
        <w:pStyle w:val="FootnoteText"/>
      </w:pPr>
      <w:r w:rsidRPr="00D35312">
        <w:rPr>
          <w:rStyle w:val="FootnoteReference"/>
          <w:rFonts w:ascii="Arial" w:hAnsi="Arial" w:cs="Arial"/>
          <w:szCs w:val="18"/>
        </w:rPr>
        <w:footnoteRef/>
      </w:r>
      <w:r w:rsidRPr="00D35312">
        <w:rPr>
          <w:rFonts w:ascii="Arial" w:hAnsi="Arial" w:cs="Arial"/>
          <w:sz w:val="18"/>
          <w:szCs w:val="18"/>
        </w:rPr>
        <w:t xml:space="preserve"> </w:t>
      </w:r>
      <w:r w:rsidRPr="00D35312">
        <w:rPr>
          <w:rFonts w:ascii="Arial" w:hAnsi="Arial" w:cs="Arial"/>
          <w:sz w:val="18"/>
          <w:szCs w:val="18"/>
        </w:rPr>
        <w:tab/>
        <w:t>If a sporting body were to decide to stream its own content, it would not need to replicate Foxtel’s existing infrastructure (set-top boxes and access to satellite/HFC) in order to reach consumers. Streaming services use existing platforms in consumers’ homes (such as Apple TV, Xbox, tablets and mobile telephones).</w:t>
      </w:r>
      <w:r w:rsidRPr="00CF6010">
        <w:t xml:space="preserve">  </w:t>
      </w:r>
    </w:p>
  </w:footnote>
  <w:footnote w:id="13">
    <w:p w:rsidR="00174E99" w:rsidRPr="00D35312" w:rsidRDefault="00174E99">
      <w:pPr>
        <w:pStyle w:val="FootnoteText"/>
        <w:rPr>
          <w:sz w:val="18"/>
          <w:szCs w:val="18"/>
        </w:rPr>
      </w:pPr>
      <w:r w:rsidRPr="00D35312">
        <w:rPr>
          <w:rStyle w:val="FootnoteReference"/>
          <w:rFonts w:ascii="Arial" w:hAnsi="Arial" w:cs="Arial"/>
          <w:szCs w:val="18"/>
        </w:rPr>
        <w:footnoteRef/>
      </w:r>
      <w:r w:rsidRPr="00D35312">
        <w:rPr>
          <w:rFonts w:ascii="Arial" w:hAnsi="Arial" w:cs="Arial"/>
          <w:sz w:val="18"/>
          <w:szCs w:val="18"/>
        </w:rPr>
        <w:t xml:space="preserve"> </w:t>
      </w:r>
      <w:r>
        <w:rPr>
          <w:rFonts w:ascii="Arial" w:hAnsi="Arial" w:cs="Arial"/>
          <w:sz w:val="18"/>
          <w:szCs w:val="18"/>
        </w:rPr>
        <w:tab/>
      </w:r>
      <w:r w:rsidRPr="00D35312">
        <w:rPr>
          <w:rFonts w:ascii="Arial" w:hAnsi="Arial" w:cs="Arial"/>
          <w:sz w:val="18"/>
          <w:szCs w:val="18"/>
        </w:rPr>
        <w:t>See for example paragraph 41 of the ACCC’s Public Competition Assessment for Seven Group Holdings Limited - proposed acquisition of remaining shares in Consolidated Media Holdings Limited, published 15 February 2013.</w:t>
      </w:r>
      <w:r w:rsidRPr="00D35312">
        <w:rPr>
          <w:sz w:val="18"/>
          <w:szCs w:val="18"/>
        </w:rPr>
        <w:t xml:space="preserve"> </w:t>
      </w:r>
    </w:p>
  </w:footnote>
  <w:footnote w:id="14">
    <w:p w:rsidR="00174E99" w:rsidRPr="00C26132" w:rsidRDefault="00174E99" w:rsidP="009E54F5">
      <w:pPr>
        <w:pStyle w:val="FootnoteText"/>
        <w:rPr>
          <w:rFonts w:ascii="Arial" w:hAnsi="Arial" w:cs="Arial"/>
        </w:rPr>
      </w:pPr>
      <w:r w:rsidRPr="002819D8">
        <w:rPr>
          <w:rStyle w:val="FootnoteReference"/>
          <w:rFonts w:ascii="Arial" w:hAnsi="Arial" w:cs="Arial"/>
          <w:szCs w:val="18"/>
        </w:rPr>
        <w:footnoteRef/>
      </w:r>
      <w:r w:rsidRPr="00E944AE">
        <w:rPr>
          <w:rFonts w:ascii="Arial" w:hAnsi="Arial" w:cs="Arial"/>
          <w:sz w:val="18"/>
          <w:szCs w:val="18"/>
        </w:rPr>
        <w:t xml:space="preserve"> </w:t>
      </w:r>
      <w:r w:rsidRPr="00E944AE">
        <w:rPr>
          <w:rFonts w:ascii="Arial" w:hAnsi="Arial" w:cs="Arial"/>
          <w:sz w:val="18"/>
          <w:szCs w:val="18"/>
        </w:rPr>
        <w:tab/>
      </w:r>
      <w:proofErr w:type="gramStart"/>
      <w:r w:rsidRPr="002819D8">
        <w:rPr>
          <w:rFonts w:ascii="Arial" w:hAnsi="Arial" w:cs="Arial"/>
          <w:sz w:val="18"/>
          <w:szCs w:val="18"/>
        </w:rPr>
        <w:t xml:space="preserve">‘Release windows’ – the time period in which content is shown on a particular platform, such as first-run rights, </w:t>
      </w:r>
      <w:r w:rsidRPr="00E944AE">
        <w:rPr>
          <w:rFonts w:ascii="Arial" w:hAnsi="Arial" w:cs="Arial"/>
          <w:sz w:val="18"/>
          <w:szCs w:val="18"/>
        </w:rPr>
        <w:t>second-run rights, and so on.</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8BD" w:rsidRDefault="002B78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E99" w:rsidRPr="001E2914" w:rsidRDefault="00174E99">
    <w:pPr>
      <w:pStyle w:val="Header"/>
      <w:jc w:val="right"/>
      <w:rPr>
        <w:rFonts w:ascii="Arial" w:hAnsi="Arial" w:cs="Arial"/>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8BD" w:rsidRDefault="002B78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9421462"/>
    <w:lvl w:ilvl="0">
      <w:start w:val="1"/>
      <w:numFmt w:val="bullet"/>
      <w:lvlText w:val=""/>
      <w:lvlJc w:val="left"/>
      <w:pPr>
        <w:tabs>
          <w:tab w:val="num" w:pos="360"/>
        </w:tabs>
        <w:ind w:left="360" w:hanging="360"/>
      </w:pPr>
      <w:rPr>
        <w:rFonts w:ascii="Symbol" w:hAnsi="Symbol" w:hint="default"/>
      </w:rPr>
    </w:lvl>
  </w:abstractNum>
  <w:abstractNum w:abstractNumId="1">
    <w:nsid w:val="00A32738"/>
    <w:multiLevelType w:val="hybridMultilevel"/>
    <w:tmpl w:val="7F14AEA4"/>
    <w:lvl w:ilvl="0" w:tplc="0C090001">
      <w:start w:val="1"/>
      <w:numFmt w:val="bullet"/>
      <w:lvlText w:val=""/>
      <w:lvlJc w:val="left"/>
      <w:pPr>
        <w:ind w:left="1356" w:hanging="360"/>
      </w:pPr>
      <w:rPr>
        <w:rFonts w:ascii="Symbol" w:hAnsi="Symbol" w:hint="default"/>
      </w:rPr>
    </w:lvl>
    <w:lvl w:ilvl="1" w:tplc="0C090003" w:tentative="1">
      <w:start w:val="1"/>
      <w:numFmt w:val="bullet"/>
      <w:lvlText w:val="o"/>
      <w:lvlJc w:val="left"/>
      <w:pPr>
        <w:ind w:left="2076" w:hanging="360"/>
      </w:pPr>
      <w:rPr>
        <w:rFonts w:ascii="Courier New" w:hAnsi="Courier New" w:cs="Courier New" w:hint="default"/>
      </w:rPr>
    </w:lvl>
    <w:lvl w:ilvl="2" w:tplc="0C090005" w:tentative="1">
      <w:start w:val="1"/>
      <w:numFmt w:val="bullet"/>
      <w:lvlText w:val=""/>
      <w:lvlJc w:val="left"/>
      <w:pPr>
        <w:ind w:left="2796" w:hanging="360"/>
      </w:pPr>
      <w:rPr>
        <w:rFonts w:ascii="Wingdings" w:hAnsi="Wingdings" w:hint="default"/>
      </w:rPr>
    </w:lvl>
    <w:lvl w:ilvl="3" w:tplc="0C090001" w:tentative="1">
      <w:start w:val="1"/>
      <w:numFmt w:val="bullet"/>
      <w:lvlText w:val=""/>
      <w:lvlJc w:val="left"/>
      <w:pPr>
        <w:ind w:left="3516" w:hanging="360"/>
      </w:pPr>
      <w:rPr>
        <w:rFonts w:ascii="Symbol" w:hAnsi="Symbol" w:hint="default"/>
      </w:rPr>
    </w:lvl>
    <w:lvl w:ilvl="4" w:tplc="0C090003" w:tentative="1">
      <w:start w:val="1"/>
      <w:numFmt w:val="bullet"/>
      <w:lvlText w:val="o"/>
      <w:lvlJc w:val="left"/>
      <w:pPr>
        <w:ind w:left="4236" w:hanging="360"/>
      </w:pPr>
      <w:rPr>
        <w:rFonts w:ascii="Courier New" w:hAnsi="Courier New" w:cs="Courier New" w:hint="default"/>
      </w:rPr>
    </w:lvl>
    <w:lvl w:ilvl="5" w:tplc="0C090005" w:tentative="1">
      <w:start w:val="1"/>
      <w:numFmt w:val="bullet"/>
      <w:lvlText w:val=""/>
      <w:lvlJc w:val="left"/>
      <w:pPr>
        <w:ind w:left="4956" w:hanging="360"/>
      </w:pPr>
      <w:rPr>
        <w:rFonts w:ascii="Wingdings" w:hAnsi="Wingdings" w:hint="default"/>
      </w:rPr>
    </w:lvl>
    <w:lvl w:ilvl="6" w:tplc="0C090001" w:tentative="1">
      <w:start w:val="1"/>
      <w:numFmt w:val="bullet"/>
      <w:lvlText w:val=""/>
      <w:lvlJc w:val="left"/>
      <w:pPr>
        <w:ind w:left="5676" w:hanging="360"/>
      </w:pPr>
      <w:rPr>
        <w:rFonts w:ascii="Symbol" w:hAnsi="Symbol" w:hint="default"/>
      </w:rPr>
    </w:lvl>
    <w:lvl w:ilvl="7" w:tplc="0C090003" w:tentative="1">
      <w:start w:val="1"/>
      <w:numFmt w:val="bullet"/>
      <w:lvlText w:val="o"/>
      <w:lvlJc w:val="left"/>
      <w:pPr>
        <w:ind w:left="6396" w:hanging="360"/>
      </w:pPr>
      <w:rPr>
        <w:rFonts w:ascii="Courier New" w:hAnsi="Courier New" w:cs="Courier New" w:hint="default"/>
      </w:rPr>
    </w:lvl>
    <w:lvl w:ilvl="8" w:tplc="0C090005" w:tentative="1">
      <w:start w:val="1"/>
      <w:numFmt w:val="bullet"/>
      <w:lvlText w:val=""/>
      <w:lvlJc w:val="left"/>
      <w:pPr>
        <w:ind w:left="7116" w:hanging="360"/>
      </w:pPr>
      <w:rPr>
        <w:rFonts w:ascii="Wingdings" w:hAnsi="Wingdings" w:hint="default"/>
      </w:rPr>
    </w:lvl>
  </w:abstractNum>
  <w:abstractNum w:abstractNumId="2">
    <w:nsid w:val="18010E6B"/>
    <w:multiLevelType w:val="singleLevel"/>
    <w:tmpl w:val="5E4850B2"/>
    <w:lvl w:ilvl="0">
      <w:start w:val="1"/>
      <w:numFmt w:val="bullet"/>
      <w:pStyle w:val="ListBullet2"/>
      <w:lvlText w:val=""/>
      <w:lvlJc w:val="left"/>
      <w:pPr>
        <w:tabs>
          <w:tab w:val="num" w:pos="360"/>
        </w:tabs>
        <w:ind w:left="360" w:hanging="360"/>
      </w:pPr>
      <w:rPr>
        <w:rFonts w:ascii="Wingdings" w:hAnsi="Wingdings" w:hint="default"/>
      </w:rPr>
    </w:lvl>
  </w:abstractNum>
  <w:abstractNum w:abstractNumId="3">
    <w:nsid w:val="19F7594D"/>
    <w:multiLevelType w:val="hybridMultilevel"/>
    <w:tmpl w:val="2C841280"/>
    <w:lvl w:ilvl="0" w:tplc="73E8FE80">
      <w:start w:val="1"/>
      <w:numFmt w:val="decimal"/>
      <w:lvlText w:val="%1."/>
      <w:lvlJc w:val="left"/>
      <w:pPr>
        <w:ind w:left="567" w:hanging="567"/>
      </w:pPr>
      <w:rPr>
        <w:rFonts w:ascii="Arial" w:hAnsi="Arial" w:cs="Arial" w:hint="default"/>
        <w:b w:val="0"/>
        <w:i w:val="0"/>
        <w:sz w:val="22"/>
        <w:szCs w:val="22"/>
      </w:rPr>
    </w:lvl>
    <w:lvl w:ilvl="1" w:tplc="0C090001">
      <w:start w:val="1"/>
      <w:numFmt w:val="bullet"/>
      <w:lvlText w:val=""/>
      <w:lvlJc w:val="left"/>
      <w:pPr>
        <w:tabs>
          <w:tab w:val="num" w:pos="502"/>
        </w:tabs>
        <w:ind w:left="502"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1805366"/>
    <w:multiLevelType w:val="hybridMultilevel"/>
    <w:tmpl w:val="CD96AA72"/>
    <w:lvl w:ilvl="0" w:tplc="5B36B4E2">
      <w:start w:val="1"/>
      <w:numFmt w:val="decimal"/>
      <w:pStyle w:val="Numbered"/>
      <w:lvlText w:val="%1."/>
      <w:lvlJc w:val="left"/>
      <w:pPr>
        <w:tabs>
          <w:tab w:val="num" w:pos="567"/>
        </w:tabs>
        <w:ind w:left="567" w:hanging="567"/>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26042DE1"/>
    <w:multiLevelType w:val="hybridMultilevel"/>
    <w:tmpl w:val="03B69560"/>
    <w:lvl w:ilvl="0" w:tplc="FCF4C462">
      <w:start w:val="1"/>
      <w:numFmt w:val="lowerLetter"/>
      <w:pStyle w:val="ABC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27E52347"/>
    <w:multiLevelType w:val="hybridMultilevel"/>
    <w:tmpl w:val="77CC64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B6E4EE4"/>
    <w:multiLevelType w:val="hybridMultilevel"/>
    <w:tmpl w:val="77208576"/>
    <w:lvl w:ilvl="0" w:tplc="0C090001">
      <w:start w:val="1"/>
      <w:numFmt w:val="bullet"/>
      <w:pStyle w:val="ListNumber"/>
      <w:lvlText w:val=""/>
      <w:lvlJc w:val="left"/>
      <w:pPr>
        <w:ind w:left="1026" w:hanging="360"/>
      </w:pPr>
      <w:rPr>
        <w:rFonts w:ascii="Symbol" w:hAnsi="Symbol" w:hint="default"/>
      </w:rPr>
    </w:lvl>
    <w:lvl w:ilvl="1" w:tplc="0C090003" w:tentative="1">
      <w:start w:val="1"/>
      <w:numFmt w:val="bullet"/>
      <w:lvlText w:val="o"/>
      <w:lvlJc w:val="left"/>
      <w:pPr>
        <w:ind w:left="1746" w:hanging="360"/>
      </w:pPr>
      <w:rPr>
        <w:rFonts w:ascii="Courier New" w:hAnsi="Courier New" w:cs="Courier New" w:hint="default"/>
      </w:rPr>
    </w:lvl>
    <w:lvl w:ilvl="2" w:tplc="0C090005" w:tentative="1">
      <w:start w:val="1"/>
      <w:numFmt w:val="bullet"/>
      <w:lvlText w:val=""/>
      <w:lvlJc w:val="left"/>
      <w:pPr>
        <w:ind w:left="2466" w:hanging="360"/>
      </w:pPr>
      <w:rPr>
        <w:rFonts w:ascii="Wingdings" w:hAnsi="Wingdings" w:hint="default"/>
      </w:rPr>
    </w:lvl>
    <w:lvl w:ilvl="3" w:tplc="0C090001" w:tentative="1">
      <w:start w:val="1"/>
      <w:numFmt w:val="bullet"/>
      <w:lvlText w:val=""/>
      <w:lvlJc w:val="left"/>
      <w:pPr>
        <w:ind w:left="3186" w:hanging="360"/>
      </w:pPr>
      <w:rPr>
        <w:rFonts w:ascii="Symbol" w:hAnsi="Symbol" w:hint="default"/>
      </w:rPr>
    </w:lvl>
    <w:lvl w:ilvl="4" w:tplc="0C090003" w:tentative="1">
      <w:start w:val="1"/>
      <w:numFmt w:val="bullet"/>
      <w:lvlText w:val="o"/>
      <w:lvlJc w:val="left"/>
      <w:pPr>
        <w:ind w:left="3906" w:hanging="360"/>
      </w:pPr>
      <w:rPr>
        <w:rFonts w:ascii="Courier New" w:hAnsi="Courier New" w:cs="Courier New" w:hint="default"/>
      </w:rPr>
    </w:lvl>
    <w:lvl w:ilvl="5" w:tplc="0C090005" w:tentative="1">
      <w:start w:val="1"/>
      <w:numFmt w:val="bullet"/>
      <w:lvlText w:val=""/>
      <w:lvlJc w:val="left"/>
      <w:pPr>
        <w:ind w:left="4626" w:hanging="360"/>
      </w:pPr>
      <w:rPr>
        <w:rFonts w:ascii="Wingdings" w:hAnsi="Wingdings" w:hint="default"/>
      </w:rPr>
    </w:lvl>
    <w:lvl w:ilvl="6" w:tplc="0C090001" w:tentative="1">
      <w:start w:val="1"/>
      <w:numFmt w:val="bullet"/>
      <w:lvlText w:val=""/>
      <w:lvlJc w:val="left"/>
      <w:pPr>
        <w:ind w:left="5346" w:hanging="360"/>
      </w:pPr>
      <w:rPr>
        <w:rFonts w:ascii="Symbol" w:hAnsi="Symbol" w:hint="default"/>
      </w:rPr>
    </w:lvl>
    <w:lvl w:ilvl="7" w:tplc="0C090003" w:tentative="1">
      <w:start w:val="1"/>
      <w:numFmt w:val="bullet"/>
      <w:lvlText w:val="o"/>
      <w:lvlJc w:val="left"/>
      <w:pPr>
        <w:ind w:left="6066" w:hanging="360"/>
      </w:pPr>
      <w:rPr>
        <w:rFonts w:ascii="Courier New" w:hAnsi="Courier New" w:cs="Courier New" w:hint="default"/>
      </w:rPr>
    </w:lvl>
    <w:lvl w:ilvl="8" w:tplc="0C090005" w:tentative="1">
      <w:start w:val="1"/>
      <w:numFmt w:val="bullet"/>
      <w:lvlText w:val=""/>
      <w:lvlJc w:val="left"/>
      <w:pPr>
        <w:ind w:left="6786" w:hanging="360"/>
      </w:pPr>
      <w:rPr>
        <w:rFonts w:ascii="Wingdings" w:hAnsi="Wingdings" w:hint="default"/>
      </w:rPr>
    </w:lvl>
  </w:abstractNum>
  <w:abstractNum w:abstractNumId="8">
    <w:nsid w:val="2B82689E"/>
    <w:multiLevelType w:val="hybridMultilevel"/>
    <w:tmpl w:val="A79ED7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FE3521C"/>
    <w:multiLevelType w:val="hybridMultilevel"/>
    <w:tmpl w:val="47A4DE40"/>
    <w:lvl w:ilvl="0" w:tplc="F71A32B2">
      <w:start w:val="1"/>
      <w:numFmt w:val="decimal"/>
      <w:lvlText w:val="%1."/>
      <w:lvlJc w:val="left"/>
      <w:pPr>
        <w:ind w:left="644"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313219E9"/>
    <w:multiLevelType w:val="hybridMultilevel"/>
    <w:tmpl w:val="B3CE8CF2"/>
    <w:lvl w:ilvl="0" w:tplc="1EA29E7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2CA085C"/>
    <w:multiLevelType w:val="singleLevel"/>
    <w:tmpl w:val="BF74712C"/>
    <w:lvl w:ilvl="0">
      <w:start w:val="1"/>
      <w:numFmt w:val="bullet"/>
      <w:pStyle w:val="ListBullet"/>
      <w:lvlText w:val=""/>
      <w:lvlJc w:val="left"/>
      <w:pPr>
        <w:tabs>
          <w:tab w:val="num" w:pos="4188"/>
        </w:tabs>
        <w:ind w:left="4188" w:hanging="360"/>
      </w:pPr>
      <w:rPr>
        <w:rFonts w:ascii="Wingdings" w:hAnsi="Wingdings" w:hint="default"/>
        <w:sz w:val="28"/>
      </w:rPr>
    </w:lvl>
  </w:abstractNum>
  <w:abstractNum w:abstractNumId="12">
    <w:nsid w:val="433056AA"/>
    <w:multiLevelType w:val="singleLevel"/>
    <w:tmpl w:val="7A3837B0"/>
    <w:lvl w:ilvl="0">
      <w:numFmt w:val="bullet"/>
      <w:pStyle w:val="ListBullet3"/>
      <w:lvlText w:val="—"/>
      <w:lvlJc w:val="left"/>
      <w:pPr>
        <w:tabs>
          <w:tab w:val="num" w:pos="360"/>
        </w:tabs>
        <w:ind w:left="360" w:hanging="360"/>
      </w:pPr>
      <w:rPr>
        <w:rFonts w:ascii="Times New Roman" w:hAnsi="Times New Roman" w:hint="default"/>
      </w:rPr>
    </w:lvl>
  </w:abstractNum>
  <w:abstractNum w:abstractNumId="13">
    <w:nsid w:val="44E305FB"/>
    <w:multiLevelType w:val="multilevel"/>
    <w:tmpl w:val="8CFE9806"/>
    <w:lvl w:ilvl="0">
      <w:start w:val="1"/>
      <w:numFmt w:val="decimal"/>
      <w:pStyle w:val="NormalParagraph"/>
      <w:lvlText w:val="%1."/>
      <w:lvlJc w:val="left"/>
      <w:pPr>
        <w:tabs>
          <w:tab w:val="num" w:pos="3621"/>
        </w:tabs>
        <w:ind w:left="3621" w:hanging="360"/>
      </w:pPr>
      <w:rPr>
        <w:rFonts w:hint="default"/>
        <w:sz w:val="24"/>
      </w:rPr>
    </w:lvl>
    <w:lvl w:ilvl="1">
      <w:start w:val="1"/>
      <w:numFmt w:val="bullet"/>
      <w:lvlText w:val=""/>
      <w:lvlJc w:val="left"/>
      <w:pPr>
        <w:tabs>
          <w:tab w:val="num" w:pos="720"/>
        </w:tabs>
        <w:ind w:left="720" w:hanging="360"/>
      </w:pPr>
      <w:rPr>
        <w:rFonts w:ascii="Wingdings" w:hAnsi="Wingdings" w:hint="default"/>
        <w:sz w:val="12"/>
      </w:rPr>
    </w:lvl>
    <w:lvl w:ilvl="2">
      <w:start w:val="1"/>
      <w:numFmt w:val="bullet"/>
      <w:lvlText w:val="–"/>
      <w:lvlJc w:val="left"/>
      <w:pPr>
        <w:tabs>
          <w:tab w:val="num" w:pos="1080"/>
        </w:tabs>
        <w:ind w:left="1080" w:hanging="360"/>
      </w:pPr>
      <w:rPr>
        <w:rFonts w:ascii="Times New Roman" w:hAnsi="Times New Roman" w:hint="default"/>
        <w:sz w:val="2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540343CF"/>
    <w:multiLevelType w:val="hybridMultilevel"/>
    <w:tmpl w:val="14B6CC40"/>
    <w:lvl w:ilvl="0" w:tplc="D2F2341A">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5">
    <w:nsid w:val="79EB0235"/>
    <w:multiLevelType w:val="hybridMultilevel"/>
    <w:tmpl w:val="0EF4061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AB53E32"/>
    <w:multiLevelType w:val="hybridMultilevel"/>
    <w:tmpl w:val="A20AD3D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nsid w:val="7E2819EC"/>
    <w:multiLevelType w:val="multilevel"/>
    <w:tmpl w:val="1250F310"/>
    <w:lvl w:ilvl="0">
      <w:start w:val="1"/>
      <w:numFmt w:val="bullet"/>
      <w:pStyle w:val="Bulletpoint-Keypoints"/>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7FE2650D"/>
    <w:multiLevelType w:val="hybridMultilevel"/>
    <w:tmpl w:val="E57E959A"/>
    <w:lvl w:ilvl="0" w:tplc="0C090001">
      <w:start w:val="1"/>
      <w:numFmt w:val="bullet"/>
      <w:lvlText w:val=""/>
      <w:lvlJc w:val="left"/>
      <w:pPr>
        <w:tabs>
          <w:tab w:val="num" w:pos="1014"/>
        </w:tabs>
        <w:ind w:left="1014" w:hanging="567"/>
      </w:pPr>
      <w:rPr>
        <w:rFonts w:ascii="Symbol" w:hAnsi="Symbol" w:hint="default"/>
      </w:rPr>
    </w:lvl>
    <w:lvl w:ilvl="1" w:tplc="0C090019">
      <w:start w:val="1"/>
      <w:numFmt w:val="lowerLetter"/>
      <w:lvlText w:val="%2."/>
      <w:lvlJc w:val="left"/>
      <w:pPr>
        <w:tabs>
          <w:tab w:val="num" w:pos="1887"/>
        </w:tabs>
        <w:ind w:left="1887" w:hanging="360"/>
      </w:pPr>
    </w:lvl>
    <w:lvl w:ilvl="2" w:tplc="0C09001B" w:tentative="1">
      <w:start w:val="1"/>
      <w:numFmt w:val="lowerRoman"/>
      <w:lvlText w:val="%3."/>
      <w:lvlJc w:val="right"/>
      <w:pPr>
        <w:tabs>
          <w:tab w:val="num" w:pos="2607"/>
        </w:tabs>
        <w:ind w:left="2607" w:hanging="180"/>
      </w:pPr>
    </w:lvl>
    <w:lvl w:ilvl="3" w:tplc="0C09000F" w:tentative="1">
      <w:start w:val="1"/>
      <w:numFmt w:val="decimal"/>
      <w:lvlText w:val="%4."/>
      <w:lvlJc w:val="left"/>
      <w:pPr>
        <w:tabs>
          <w:tab w:val="num" w:pos="3327"/>
        </w:tabs>
        <w:ind w:left="3327" w:hanging="360"/>
      </w:pPr>
    </w:lvl>
    <w:lvl w:ilvl="4" w:tplc="0C090019" w:tentative="1">
      <w:start w:val="1"/>
      <w:numFmt w:val="lowerLetter"/>
      <w:lvlText w:val="%5."/>
      <w:lvlJc w:val="left"/>
      <w:pPr>
        <w:tabs>
          <w:tab w:val="num" w:pos="4047"/>
        </w:tabs>
        <w:ind w:left="4047" w:hanging="360"/>
      </w:pPr>
    </w:lvl>
    <w:lvl w:ilvl="5" w:tplc="0C09001B" w:tentative="1">
      <w:start w:val="1"/>
      <w:numFmt w:val="lowerRoman"/>
      <w:lvlText w:val="%6."/>
      <w:lvlJc w:val="right"/>
      <w:pPr>
        <w:tabs>
          <w:tab w:val="num" w:pos="4767"/>
        </w:tabs>
        <w:ind w:left="4767" w:hanging="180"/>
      </w:pPr>
    </w:lvl>
    <w:lvl w:ilvl="6" w:tplc="0C09000F" w:tentative="1">
      <w:start w:val="1"/>
      <w:numFmt w:val="decimal"/>
      <w:lvlText w:val="%7."/>
      <w:lvlJc w:val="left"/>
      <w:pPr>
        <w:tabs>
          <w:tab w:val="num" w:pos="5487"/>
        </w:tabs>
        <w:ind w:left="5487" w:hanging="360"/>
      </w:pPr>
    </w:lvl>
    <w:lvl w:ilvl="7" w:tplc="0C090019" w:tentative="1">
      <w:start w:val="1"/>
      <w:numFmt w:val="lowerLetter"/>
      <w:lvlText w:val="%8."/>
      <w:lvlJc w:val="left"/>
      <w:pPr>
        <w:tabs>
          <w:tab w:val="num" w:pos="6207"/>
        </w:tabs>
        <w:ind w:left="6207" w:hanging="360"/>
      </w:pPr>
    </w:lvl>
    <w:lvl w:ilvl="8" w:tplc="0C09001B" w:tentative="1">
      <w:start w:val="1"/>
      <w:numFmt w:val="lowerRoman"/>
      <w:lvlText w:val="%9."/>
      <w:lvlJc w:val="right"/>
      <w:pPr>
        <w:tabs>
          <w:tab w:val="num" w:pos="6927"/>
        </w:tabs>
        <w:ind w:left="6927" w:hanging="180"/>
      </w:pPr>
    </w:lvl>
  </w:abstractNum>
  <w:num w:numId="1">
    <w:abstractNumId w:val="13"/>
  </w:num>
  <w:num w:numId="2">
    <w:abstractNumId w:val="12"/>
  </w:num>
  <w:num w:numId="3">
    <w:abstractNumId w:val="2"/>
  </w:num>
  <w:num w:numId="4">
    <w:abstractNumId w:val="11"/>
  </w:num>
  <w:num w:numId="5">
    <w:abstractNumId w:val="5"/>
  </w:num>
  <w:num w:numId="6">
    <w:abstractNumId w:val="4"/>
  </w:num>
  <w:num w:numId="7">
    <w:abstractNumId w:val="9"/>
  </w:num>
  <w:num w:numId="8">
    <w:abstractNumId w:val="18"/>
  </w:num>
  <w:num w:numId="9">
    <w:abstractNumId w:val="7"/>
  </w:num>
  <w:num w:numId="10">
    <w:abstractNumId w:val="3"/>
  </w:num>
  <w:num w:numId="11">
    <w:abstractNumId w:val="16"/>
  </w:num>
  <w:num w:numId="12">
    <w:abstractNumId w:val="17"/>
  </w:num>
  <w:num w:numId="13">
    <w:abstractNumId w:val="0"/>
  </w:num>
  <w:num w:numId="14">
    <w:abstractNumId w:val="1"/>
  </w:num>
  <w:num w:numId="15">
    <w:abstractNumId w:val="10"/>
  </w:num>
  <w:num w:numId="16">
    <w:abstractNumId w:val="6"/>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5"/>
  </w:num>
  <w:num w:numId="35">
    <w:abstractNumId w:val="14"/>
  </w:num>
  <w:num w:numId="36">
    <w:abstractNumId w:val="8"/>
  </w:num>
  <w:num w:numId="37">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1843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urrentname" w:val="\\cdchnas-evs02\home$\scamp\foxtel ten - public competition assessment - february 2016 (MER2016-00863).docx"/>
  </w:docVars>
  <w:rsids>
    <w:rsidRoot w:val="00906C64"/>
    <w:rsid w:val="000002BE"/>
    <w:rsid w:val="00000AEB"/>
    <w:rsid w:val="00003BD2"/>
    <w:rsid w:val="00010214"/>
    <w:rsid w:val="00010ECF"/>
    <w:rsid w:val="0001198C"/>
    <w:rsid w:val="00012CE2"/>
    <w:rsid w:val="00027A9E"/>
    <w:rsid w:val="00035D57"/>
    <w:rsid w:val="0003738E"/>
    <w:rsid w:val="0004137C"/>
    <w:rsid w:val="000438D4"/>
    <w:rsid w:val="00046D5B"/>
    <w:rsid w:val="00053096"/>
    <w:rsid w:val="0006407C"/>
    <w:rsid w:val="00075F8C"/>
    <w:rsid w:val="000840E0"/>
    <w:rsid w:val="00091F71"/>
    <w:rsid w:val="00097FFE"/>
    <w:rsid w:val="000A7417"/>
    <w:rsid w:val="000B02B5"/>
    <w:rsid w:val="000B5783"/>
    <w:rsid w:val="000B6605"/>
    <w:rsid w:val="000C5C27"/>
    <w:rsid w:val="000C5DA8"/>
    <w:rsid w:val="000D1445"/>
    <w:rsid w:val="000D14A1"/>
    <w:rsid w:val="000D68C7"/>
    <w:rsid w:val="000E02C7"/>
    <w:rsid w:val="000E147B"/>
    <w:rsid w:val="000E5901"/>
    <w:rsid w:val="000F4B87"/>
    <w:rsid w:val="00101078"/>
    <w:rsid w:val="001043A8"/>
    <w:rsid w:val="00110D67"/>
    <w:rsid w:val="00113B47"/>
    <w:rsid w:val="00126CED"/>
    <w:rsid w:val="001273BC"/>
    <w:rsid w:val="00135526"/>
    <w:rsid w:val="00140FA3"/>
    <w:rsid w:val="0014157D"/>
    <w:rsid w:val="0014548F"/>
    <w:rsid w:val="0015464C"/>
    <w:rsid w:val="001551CB"/>
    <w:rsid w:val="001553BE"/>
    <w:rsid w:val="00156298"/>
    <w:rsid w:val="001658E2"/>
    <w:rsid w:val="001709E0"/>
    <w:rsid w:val="00170E10"/>
    <w:rsid w:val="00174E99"/>
    <w:rsid w:val="001800F5"/>
    <w:rsid w:val="00182A2B"/>
    <w:rsid w:val="00197AD5"/>
    <w:rsid w:val="001A0EA9"/>
    <w:rsid w:val="001C190E"/>
    <w:rsid w:val="001C7A5F"/>
    <w:rsid w:val="001D4216"/>
    <w:rsid w:val="001D52AC"/>
    <w:rsid w:val="001D5EC8"/>
    <w:rsid w:val="001E24F5"/>
    <w:rsid w:val="001E2914"/>
    <w:rsid w:val="001E2A40"/>
    <w:rsid w:val="001E4908"/>
    <w:rsid w:val="001F0658"/>
    <w:rsid w:val="001F46C4"/>
    <w:rsid w:val="001F5C00"/>
    <w:rsid w:val="00200425"/>
    <w:rsid w:val="002017DA"/>
    <w:rsid w:val="00203A5B"/>
    <w:rsid w:val="00204D2D"/>
    <w:rsid w:val="002052D9"/>
    <w:rsid w:val="00206B3F"/>
    <w:rsid w:val="00222EE9"/>
    <w:rsid w:val="0023387E"/>
    <w:rsid w:val="00237118"/>
    <w:rsid w:val="00247A10"/>
    <w:rsid w:val="00253264"/>
    <w:rsid w:val="0025667A"/>
    <w:rsid w:val="002570BE"/>
    <w:rsid w:val="0026434C"/>
    <w:rsid w:val="002643AD"/>
    <w:rsid w:val="0027226F"/>
    <w:rsid w:val="0027385D"/>
    <w:rsid w:val="00274833"/>
    <w:rsid w:val="0027783D"/>
    <w:rsid w:val="002819D8"/>
    <w:rsid w:val="002835F6"/>
    <w:rsid w:val="002837DE"/>
    <w:rsid w:val="00285A1D"/>
    <w:rsid w:val="00287D03"/>
    <w:rsid w:val="00287D63"/>
    <w:rsid w:val="0029025B"/>
    <w:rsid w:val="002916D6"/>
    <w:rsid w:val="00292019"/>
    <w:rsid w:val="00294606"/>
    <w:rsid w:val="00296D8B"/>
    <w:rsid w:val="002976DD"/>
    <w:rsid w:val="002A233F"/>
    <w:rsid w:val="002A5807"/>
    <w:rsid w:val="002B614D"/>
    <w:rsid w:val="002B78BD"/>
    <w:rsid w:val="002C3173"/>
    <w:rsid w:val="002C57A9"/>
    <w:rsid w:val="002D0638"/>
    <w:rsid w:val="002E30A0"/>
    <w:rsid w:val="002F3AE4"/>
    <w:rsid w:val="002F59F7"/>
    <w:rsid w:val="002F6C83"/>
    <w:rsid w:val="002F74FD"/>
    <w:rsid w:val="002F7B4E"/>
    <w:rsid w:val="003039B1"/>
    <w:rsid w:val="003074F2"/>
    <w:rsid w:val="00307640"/>
    <w:rsid w:val="00311B17"/>
    <w:rsid w:val="00320EE5"/>
    <w:rsid w:val="00326DF5"/>
    <w:rsid w:val="003310A8"/>
    <w:rsid w:val="003423A8"/>
    <w:rsid w:val="00347D66"/>
    <w:rsid w:val="003516F7"/>
    <w:rsid w:val="0035186E"/>
    <w:rsid w:val="00351C9A"/>
    <w:rsid w:val="0035608B"/>
    <w:rsid w:val="00364021"/>
    <w:rsid w:val="003756A7"/>
    <w:rsid w:val="0038158F"/>
    <w:rsid w:val="00386D43"/>
    <w:rsid w:val="0038764F"/>
    <w:rsid w:val="00395E04"/>
    <w:rsid w:val="003969B1"/>
    <w:rsid w:val="003A13A7"/>
    <w:rsid w:val="003A7E7A"/>
    <w:rsid w:val="003C3709"/>
    <w:rsid w:val="003D038C"/>
    <w:rsid w:val="003D6ECE"/>
    <w:rsid w:val="003D7370"/>
    <w:rsid w:val="003E04C0"/>
    <w:rsid w:val="003E2018"/>
    <w:rsid w:val="003E59CA"/>
    <w:rsid w:val="003F15AD"/>
    <w:rsid w:val="003F6738"/>
    <w:rsid w:val="00405754"/>
    <w:rsid w:val="0040653A"/>
    <w:rsid w:val="0040656B"/>
    <w:rsid w:val="00416015"/>
    <w:rsid w:val="00430D67"/>
    <w:rsid w:val="004317C9"/>
    <w:rsid w:val="00433BF9"/>
    <w:rsid w:val="00436723"/>
    <w:rsid w:val="00437456"/>
    <w:rsid w:val="00440126"/>
    <w:rsid w:val="00440243"/>
    <w:rsid w:val="00441EB4"/>
    <w:rsid w:val="00443A3A"/>
    <w:rsid w:val="00444EC9"/>
    <w:rsid w:val="00452405"/>
    <w:rsid w:val="00452D66"/>
    <w:rsid w:val="00454ED5"/>
    <w:rsid w:val="00461A7E"/>
    <w:rsid w:val="0046680B"/>
    <w:rsid w:val="00466A37"/>
    <w:rsid w:val="004674AC"/>
    <w:rsid w:val="004755CB"/>
    <w:rsid w:val="004770E6"/>
    <w:rsid w:val="00480C8E"/>
    <w:rsid w:val="00481A85"/>
    <w:rsid w:val="004854C5"/>
    <w:rsid w:val="004961A4"/>
    <w:rsid w:val="004A11ED"/>
    <w:rsid w:val="004A23B2"/>
    <w:rsid w:val="004A47EB"/>
    <w:rsid w:val="004B0392"/>
    <w:rsid w:val="004B3CA2"/>
    <w:rsid w:val="004B40C3"/>
    <w:rsid w:val="004B58F2"/>
    <w:rsid w:val="004C434A"/>
    <w:rsid w:val="004D314E"/>
    <w:rsid w:val="004D3C7C"/>
    <w:rsid w:val="004E24D9"/>
    <w:rsid w:val="004E3A84"/>
    <w:rsid w:val="00504E50"/>
    <w:rsid w:val="00505D6D"/>
    <w:rsid w:val="00506DD3"/>
    <w:rsid w:val="00510DC7"/>
    <w:rsid w:val="00512557"/>
    <w:rsid w:val="00517AAF"/>
    <w:rsid w:val="00517C5B"/>
    <w:rsid w:val="00530817"/>
    <w:rsid w:val="00531ECA"/>
    <w:rsid w:val="00544E2E"/>
    <w:rsid w:val="00544FF9"/>
    <w:rsid w:val="00547439"/>
    <w:rsid w:val="005559F9"/>
    <w:rsid w:val="00572002"/>
    <w:rsid w:val="005724F5"/>
    <w:rsid w:val="00581A94"/>
    <w:rsid w:val="00586917"/>
    <w:rsid w:val="00592AA0"/>
    <w:rsid w:val="00594EAF"/>
    <w:rsid w:val="0059643D"/>
    <w:rsid w:val="005A33E8"/>
    <w:rsid w:val="005A7E34"/>
    <w:rsid w:val="005B074E"/>
    <w:rsid w:val="005B65E5"/>
    <w:rsid w:val="005B7C67"/>
    <w:rsid w:val="005C159E"/>
    <w:rsid w:val="005C195C"/>
    <w:rsid w:val="005D7C33"/>
    <w:rsid w:val="005E3A42"/>
    <w:rsid w:val="005E537F"/>
    <w:rsid w:val="005F1472"/>
    <w:rsid w:val="005F4647"/>
    <w:rsid w:val="005F4E32"/>
    <w:rsid w:val="005F6493"/>
    <w:rsid w:val="006007DF"/>
    <w:rsid w:val="006025DF"/>
    <w:rsid w:val="00603A21"/>
    <w:rsid w:val="00620748"/>
    <w:rsid w:val="0063493C"/>
    <w:rsid w:val="006439EF"/>
    <w:rsid w:val="006453C2"/>
    <w:rsid w:val="00646279"/>
    <w:rsid w:val="006531C0"/>
    <w:rsid w:val="00653F48"/>
    <w:rsid w:val="00655B29"/>
    <w:rsid w:val="006573BF"/>
    <w:rsid w:val="006624BB"/>
    <w:rsid w:val="00674EF6"/>
    <w:rsid w:val="006755E5"/>
    <w:rsid w:val="0068014F"/>
    <w:rsid w:val="00685E2C"/>
    <w:rsid w:val="006A1D8A"/>
    <w:rsid w:val="006A3250"/>
    <w:rsid w:val="006A7FE8"/>
    <w:rsid w:val="006B1713"/>
    <w:rsid w:val="006B6B3F"/>
    <w:rsid w:val="006C1605"/>
    <w:rsid w:val="006C386D"/>
    <w:rsid w:val="006D071C"/>
    <w:rsid w:val="006D547D"/>
    <w:rsid w:val="006E05A8"/>
    <w:rsid w:val="006E2FF5"/>
    <w:rsid w:val="006F65F8"/>
    <w:rsid w:val="007039D0"/>
    <w:rsid w:val="00712C6B"/>
    <w:rsid w:val="007136D7"/>
    <w:rsid w:val="00721E69"/>
    <w:rsid w:val="00733FA9"/>
    <w:rsid w:val="007448B3"/>
    <w:rsid w:val="00762DE5"/>
    <w:rsid w:val="00767344"/>
    <w:rsid w:val="00773710"/>
    <w:rsid w:val="00780E0D"/>
    <w:rsid w:val="00782C7C"/>
    <w:rsid w:val="00786AF7"/>
    <w:rsid w:val="00790564"/>
    <w:rsid w:val="00796F28"/>
    <w:rsid w:val="007A2A00"/>
    <w:rsid w:val="007B051F"/>
    <w:rsid w:val="007C3E1D"/>
    <w:rsid w:val="007C4389"/>
    <w:rsid w:val="007D22EC"/>
    <w:rsid w:val="007D3081"/>
    <w:rsid w:val="007D6E95"/>
    <w:rsid w:val="007E3479"/>
    <w:rsid w:val="007F4EDE"/>
    <w:rsid w:val="00803C71"/>
    <w:rsid w:val="008103EA"/>
    <w:rsid w:val="00811928"/>
    <w:rsid w:val="0081684D"/>
    <w:rsid w:val="0083675E"/>
    <w:rsid w:val="0085243E"/>
    <w:rsid w:val="00856352"/>
    <w:rsid w:val="00857665"/>
    <w:rsid w:val="00866334"/>
    <w:rsid w:val="00872FF2"/>
    <w:rsid w:val="00877BEE"/>
    <w:rsid w:val="008844B7"/>
    <w:rsid w:val="00886DC9"/>
    <w:rsid w:val="008900FD"/>
    <w:rsid w:val="0089206B"/>
    <w:rsid w:val="0089351F"/>
    <w:rsid w:val="008974A8"/>
    <w:rsid w:val="008A2238"/>
    <w:rsid w:val="008A3042"/>
    <w:rsid w:val="008A62E8"/>
    <w:rsid w:val="008B018D"/>
    <w:rsid w:val="008C210C"/>
    <w:rsid w:val="008C22AB"/>
    <w:rsid w:val="008C2735"/>
    <w:rsid w:val="008D3938"/>
    <w:rsid w:val="008E152A"/>
    <w:rsid w:val="008E4EFB"/>
    <w:rsid w:val="008F04A8"/>
    <w:rsid w:val="008F7813"/>
    <w:rsid w:val="008F79E2"/>
    <w:rsid w:val="00902A13"/>
    <w:rsid w:val="00906C64"/>
    <w:rsid w:val="00927CCE"/>
    <w:rsid w:val="00932813"/>
    <w:rsid w:val="009329FC"/>
    <w:rsid w:val="00936CE3"/>
    <w:rsid w:val="00950615"/>
    <w:rsid w:val="00950B1E"/>
    <w:rsid w:val="009618BE"/>
    <w:rsid w:val="009677C6"/>
    <w:rsid w:val="0097594C"/>
    <w:rsid w:val="009771F7"/>
    <w:rsid w:val="00977B66"/>
    <w:rsid w:val="00980431"/>
    <w:rsid w:val="00990454"/>
    <w:rsid w:val="009A221D"/>
    <w:rsid w:val="009B2A85"/>
    <w:rsid w:val="009B6273"/>
    <w:rsid w:val="009B7D03"/>
    <w:rsid w:val="009B7E04"/>
    <w:rsid w:val="009C32FE"/>
    <w:rsid w:val="009C476D"/>
    <w:rsid w:val="009E4B82"/>
    <w:rsid w:val="009E4D3D"/>
    <w:rsid w:val="009E54F5"/>
    <w:rsid w:val="009F1D67"/>
    <w:rsid w:val="009F66A1"/>
    <w:rsid w:val="009F6AA7"/>
    <w:rsid w:val="00A001A6"/>
    <w:rsid w:val="00A00B45"/>
    <w:rsid w:val="00A07361"/>
    <w:rsid w:val="00A07434"/>
    <w:rsid w:val="00A10433"/>
    <w:rsid w:val="00A10BE5"/>
    <w:rsid w:val="00A115FC"/>
    <w:rsid w:val="00A15DF9"/>
    <w:rsid w:val="00A22C43"/>
    <w:rsid w:val="00A33207"/>
    <w:rsid w:val="00A33449"/>
    <w:rsid w:val="00A34DD8"/>
    <w:rsid w:val="00A36B2F"/>
    <w:rsid w:val="00A43183"/>
    <w:rsid w:val="00A4598A"/>
    <w:rsid w:val="00A53505"/>
    <w:rsid w:val="00A5669E"/>
    <w:rsid w:val="00A56771"/>
    <w:rsid w:val="00A56B4E"/>
    <w:rsid w:val="00A57788"/>
    <w:rsid w:val="00A62232"/>
    <w:rsid w:val="00A63A0E"/>
    <w:rsid w:val="00A710E4"/>
    <w:rsid w:val="00A8533A"/>
    <w:rsid w:val="00A933D7"/>
    <w:rsid w:val="00A94168"/>
    <w:rsid w:val="00A96C61"/>
    <w:rsid w:val="00AA045F"/>
    <w:rsid w:val="00AA247E"/>
    <w:rsid w:val="00AA3DD6"/>
    <w:rsid w:val="00AA40C4"/>
    <w:rsid w:val="00AC1261"/>
    <w:rsid w:val="00AC421E"/>
    <w:rsid w:val="00AC44D6"/>
    <w:rsid w:val="00AC68AE"/>
    <w:rsid w:val="00AD17C0"/>
    <w:rsid w:val="00AD1DB5"/>
    <w:rsid w:val="00AD5EE3"/>
    <w:rsid w:val="00AD79E9"/>
    <w:rsid w:val="00AE2216"/>
    <w:rsid w:val="00AE3639"/>
    <w:rsid w:val="00AE7C11"/>
    <w:rsid w:val="00AF1C87"/>
    <w:rsid w:val="00AF2397"/>
    <w:rsid w:val="00AF40FA"/>
    <w:rsid w:val="00B0441C"/>
    <w:rsid w:val="00B11AEB"/>
    <w:rsid w:val="00B12AD4"/>
    <w:rsid w:val="00B16EE3"/>
    <w:rsid w:val="00B24859"/>
    <w:rsid w:val="00B30824"/>
    <w:rsid w:val="00B34F17"/>
    <w:rsid w:val="00B40A9E"/>
    <w:rsid w:val="00B4405D"/>
    <w:rsid w:val="00B45C7F"/>
    <w:rsid w:val="00B524AD"/>
    <w:rsid w:val="00B56497"/>
    <w:rsid w:val="00B63721"/>
    <w:rsid w:val="00B7086F"/>
    <w:rsid w:val="00B73452"/>
    <w:rsid w:val="00B735F0"/>
    <w:rsid w:val="00B80657"/>
    <w:rsid w:val="00B80E40"/>
    <w:rsid w:val="00B840F7"/>
    <w:rsid w:val="00B84148"/>
    <w:rsid w:val="00B842B5"/>
    <w:rsid w:val="00B86382"/>
    <w:rsid w:val="00B8663D"/>
    <w:rsid w:val="00B86E82"/>
    <w:rsid w:val="00B8797A"/>
    <w:rsid w:val="00BA3958"/>
    <w:rsid w:val="00BA446E"/>
    <w:rsid w:val="00BB0306"/>
    <w:rsid w:val="00BB240E"/>
    <w:rsid w:val="00BB6DF9"/>
    <w:rsid w:val="00BB70E5"/>
    <w:rsid w:val="00BC3FEC"/>
    <w:rsid w:val="00BD15C2"/>
    <w:rsid w:val="00BD42B9"/>
    <w:rsid w:val="00BF2370"/>
    <w:rsid w:val="00BF23BF"/>
    <w:rsid w:val="00BF5206"/>
    <w:rsid w:val="00C041FC"/>
    <w:rsid w:val="00C0523F"/>
    <w:rsid w:val="00C10304"/>
    <w:rsid w:val="00C12A07"/>
    <w:rsid w:val="00C1429C"/>
    <w:rsid w:val="00C1431A"/>
    <w:rsid w:val="00C16A4F"/>
    <w:rsid w:val="00C36F74"/>
    <w:rsid w:val="00C565BF"/>
    <w:rsid w:val="00C61C7B"/>
    <w:rsid w:val="00C717A5"/>
    <w:rsid w:val="00C82011"/>
    <w:rsid w:val="00C82577"/>
    <w:rsid w:val="00C91650"/>
    <w:rsid w:val="00CA446B"/>
    <w:rsid w:val="00CA7A6E"/>
    <w:rsid w:val="00CB7215"/>
    <w:rsid w:val="00CC5C1C"/>
    <w:rsid w:val="00CE6AD8"/>
    <w:rsid w:val="00CF0676"/>
    <w:rsid w:val="00CF153F"/>
    <w:rsid w:val="00CF2C64"/>
    <w:rsid w:val="00CF6010"/>
    <w:rsid w:val="00CF6855"/>
    <w:rsid w:val="00D0008F"/>
    <w:rsid w:val="00D04D2E"/>
    <w:rsid w:val="00D06A44"/>
    <w:rsid w:val="00D07E9A"/>
    <w:rsid w:val="00D11F62"/>
    <w:rsid w:val="00D13049"/>
    <w:rsid w:val="00D15BBF"/>
    <w:rsid w:val="00D1708C"/>
    <w:rsid w:val="00D256AB"/>
    <w:rsid w:val="00D30A7F"/>
    <w:rsid w:val="00D35312"/>
    <w:rsid w:val="00D44D7B"/>
    <w:rsid w:val="00D50167"/>
    <w:rsid w:val="00D61BED"/>
    <w:rsid w:val="00D66415"/>
    <w:rsid w:val="00D674A6"/>
    <w:rsid w:val="00D67765"/>
    <w:rsid w:val="00D75C28"/>
    <w:rsid w:val="00D77073"/>
    <w:rsid w:val="00D91923"/>
    <w:rsid w:val="00DA32E8"/>
    <w:rsid w:val="00DC4E2C"/>
    <w:rsid w:val="00DC754F"/>
    <w:rsid w:val="00DC7DC1"/>
    <w:rsid w:val="00DD2F6F"/>
    <w:rsid w:val="00DE0C30"/>
    <w:rsid w:val="00DE2C33"/>
    <w:rsid w:val="00DE6A73"/>
    <w:rsid w:val="00DF20E9"/>
    <w:rsid w:val="00DF3D45"/>
    <w:rsid w:val="00DF4EDC"/>
    <w:rsid w:val="00DF5D22"/>
    <w:rsid w:val="00E018FA"/>
    <w:rsid w:val="00E05DC1"/>
    <w:rsid w:val="00E11236"/>
    <w:rsid w:val="00E130B5"/>
    <w:rsid w:val="00E1603E"/>
    <w:rsid w:val="00E21951"/>
    <w:rsid w:val="00E22DF0"/>
    <w:rsid w:val="00E25784"/>
    <w:rsid w:val="00E26363"/>
    <w:rsid w:val="00E27BE6"/>
    <w:rsid w:val="00E34522"/>
    <w:rsid w:val="00E47D0A"/>
    <w:rsid w:val="00E50EB7"/>
    <w:rsid w:val="00E513E8"/>
    <w:rsid w:val="00E51F74"/>
    <w:rsid w:val="00E5264E"/>
    <w:rsid w:val="00E55F39"/>
    <w:rsid w:val="00E60D9C"/>
    <w:rsid w:val="00E62F59"/>
    <w:rsid w:val="00E65FAB"/>
    <w:rsid w:val="00E845AB"/>
    <w:rsid w:val="00E92501"/>
    <w:rsid w:val="00E944AE"/>
    <w:rsid w:val="00E97B8C"/>
    <w:rsid w:val="00EA4ED9"/>
    <w:rsid w:val="00EA6361"/>
    <w:rsid w:val="00EB0F7C"/>
    <w:rsid w:val="00EB6079"/>
    <w:rsid w:val="00EB7E48"/>
    <w:rsid w:val="00EC0032"/>
    <w:rsid w:val="00EC1ED7"/>
    <w:rsid w:val="00EC632A"/>
    <w:rsid w:val="00EE04F1"/>
    <w:rsid w:val="00EE0DFE"/>
    <w:rsid w:val="00EE3261"/>
    <w:rsid w:val="00EE4115"/>
    <w:rsid w:val="00EF2E41"/>
    <w:rsid w:val="00EF3107"/>
    <w:rsid w:val="00EF6CAF"/>
    <w:rsid w:val="00F02581"/>
    <w:rsid w:val="00F1722C"/>
    <w:rsid w:val="00F21075"/>
    <w:rsid w:val="00F23985"/>
    <w:rsid w:val="00F314E3"/>
    <w:rsid w:val="00F36513"/>
    <w:rsid w:val="00F369DC"/>
    <w:rsid w:val="00F445C8"/>
    <w:rsid w:val="00F47EF6"/>
    <w:rsid w:val="00F517FA"/>
    <w:rsid w:val="00F5631D"/>
    <w:rsid w:val="00F573DF"/>
    <w:rsid w:val="00F60157"/>
    <w:rsid w:val="00F630A1"/>
    <w:rsid w:val="00F66BF4"/>
    <w:rsid w:val="00F80A7E"/>
    <w:rsid w:val="00F811F8"/>
    <w:rsid w:val="00F82929"/>
    <w:rsid w:val="00F85E5C"/>
    <w:rsid w:val="00F953CC"/>
    <w:rsid w:val="00FA1ECC"/>
    <w:rsid w:val="00FB349B"/>
    <w:rsid w:val="00FC0C94"/>
    <w:rsid w:val="00FC157A"/>
    <w:rsid w:val="00FC356F"/>
    <w:rsid w:val="00FC6338"/>
    <w:rsid w:val="00FD2261"/>
    <w:rsid w:val="00FD2A0A"/>
    <w:rsid w:val="00FE1187"/>
    <w:rsid w:val="00FE5C5B"/>
    <w:rsid w:val="00FF7D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2" w:qFormat="1"/>
    <w:lsdException w:name="footer" w:uiPriority="99"/>
    <w:lsdException w:name="footnote reference" w:uiPriority="99"/>
    <w:lsdException w:name="List Bullet" w:uiPriority="99"/>
    <w:lsdException w:name="Emphasis" w:uiPriority="20"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Pr>
      <w:sz w:val="24"/>
      <w:szCs w:val="24"/>
    </w:rPr>
  </w:style>
  <w:style w:type="paragraph" w:styleId="Heading1">
    <w:name w:val="heading 1"/>
    <w:basedOn w:val="Normal"/>
    <w:next w:val="Normal"/>
    <w:qFormat/>
    <w:rsid w:val="00A53505"/>
    <w:pPr>
      <w:keepNext/>
      <w:tabs>
        <w:tab w:val="left" w:pos="360"/>
      </w:tabs>
      <w:spacing w:after="480"/>
      <w:ind w:left="357" w:hanging="357"/>
      <w:jc w:val="right"/>
      <w:outlineLvl w:val="0"/>
    </w:pPr>
    <w:rPr>
      <w:rFonts w:ascii="Arial" w:hAnsi="Arial"/>
      <w:b/>
      <w:sz w:val="36"/>
    </w:rPr>
  </w:style>
  <w:style w:type="paragraph" w:styleId="Heading2">
    <w:name w:val="heading 2"/>
    <w:basedOn w:val="Normal"/>
    <w:next w:val="Normal"/>
    <w:qFormat/>
    <w:rsid w:val="00A53505"/>
    <w:pPr>
      <w:keepNext/>
      <w:pBdr>
        <w:bottom w:val="single" w:sz="4" w:space="1" w:color="auto"/>
      </w:pBdr>
      <w:spacing w:before="240"/>
      <w:jc w:val="right"/>
      <w:outlineLvl w:val="1"/>
    </w:pPr>
    <w:rPr>
      <w:rFonts w:ascii="Arial" w:hAnsi="Arial"/>
      <w:b/>
      <w:sz w:val="30"/>
    </w:rPr>
  </w:style>
  <w:style w:type="paragraph" w:styleId="Heading3">
    <w:name w:val="heading 3"/>
    <w:basedOn w:val="Normal"/>
    <w:next w:val="Normal"/>
    <w:qFormat/>
    <w:rsid w:val="006A7FE8"/>
    <w:pPr>
      <w:keepNext/>
      <w:spacing w:before="120" w:after="120"/>
      <w:outlineLvl w:val="2"/>
    </w:pPr>
    <w:rPr>
      <w:rFonts w:ascii="Arial" w:hAnsi="Arial"/>
      <w:b/>
      <w:sz w:val="30"/>
      <w:szCs w:val="30"/>
    </w:rPr>
  </w:style>
  <w:style w:type="paragraph" w:styleId="Heading4">
    <w:name w:val="heading 4"/>
    <w:basedOn w:val="Normal"/>
    <w:next w:val="Normal"/>
    <w:link w:val="Heading4Char"/>
    <w:qFormat/>
    <w:rsid w:val="006A7FE8"/>
    <w:pPr>
      <w:keepNext/>
      <w:spacing w:after="120"/>
      <w:outlineLvl w:val="3"/>
    </w:pPr>
    <w:rPr>
      <w:rFonts w:ascii="Arial" w:hAnsi="Arial"/>
      <w:sz w:val="26"/>
      <w:szCs w:val="26"/>
    </w:rPr>
  </w:style>
  <w:style w:type="paragraph" w:styleId="Heading5">
    <w:name w:val="heading 5"/>
    <w:basedOn w:val="Normal"/>
    <w:next w:val="Normal"/>
    <w:qFormat/>
    <w:rsid w:val="00BD15C2"/>
    <w:pPr>
      <w:spacing w:after="120"/>
      <w:outlineLvl w:val="4"/>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paragraph" w:styleId="Caption">
    <w:name w:val="caption"/>
    <w:basedOn w:val="Normal"/>
    <w:next w:val="Normal"/>
    <w:pPr>
      <w:spacing w:before="120" w:after="120"/>
    </w:pPr>
    <w:rPr>
      <w:b/>
    </w:rPr>
  </w:style>
  <w:style w:type="paragraph" w:customStyle="1" w:styleId="paragraphtext">
    <w:name w:val="paragraph text"/>
    <w:basedOn w:val="Normal"/>
    <w:pPr>
      <w:spacing w:before="120" w:after="120"/>
    </w:pPr>
    <w:rPr>
      <w:szCs w:val="20"/>
    </w:rPr>
  </w:style>
  <w:style w:type="character" w:styleId="CommentReference">
    <w:name w:val="annotation reference"/>
    <w:basedOn w:val="DefaultParagraphFont"/>
    <w:semiHidden/>
    <w:rPr>
      <w:sz w:val="16"/>
      <w:szCs w:val="16"/>
    </w:rPr>
  </w:style>
  <w:style w:type="paragraph" w:customStyle="1" w:styleId="Quotes">
    <w:name w:val="Quotes"/>
    <w:basedOn w:val="Normal"/>
    <w:pPr>
      <w:ind w:left="397" w:right="397"/>
    </w:pPr>
    <w:rPr>
      <w:sz w:val="20"/>
    </w:rPr>
  </w:style>
  <w:style w:type="paragraph" w:styleId="TOC1">
    <w:name w:val="toc 1"/>
    <w:basedOn w:val="Normal"/>
    <w:next w:val="Normal"/>
    <w:semiHidden/>
    <w:pPr>
      <w:tabs>
        <w:tab w:val="left" w:pos="360"/>
        <w:tab w:val="right" w:leader="dot" w:pos="8453"/>
      </w:tabs>
      <w:spacing w:before="240" w:after="120"/>
      <w:ind w:left="360" w:hanging="360"/>
    </w:pPr>
    <w:rPr>
      <w:b/>
    </w:rPr>
  </w:style>
  <w:style w:type="paragraph" w:styleId="TOC2">
    <w:name w:val="toc 2"/>
    <w:basedOn w:val="Normal"/>
    <w:next w:val="Normal"/>
    <w:semiHidden/>
    <w:pPr>
      <w:tabs>
        <w:tab w:val="right" w:leader="dot" w:pos="8453"/>
      </w:tabs>
    </w:pPr>
  </w:style>
  <w:style w:type="paragraph" w:styleId="TOC3">
    <w:name w:val="toc 3"/>
    <w:basedOn w:val="Normal"/>
    <w:next w:val="Normal"/>
    <w:semiHidden/>
    <w:pPr>
      <w:tabs>
        <w:tab w:val="right" w:leader="dot" w:pos="8453"/>
      </w:tabs>
      <w:ind w:left="360"/>
    </w:pPr>
  </w:style>
  <w:style w:type="paragraph" w:styleId="TOC4">
    <w:name w:val="toc 4"/>
    <w:basedOn w:val="Normal"/>
    <w:next w:val="Normal"/>
    <w:semiHidden/>
    <w:pPr>
      <w:tabs>
        <w:tab w:val="right" w:leader="dot" w:pos="8453"/>
      </w:tabs>
      <w:ind w:left="720"/>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ListBullet">
    <w:name w:val="List Bullet"/>
    <w:basedOn w:val="Normal"/>
    <w:link w:val="ListBulletChar"/>
    <w:uiPriority w:val="99"/>
    <w:pPr>
      <w:numPr>
        <w:numId w:val="4"/>
      </w:numPr>
      <w:tabs>
        <w:tab w:val="clear" w:pos="4188"/>
        <w:tab w:val="num" w:pos="360"/>
      </w:tabs>
      <w:ind w:left="360"/>
    </w:pPr>
  </w:style>
  <w:style w:type="character" w:styleId="FootnoteReference">
    <w:name w:val="footnote reference"/>
    <w:aliases w:val="(NECG) Footnote Reference,(NECG) Footnote Reference1,(NECG) Footnote Reference2,o,Style 3,Style 12,fr,Appel note de bas de p,Style 124,Appel n,Footnote Reference 1,(NECG) Footnote Reference3,(NECG) Footnote Reference4"/>
    <w:basedOn w:val="DefaultParagraphFont"/>
    <w:uiPriority w:val="99"/>
    <w:rPr>
      <w:rFonts w:ascii="Times New Roman" w:hAnsi="Times New Roman"/>
      <w:sz w:val="18"/>
      <w:vertAlign w:val="superscript"/>
    </w:rPr>
  </w:style>
  <w:style w:type="paragraph" w:styleId="FootnoteText">
    <w:name w:val="footnote text"/>
    <w:aliases w:val="ALTS FOOTNOTE,(NECG) Footnote Text,Footnote text,AR Footnote Text,AR Footnote Text Char Char Char Char Char,ALTS FOOTNOTE Char1,Footnote Text Char1 Char,Footnote Text Char Char Char,Footnote Text Char1 Char Char Char,fn,Footnote Text1,f"/>
    <w:basedOn w:val="Normal"/>
    <w:link w:val="FootnoteTextChar"/>
    <w:uiPriority w:val="2"/>
    <w:qFormat/>
    <w:pPr>
      <w:ind w:left="360" w:hanging="360"/>
    </w:pPr>
    <w:rPr>
      <w:sz w:val="20"/>
    </w:rPr>
  </w:style>
  <w:style w:type="paragraph" w:styleId="ListBullet2">
    <w:name w:val="List Bullet 2"/>
    <w:basedOn w:val="Normal"/>
    <w:pPr>
      <w:numPr>
        <w:numId w:val="3"/>
      </w:numPr>
      <w:tabs>
        <w:tab w:val="clear" w:pos="360"/>
      </w:tabs>
      <w:ind w:left="714" w:hanging="357"/>
    </w:pPr>
  </w:style>
  <w:style w:type="paragraph" w:styleId="ListBullet3">
    <w:name w:val="List Bullet 3"/>
    <w:basedOn w:val="Normal"/>
    <w:pPr>
      <w:numPr>
        <w:numId w:val="2"/>
      </w:numPr>
      <w:tabs>
        <w:tab w:val="clear" w:pos="360"/>
      </w:tabs>
      <w:ind w:left="1071" w:hanging="357"/>
    </w:p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paragraph">
    <w:name w:val="paragraph"/>
    <w:basedOn w:val="Normal"/>
    <w:pPr>
      <w:spacing w:after="240"/>
    </w:pPr>
    <w:rPr>
      <w:szCs w:val="20"/>
    </w:rPr>
  </w:style>
  <w:style w:type="table" w:styleId="TableGrid">
    <w:name w:val="Table Grid"/>
    <w:aliases w:val="ACCC Table"/>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1">
    <w:name w:val="Date1"/>
    <w:basedOn w:val="Heading2"/>
    <w:qFormat/>
    <w:rsid w:val="00A53505"/>
    <w:pPr>
      <w:pBdr>
        <w:bottom w:val="none" w:sz="0" w:space="0" w:color="auto"/>
      </w:pBdr>
    </w:pPr>
    <w:rPr>
      <w:sz w:val="28"/>
    </w:rPr>
  </w:style>
  <w:style w:type="paragraph" w:customStyle="1" w:styleId="NormalParagraph">
    <w:name w:val="Normal Paragraph"/>
    <w:basedOn w:val="paragraph"/>
    <w:link w:val="NormalParagraphChar"/>
    <w:uiPriority w:val="99"/>
    <w:qFormat/>
    <w:rsid w:val="00EB6079"/>
    <w:pPr>
      <w:numPr>
        <w:numId w:val="1"/>
      </w:numPr>
      <w:tabs>
        <w:tab w:val="clear" w:pos="3621"/>
        <w:tab w:val="num" w:pos="567"/>
      </w:tabs>
      <w:spacing w:before="120" w:after="120"/>
      <w:ind w:left="567" w:hanging="567"/>
    </w:pPr>
    <w:rPr>
      <w:rFonts w:ascii="Arial" w:hAnsi="Arial"/>
      <w:sz w:val="22"/>
      <w:szCs w:val="22"/>
    </w:rPr>
  </w:style>
  <w:style w:type="paragraph" w:styleId="ListParagraph">
    <w:name w:val="List Paragraph"/>
    <w:basedOn w:val="ListBullet"/>
    <w:uiPriority w:val="34"/>
    <w:qFormat/>
    <w:rsid w:val="00F80A7E"/>
    <w:pPr>
      <w:keepLines/>
      <w:tabs>
        <w:tab w:val="clear" w:pos="360"/>
        <w:tab w:val="num" w:pos="4188"/>
      </w:tabs>
      <w:spacing w:after="120"/>
      <w:ind w:left="4188"/>
    </w:pPr>
    <w:rPr>
      <w:rFonts w:ascii="Arial" w:hAnsi="Arial" w:cs="Arial"/>
      <w:sz w:val="22"/>
      <w:szCs w:val="22"/>
    </w:rPr>
  </w:style>
  <w:style w:type="character" w:customStyle="1" w:styleId="FooterChar">
    <w:name w:val="Footer Char"/>
    <w:basedOn w:val="DefaultParagraphFont"/>
    <w:link w:val="Footer"/>
    <w:uiPriority w:val="99"/>
    <w:rsid w:val="000D14A1"/>
    <w:rPr>
      <w:sz w:val="24"/>
      <w:szCs w:val="24"/>
    </w:rPr>
  </w:style>
  <w:style w:type="paragraph" w:customStyle="1" w:styleId="commentbox">
    <w:name w:val="comment box"/>
    <w:basedOn w:val="NormalParagraph"/>
    <w:qFormat/>
    <w:rsid w:val="00504E50"/>
    <w:pPr>
      <w:numPr>
        <w:numId w:val="0"/>
      </w:numPr>
      <w:shd w:val="clear" w:color="auto" w:fill="D9D9D9"/>
    </w:pPr>
  </w:style>
  <w:style w:type="paragraph" w:customStyle="1" w:styleId="ABCList">
    <w:name w:val="ABC List"/>
    <w:qFormat/>
    <w:rsid w:val="00504E50"/>
    <w:pPr>
      <w:numPr>
        <w:numId w:val="5"/>
      </w:numPr>
      <w:spacing w:after="120"/>
      <w:ind w:left="992" w:hanging="425"/>
    </w:pPr>
    <w:rPr>
      <w:rFonts w:ascii="Arial" w:hAnsi="Arial" w:cs="Arial"/>
      <w:sz w:val="22"/>
      <w:szCs w:val="22"/>
    </w:rPr>
  </w:style>
  <w:style w:type="paragraph" w:customStyle="1" w:styleId="Numbered">
    <w:name w:val="Numbered"/>
    <w:basedOn w:val="Normal"/>
    <w:autoRedefine/>
    <w:rsid w:val="00A56771"/>
    <w:pPr>
      <w:numPr>
        <w:numId w:val="6"/>
      </w:numPr>
      <w:spacing w:after="240"/>
    </w:pPr>
    <w:rPr>
      <w:rFonts w:ascii="Arial" w:hAnsi="Arial" w:cs="Arial"/>
      <w:sz w:val="22"/>
      <w:szCs w:val="22"/>
      <w:lang w:eastAsia="en-US"/>
    </w:rPr>
  </w:style>
  <w:style w:type="character" w:customStyle="1" w:styleId="ListBulletChar">
    <w:name w:val="List Bullet Char"/>
    <w:link w:val="ListBullet"/>
    <w:rsid w:val="00A56771"/>
    <w:rPr>
      <w:sz w:val="24"/>
      <w:szCs w:val="24"/>
    </w:rPr>
  </w:style>
  <w:style w:type="character" w:customStyle="1" w:styleId="NormalParagraphChar">
    <w:name w:val="Normal Paragraph Char"/>
    <w:link w:val="NormalParagraph"/>
    <w:uiPriority w:val="99"/>
    <w:rsid w:val="00EB6079"/>
    <w:rPr>
      <w:rFonts w:ascii="Arial" w:hAnsi="Arial"/>
      <w:sz w:val="22"/>
      <w:szCs w:val="22"/>
    </w:rPr>
  </w:style>
  <w:style w:type="character" w:customStyle="1" w:styleId="FootnoteTextChar">
    <w:name w:val="Footnote Text Char"/>
    <w:aliases w:val="ALTS FOOTNOTE Char,(NECG) Footnote Text Char,Footnote text Char,AR Footnote Text Char,AR Footnote Text Char Char Char Char Char Char,ALTS FOOTNOTE Char1 Char,Footnote Text Char1 Char Char,Footnote Text Char Char Char Char,fn Char"/>
    <w:basedOn w:val="DefaultParagraphFont"/>
    <w:link w:val="FootnoteText"/>
    <w:uiPriority w:val="2"/>
    <w:rsid w:val="00EB6079"/>
    <w:rPr>
      <w:szCs w:val="24"/>
    </w:rPr>
  </w:style>
  <w:style w:type="paragraph" w:customStyle="1" w:styleId="Numberedlist">
    <w:name w:val="Numbered list"/>
    <w:basedOn w:val="ListNumber"/>
    <w:link w:val="NumberedlistChar"/>
    <w:qFormat/>
    <w:rsid w:val="0046680B"/>
    <w:pPr>
      <w:numPr>
        <w:numId w:val="0"/>
      </w:numPr>
      <w:spacing w:before="120" w:after="120"/>
      <w:ind w:left="357" w:hanging="357"/>
      <w:contextualSpacing w:val="0"/>
    </w:pPr>
    <w:rPr>
      <w:rFonts w:ascii="Arial" w:eastAsia="Arial" w:hAnsi="Arial"/>
      <w:color w:val="000000"/>
      <w:sz w:val="22"/>
      <w:szCs w:val="22"/>
      <w:lang w:eastAsia="en-US"/>
    </w:rPr>
  </w:style>
  <w:style w:type="character" w:customStyle="1" w:styleId="NumberedlistChar">
    <w:name w:val="Numbered list Char"/>
    <w:link w:val="Numberedlist"/>
    <w:rsid w:val="0046680B"/>
    <w:rPr>
      <w:rFonts w:ascii="Arial" w:eastAsia="Arial" w:hAnsi="Arial"/>
      <w:color w:val="000000"/>
      <w:sz w:val="22"/>
      <w:szCs w:val="22"/>
      <w:lang w:eastAsia="en-US"/>
    </w:rPr>
  </w:style>
  <w:style w:type="paragraph" w:styleId="ListNumber">
    <w:name w:val="List Number"/>
    <w:basedOn w:val="Normal"/>
    <w:rsid w:val="0046680B"/>
    <w:pPr>
      <w:numPr>
        <w:numId w:val="9"/>
      </w:numPr>
      <w:contextualSpacing/>
    </w:pPr>
  </w:style>
  <w:style w:type="character" w:customStyle="1" w:styleId="tgc">
    <w:name w:val="_tgc"/>
    <w:rsid w:val="00E018FA"/>
  </w:style>
  <w:style w:type="paragraph" w:customStyle="1" w:styleId="Numberedparagraph">
    <w:name w:val="Numbered paragraph"/>
    <w:basedOn w:val="Normal"/>
    <w:qFormat/>
    <w:rsid w:val="0026434C"/>
    <w:pPr>
      <w:tabs>
        <w:tab w:val="num" w:pos="360"/>
      </w:tabs>
      <w:spacing w:after="200" w:line="276" w:lineRule="auto"/>
      <w:ind w:left="680" w:hanging="680"/>
    </w:pPr>
    <w:rPr>
      <w:rFonts w:ascii="Arial" w:hAnsi="Arial"/>
      <w:color w:val="000000"/>
      <w:sz w:val="22"/>
      <w:szCs w:val="20"/>
      <w:lang w:eastAsia="en-US"/>
    </w:rPr>
  </w:style>
  <w:style w:type="paragraph" w:customStyle="1" w:styleId="Bulletpoint-Keypoints">
    <w:name w:val="Bullet point - Key points"/>
    <w:basedOn w:val="ListBullet"/>
    <w:qFormat/>
    <w:rsid w:val="00BD15C2"/>
    <w:pPr>
      <w:numPr>
        <w:numId w:val="12"/>
      </w:numPr>
      <w:tabs>
        <w:tab w:val="left" w:pos="340"/>
      </w:tabs>
      <w:spacing w:before="240"/>
    </w:pPr>
    <w:rPr>
      <w:rFonts w:ascii="Arial" w:eastAsia="Arial" w:hAnsi="Arial"/>
      <w:sz w:val="28"/>
      <w:szCs w:val="22"/>
      <w:lang w:eastAsia="en-US"/>
    </w:rPr>
  </w:style>
  <w:style w:type="paragraph" w:customStyle="1" w:styleId="Bulletpoint">
    <w:name w:val="Bullet point"/>
    <w:basedOn w:val="Bulletpoint-Keypoints"/>
    <w:qFormat/>
    <w:rsid w:val="00BD15C2"/>
    <w:pPr>
      <w:spacing w:before="120"/>
    </w:pPr>
    <w:rPr>
      <w:sz w:val="22"/>
    </w:rPr>
  </w:style>
  <w:style w:type="character" w:customStyle="1" w:styleId="Heading4Char">
    <w:name w:val="Heading 4 Char"/>
    <w:link w:val="Heading4"/>
    <w:rsid w:val="007C4389"/>
    <w:rPr>
      <w:rFonts w:ascii="Arial" w:hAnsi="Arial"/>
      <w:sz w:val="26"/>
      <w:szCs w:val="26"/>
    </w:rPr>
  </w:style>
  <w:style w:type="paragraph" w:customStyle="1" w:styleId="Heading6">
    <w:name w:val="Heading 6+"/>
    <w:basedOn w:val="Heading5"/>
    <w:next w:val="Numberedparagraph"/>
    <w:rsid w:val="00292019"/>
    <w:rPr>
      <w:i w:val="0"/>
      <w:sz w:val="22"/>
      <w:u w:val="single"/>
    </w:rPr>
  </w:style>
  <w:style w:type="character" w:styleId="Hyperlink">
    <w:name w:val="Hyperlink"/>
    <w:basedOn w:val="DefaultParagraphFont"/>
    <w:rsid w:val="008A2238"/>
    <w:rPr>
      <w:color w:val="0000FF" w:themeColor="hyperlink"/>
      <w:u w:val="single"/>
    </w:rPr>
  </w:style>
  <w:style w:type="character" w:customStyle="1" w:styleId="CommentTextChar">
    <w:name w:val="Comment Text Char"/>
    <w:link w:val="CommentText"/>
    <w:semiHidden/>
    <w:rsid w:val="0083675E"/>
  </w:style>
  <w:style w:type="paragraph" w:styleId="Revision">
    <w:name w:val="Revision"/>
    <w:hidden/>
    <w:uiPriority w:val="99"/>
    <w:semiHidden/>
    <w:rsid w:val="006624BB"/>
    <w:rPr>
      <w:sz w:val="24"/>
      <w:szCs w:val="24"/>
    </w:rPr>
  </w:style>
  <w:style w:type="character" w:styleId="Emphasis">
    <w:name w:val="Emphasis"/>
    <w:uiPriority w:val="20"/>
    <w:qFormat/>
    <w:rsid w:val="00126CE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82075">
      <w:bodyDiv w:val="1"/>
      <w:marLeft w:val="0"/>
      <w:marRight w:val="0"/>
      <w:marTop w:val="0"/>
      <w:marBottom w:val="0"/>
      <w:divBdr>
        <w:top w:val="none" w:sz="0" w:space="0" w:color="auto"/>
        <w:left w:val="none" w:sz="0" w:space="0" w:color="auto"/>
        <w:bottom w:val="none" w:sz="0" w:space="0" w:color="auto"/>
        <w:right w:val="none" w:sz="0" w:space="0" w:color="auto"/>
      </w:divBdr>
    </w:div>
    <w:div w:id="1121148655">
      <w:bodyDiv w:val="1"/>
      <w:marLeft w:val="0"/>
      <w:marRight w:val="0"/>
      <w:marTop w:val="0"/>
      <w:marBottom w:val="0"/>
      <w:divBdr>
        <w:top w:val="none" w:sz="0" w:space="0" w:color="auto"/>
        <w:left w:val="none" w:sz="0" w:space="0" w:color="auto"/>
        <w:bottom w:val="none" w:sz="0" w:space="0" w:color="auto"/>
        <w:right w:val="none" w:sz="0" w:space="0" w:color="auto"/>
      </w:divBdr>
    </w:div>
    <w:div w:id="141855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1EA498-C6E7-492B-AF8E-F514A32CE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2A2E2BB9</Template>
  <TotalTime>0</TotalTime>
  <Pages>18</Pages>
  <Words>6818</Words>
  <Characters>38865</Characters>
  <Application>Microsoft Office Word</Application>
  <DocSecurity>0</DocSecurity>
  <Lines>323</Lines>
  <Paragraphs>91</Paragraphs>
  <ScaleCrop>false</ScaleCrop>
  <LinksUpToDate>false</LinksUpToDate>
  <CharactersWithSpaces>45592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2016-02-29T05:00:00Z</dcterms:created>
  <dcterms:modified xsi:type="dcterms:W3CDTF">2016-02-29T05:41:00Z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I">
    <vt:lpwstr>8616447</vt:lpwstr>
  </property>
  <property fmtid="{D5CDD505-2E9C-101B-9397-08002B2CF9AE}" pid="3" name="currfile">
    <vt:lpwstr>\\cdchnas-evs02\home$\scamp\foxtel ten - public competition assessment - march 2016 (MER2016-00863).docx</vt:lpwstr>
  </property>
</Properties>
</file>