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A0" w:rsidRPr="00867B09" w:rsidRDefault="008130BA" w:rsidP="00A26C2D">
      <w:pPr>
        <w:pStyle w:val="Heading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n Competition and Consumer Commission" style="width:171.4pt;height:92.4pt">
            <v:imagedata r:id="rId9" o:title="logo_48x23mm-300dpi-CMYK"/>
          </v:shape>
        </w:pict>
      </w:r>
    </w:p>
    <w:p w:rsidR="000F1353" w:rsidRPr="00867B09" w:rsidRDefault="000F1353" w:rsidP="00A26C2D">
      <w:pPr>
        <w:pStyle w:val="Heading1"/>
      </w:pPr>
      <w:r w:rsidRPr="00867B09">
        <w:t>Statement of Issues</w:t>
      </w:r>
    </w:p>
    <w:p w:rsidR="00E50A22" w:rsidRPr="00867B09" w:rsidRDefault="00DC43CC" w:rsidP="00A26C2D">
      <w:pPr>
        <w:pStyle w:val="Date"/>
      </w:pPr>
      <w:r w:rsidRPr="00867B09">
        <w:t>1</w:t>
      </w:r>
      <w:r w:rsidR="00360119">
        <w:t>4</w:t>
      </w:r>
      <w:r w:rsidR="00C93001" w:rsidRPr="00867B09">
        <w:t xml:space="preserve"> </w:t>
      </w:r>
      <w:r w:rsidR="00881EB5" w:rsidRPr="00867B09">
        <w:t>September</w:t>
      </w:r>
      <w:r w:rsidR="00C93001" w:rsidRPr="00867B09">
        <w:t xml:space="preserve"> 2015</w:t>
      </w:r>
    </w:p>
    <w:p w:rsidR="00FB30A0" w:rsidRPr="00867B09" w:rsidRDefault="00881EB5" w:rsidP="00A26C2D">
      <w:pPr>
        <w:pStyle w:val="Heading2"/>
      </w:pPr>
      <w:bookmarkStart w:id="0" w:name="Title"/>
      <w:bookmarkEnd w:id="0"/>
      <w:r w:rsidRPr="00867B09">
        <w:t>Foxtel Management Pty Ltd</w:t>
      </w:r>
      <w:r w:rsidR="002A6DE2" w:rsidRPr="00867B09">
        <w:t xml:space="preserve"> </w:t>
      </w:r>
      <w:r w:rsidR="00E90173" w:rsidRPr="00867B09">
        <w:t xml:space="preserve">and Ten Network Holdings Ltd </w:t>
      </w:r>
      <w:r w:rsidR="00E44A40" w:rsidRPr="00867B09">
        <w:t xml:space="preserve">proposed </w:t>
      </w:r>
      <w:r w:rsidR="002A6DE2" w:rsidRPr="00867B09">
        <w:t>acquisition</w:t>
      </w:r>
      <w:r w:rsidR="00E90173" w:rsidRPr="00867B09">
        <w:t>s</w:t>
      </w:r>
    </w:p>
    <w:p w:rsidR="00E44A40" w:rsidRPr="00867B09" w:rsidRDefault="00E44A40" w:rsidP="00A26C2D">
      <w:pPr>
        <w:pStyle w:val="Heading3"/>
      </w:pPr>
      <w:r w:rsidRPr="00867B09">
        <w:t>Purpose</w:t>
      </w:r>
    </w:p>
    <w:p w:rsidR="00396432" w:rsidRDefault="00A231F9" w:rsidP="00F10777">
      <w:pPr>
        <w:pStyle w:val="Numbered"/>
      </w:pPr>
      <w:r w:rsidRPr="00AB42E3">
        <w:t>Outlined below is the Statement of Issues released by the Australian Competition and Consumer Commission (</w:t>
      </w:r>
      <w:r w:rsidRPr="00BD0DE8">
        <w:rPr>
          <w:b/>
        </w:rPr>
        <w:t>ACCC</w:t>
      </w:r>
      <w:r w:rsidRPr="00AB42E3">
        <w:t xml:space="preserve">) </w:t>
      </w:r>
      <w:r w:rsidR="003667B5">
        <w:t>in relation to</w:t>
      </w:r>
      <w:r w:rsidR="00396432">
        <w:t>:</w:t>
      </w:r>
    </w:p>
    <w:p w:rsidR="00396432" w:rsidRDefault="00463836" w:rsidP="00DE3AD7">
      <w:pPr>
        <w:pStyle w:val="Numbered"/>
        <w:numPr>
          <w:ilvl w:val="0"/>
          <w:numId w:val="4"/>
        </w:numPr>
        <w:ind w:hanging="425"/>
      </w:pPr>
      <w:r>
        <w:t xml:space="preserve">Foxtel Management Pty </w:t>
      </w:r>
      <w:proofErr w:type="spellStart"/>
      <w:r>
        <w:t>Ltd</w:t>
      </w:r>
      <w:r w:rsidR="005A7553">
        <w:t>’s</w:t>
      </w:r>
      <w:proofErr w:type="spellEnd"/>
      <w:r w:rsidR="005C2F0F">
        <w:t xml:space="preserve"> </w:t>
      </w:r>
      <w:r>
        <w:t>proposed acquisition of up to 15% of Ten Network Holdings Ltd (</w:t>
      </w:r>
      <w:r w:rsidRPr="00396432">
        <w:rPr>
          <w:b/>
        </w:rPr>
        <w:t>Ten</w:t>
      </w:r>
      <w:r>
        <w:t>)</w:t>
      </w:r>
    </w:p>
    <w:p w:rsidR="00396432" w:rsidRDefault="00463836" w:rsidP="00DE3AD7">
      <w:pPr>
        <w:pStyle w:val="Numbered"/>
        <w:numPr>
          <w:ilvl w:val="0"/>
          <w:numId w:val="4"/>
        </w:numPr>
        <w:ind w:hanging="425"/>
      </w:pPr>
      <w:r>
        <w:t xml:space="preserve">Ten’s proposed acquisition </w:t>
      </w:r>
      <w:r w:rsidR="00B103A9">
        <w:t xml:space="preserve">of 24.99% of </w:t>
      </w:r>
      <w:proofErr w:type="spellStart"/>
      <w:r w:rsidR="00B103A9">
        <w:t>Multi</w:t>
      </w:r>
      <w:r w:rsidR="00D72B8A">
        <w:t xml:space="preserve"> </w:t>
      </w:r>
      <w:r>
        <w:t>Channel</w:t>
      </w:r>
      <w:proofErr w:type="spellEnd"/>
      <w:r>
        <w:t xml:space="preserve"> Network</w:t>
      </w:r>
      <w:r w:rsidR="003E5208">
        <w:t xml:space="preserve"> Pty Ltd</w:t>
      </w:r>
      <w:r>
        <w:t xml:space="preserve"> (</w:t>
      </w:r>
      <w:r w:rsidRPr="00396432">
        <w:rPr>
          <w:b/>
        </w:rPr>
        <w:t>MCN</w:t>
      </w:r>
      <w:r>
        <w:t>)</w:t>
      </w:r>
      <w:r w:rsidR="00BD0DE8">
        <w:t xml:space="preserve"> and</w:t>
      </w:r>
    </w:p>
    <w:p w:rsidR="00BD0DE8" w:rsidRDefault="005A7553" w:rsidP="00DE3AD7">
      <w:pPr>
        <w:pStyle w:val="Numbered"/>
        <w:numPr>
          <w:ilvl w:val="0"/>
          <w:numId w:val="4"/>
        </w:numPr>
        <w:ind w:hanging="425"/>
      </w:pPr>
      <w:r>
        <w:t>the proposed granting of an option</w:t>
      </w:r>
      <w:r w:rsidR="00463836">
        <w:t xml:space="preserve"> to Ten by Presto</w:t>
      </w:r>
      <w:r>
        <w:t xml:space="preserve"> TV Pty Ltd (</w:t>
      </w:r>
      <w:r w:rsidRPr="00396432">
        <w:rPr>
          <w:b/>
        </w:rPr>
        <w:t>Presto</w:t>
      </w:r>
      <w:r>
        <w:t>)</w:t>
      </w:r>
      <w:r w:rsidR="00463836">
        <w:t xml:space="preserve"> to acquire 10% of Presto</w:t>
      </w:r>
      <w:r w:rsidR="00BD0DE8">
        <w:t>,</w:t>
      </w:r>
    </w:p>
    <w:p w:rsidR="00A231F9" w:rsidRDefault="00A231F9" w:rsidP="00F10777">
      <w:pPr>
        <w:pStyle w:val="Numbered"/>
        <w:numPr>
          <w:ilvl w:val="0"/>
          <w:numId w:val="0"/>
        </w:numPr>
        <w:ind w:left="360"/>
      </w:pPr>
      <w:r w:rsidRPr="00AB42E3">
        <w:t>(</w:t>
      </w:r>
      <w:proofErr w:type="gramStart"/>
      <w:r w:rsidR="00463836" w:rsidRPr="00654CED">
        <w:t>the</w:t>
      </w:r>
      <w:proofErr w:type="gramEnd"/>
      <w:r w:rsidR="00463836" w:rsidRPr="00654CED">
        <w:t xml:space="preserve"> </w:t>
      </w:r>
      <w:r w:rsidRPr="00654CED">
        <w:t>proposed acquisition</w:t>
      </w:r>
      <w:r w:rsidR="00463836" w:rsidRPr="00654CED">
        <w:t>s</w:t>
      </w:r>
      <w:r w:rsidRPr="00AB42E3">
        <w:t>).</w:t>
      </w:r>
      <w:r>
        <w:t xml:space="preserve"> </w:t>
      </w:r>
    </w:p>
    <w:p w:rsidR="00E44A40" w:rsidRPr="00867B09" w:rsidRDefault="00E44A40" w:rsidP="00F10777">
      <w:pPr>
        <w:pStyle w:val="Numbered"/>
      </w:pPr>
      <w:r w:rsidRPr="00867B09">
        <w:t xml:space="preserve">This Statement of </w:t>
      </w:r>
      <w:r w:rsidR="0035142C" w:rsidRPr="00867B09">
        <w:t>I</w:t>
      </w:r>
      <w:r w:rsidRPr="00867B09">
        <w:t>ssues aims to:</w:t>
      </w:r>
    </w:p>
    <w:p w:rsidR="00E44A40" w:rsidRPr="00867B09" w:rsidRDefault="002B3F0E" w:rsidP="00DE3AD7">
      <w:pPr>
        <w:pStyle w:val="Numbered"/>
        <w:numPr>
          <w:ilvl w:val="0"/>
          <w:numId w:val="4"/>
        </w:numPr>
        <w:ind w:hanging="425"/>
      </w:pPr>
      <w:r w:rsidRPr="00867B09">
        <w:t>g</w:t>
      </w:r>
      <w:r w:rsidR="00134AD5" w:rsidRPr="00867B09">
        <w:t xml:space="preserve">ive the </w:t>
      </w:r>
      <w:r w:rsidR="00BD0DE8">
        <w:t>ACCC’s</w:t>
      </w:r>
      <w:r w:rsidR="00E44A40" w:rsidRPr="00867B09">
        <w:t xml:space="preserve"> preliminary views on competition issues arising </w:t>
      </w:r>
      <w:r w:rsidR="00881EB5" w:rsidRPr="00867B09">
        <w:t>from Foxtel’s proposed acquisition</w:t>
      </w:r>
      <w:r w:rsidR="00F52D5B">
        <w:t>s</w:t>
      </w:r>
      <w:r w:rsidR="00881EB5" w:rsidRPr="00867B09">
        <w:t xml:space="preserve"> with Ten</w:t>
      </w:r>
    </w:p>
    <w:p w:rsidR="00E44A40" w:rsidRPr="00867B09" w:rsidRDefault="002B3F0E" w:rsidP="00DE3AD7">
      <w:pPr>
        <w:pStyle w:val="Numbered"/>
        <w:numPr>
          <w:ilvl w:val="0"/>
          <w:numId w:val="4"/>
        </w:numPr>
        <w:ind w:hanging="425"/>
      </w:pPr>
      <w:r w:rsidRPr="00867B09">
        <w:t>i</w:t>
      </w:r>
      <w:r w:rsidR="00E44A40" w:rsidRPr="00867B09">
        <w:t>dentify areas of further inquiry</w:t>
      </w:r>
    </w:p>
    <w:p w:rsidR="00E44A40" w:rsidRPr="00867B09" w:rsidRDefault="002B3F0E" w:rsidP="00DE3AD7">
      <w:pPr>
        <w:pStyle w:val="Numbered"/>
        <w:numPr>
          <w:ilvl w:val="0"/>
          <w:numId w:val="4"/>
        </w:numPr>
        <w:ind w:hanging="425"/>
      </w:pPr>
      <w:r w:rsidRPr="00867B09">
        <w:t>g</w:t>
      </w:r>
      <w:r w:rsidR="00E44A40" w:rsidRPr="00867B09">
        <w:t>ive all interested parties an opportunity to comment</w:t>
      </w:r>
    </w:p>
    <w:p w:rsidR="00E44A40" w:rsidRPr="00867B09" w:rsidRDefault="00AC66FF" w:rsidP="00DE3AD7">
      <w:pPr>
        <w:pStyle w:val="Numbered"/>
        <w:numPr>
          <w:ilvl w:val="0"/>
          <w:numId w:val="4"/>
        </w:numPr>
        <w:ind w:hanging="425"/>
      </w:pPr>
      <w:proofErr w:type="gramStart"/>
      <w:r w:rsidRPr="00867B09">
        <w:t>i</w:t>
      </w:r>
      <w:r w:rsidR="00E44A40" w:rsidRPr="00867B09">
        <w:t>nvite</w:t>
      </w:r>
      <w:proofErr w:type="gramEnd"/>
      <w:r w:rsidR="00E44A40" w:rsidRPr="00867B09">
        <w:t xml:space="preserve"> interested parties to submit information to assist </w:t>
      </w:r>
      <w:r w:rsidR="003667B5">
        <w:t>the ACCC’s</w:t>
      </w:r>
      <w:r w:rsidR="00E44A40" w:rsidRPr="00867B09">
        <w:t xml:space="preserve"> assessment of the issues.</w:t>
      </w:r>
    </w:p>
    <w:p w:rsidR="00E44A40" w:rsidRPr="00867B09" w:rsidRDefault="00E44A40" w:rsidP="00A26C2D">
      <w:pPr>
        <w:pStyle w:val="Heading3"/>
      </w:pPr>
      <w:r w:rsidRPr="00867B09">
        <w:t>Overview of ACCC’s preliminary views</w:t>
      </w:r>
    </w:p>
    <w:p w:rsidR="009E077E" w:rsidRPr="00867B09" w:rsidRDefault="009E077E" w:rsidP="00F10777">
      <w:pPr>
        <w:pStyle w:val="Numbered"/>
      </w:pPr>
      <w:r w:rsidRPr="00867B09">
        <w:t xml:space="preserve">The legal </w:t>
      </w:r>
      <w:proofErr w:type="gramStart"/>
      <w:r w:rsidRPr="00867B09">
        <w:t xml:space="preserve">test which </w:t>
      </w:r>
      <w:r w:rsidR="00134AD5" w:rsidRPr="00867B09">
        <w:t xml:space="preserve">the ACCC </w:t>
      </w:r>
      <w:r w:rsidRPr="00867B09">
        <w:t>applies in considering the proposed acquisition</w:t>
      </w:r>
      <w:proofErr w:type="gramEnd"/>
      <w:r w:rsidRPr="00867B09">
        <w:t xml:space="preserve"> is in section 50 of the </w:t>
      </w:r>
      <w:r w:rsidRPr="00396432">
        <w:t>Competition and Consumer Act 2010</w:t>
      </w:r>
      <w:r w:rsidR="008379A2" w:rsidRPr="00396432">
        <w:t xml:space="preserve"> </w:t>
      </w:r>
      <w:r w:rsidR="008379A2" w:rsidRPr="00867B09">
        <w:t xml:space="preserve">(the </w:t>
      </w:r>
      <w:r w:rsidR="008379A2" w:rsidRPr="00396432">
        <w:rPr>
          <w:b/>
        </w:rPr>
        <w:t>Act</w:t>
      </w:r>
      <w:r w:rsidR="008379A2" w:rsidRPr="00867B09">
        <w:t>)</w:t>
      </w:r>
      <w:r w:rsidRPr="00867B09">
        <w:t xml:space="preserve">. Section 50 prohibits acquisitions that substantially lessen competition in a market, or are likely to do so. </w:t>
      </w:r>
    </w:p>
    <w:p w:rsidR="009E077E" w:rsidRDefault="00A231F9" w:rsidP="00F10777">
      <w:pPr>
        <w:pStyle w:val="Numbered"/>
      </w:pPr>
      <w:r>
        <w:lastRenderedPageBreak/>
        <w:t xml:space="preserve">The ACCC divides its preliminary views </w:t>
      </w:r>
      <w:r w:rsidR="0087748F">
        <w:t xml:space="preserve">in this Statement of Issues </w:t>
      </w:r>
      <w:r>
        <w:t xml:space="preserve">into </w:t>
      </w:r>
      <w:r w:rsidR="00360119">
        <w:t>two</w:t>
      </w:r>
      <w:r>
        <w:t xml:space="preserve"> categories</w:t>
      </w:r>
      <w:r w:rsidR="00360119">
        <w:t>:</w:t>
      </w:r>
      <w:r>
        <w:t xml:space="preserve"> 'issues that may </w:t>
      </w:r>
      <w:proofErr w:type="gramStart"/>
      <w:r>
        <w:t>raise</w:t>
      </w:r>
      <w:proofErr w:type="gramEnd"/>
      <w:r>
        <w:t xml:space="preserve"> concerns' and ‘issues unlikely to raise concerns’. </w:t>
      </w:r>
    </w:p>
    <w:p w:rsidR="009B09ED" w:rsidRPr="00724BAD" w:rsidRDefault="009B09ED" w:rsidP="00724BAD">
      <w:pPr>
        <w:pStyle w:val="Heading6"/>
        <w:keepNext/>
        <w:spacing w:after="240"/>
        <w:rPr>
          <w:rFonts w:ascii="Arial" w:hAnsi="Arial" w:cs="Arial"/>
        </w:rPr>
      </w:pPr>
      <w:r w:rsidRPr="00724BAD">
        <w:rPr>
          <w:rFonts w:ascii="Arial" w:hAnsi="Arial" w:cs="Arial"/>
        </w:rPr>
        <w:t>Issues that may raise concerns</w:t>
      </w:r>
    </w:p>
    <w:p w:rsidR="00D72B8A" w:rsidRDefault="009438A4" w:rsidP="00F10777">
      <w:pPr>
        <w:pStyle w:val="Numbered"/>
      </w:pPr>
      <w:r w:rsidRPr="009438A4">
        <w:t>The ACCC is</w:t>
      </w:r>
      <w:r w:rsidR="00642321">
        <w:t xml:space="preserve"> concerned </w:t>
      </w:r>
      <w:r w:rsidRPr="009438A4">
        <w:t xml:space="preserve">that the proposed acquisitions </w:t>
      </w:r>
      <w:r w:rsidR="00642321">
        <w:t>will result in an alignment of interests between Foxtel and Ten that may:</w:t>
      </w:r>
      <w:r w:rsidR="007E37C3">
        <w:t xml:space="preserve"> </w:t>
      </w:r>
    </w:p>
    <w:p w:rsidR="00642321" w:rsidRDefault="00642321" w:rsidP="00DE3AD7">
      <w:pPr>
        <w:pStyle w:val="Numbered"/>
        <w:numPr>
          <w:ilvl w:val="0"/>
          <w:numId w:val="4"/>
        </w:numPr>
        <w:ind w:hanging="425"/>
      </w:pPr>
      <w:r>
        <w:t>favour Ten in the bidding for sports content</w:t>
      </w:r>
      <w:r w:rsidR="003667B5">
        <w:t xml:space="preserve"> against other free-to-air (</w:t>
      </w:r>
      <w:r w:rsidR="003667B5" w:rsidRPr="00642321">
        <w:rPr>
          <w:b/>
        </w:rPr>
        <w:t>FTA</w:t>
      </w:r>
      <w:r w:rsidR="003667B5">
        <w:t>) television providers</w:t>
      </w:r>
    </w:p>
    <w:p w:rsidR="00642321" w:rsidRDefault="00642321" w:rsidP="00DE3AD7">
      <w:pPr>
        <w:pStyle w:val="Numbered"/>
        <w:numPr>
          <w:ilvl w:val="0"/>
          <w:numId w:val="4"/>
        </w:numPr>
        <w:ind w:hanging="425"/>
      </w:pPr>
      <w:proofErr w:type="gramStart"/>
      <w:r>
        <w:t>reduce</w:t>
      </w:r>
      <w:proofErr w:type="gramEnd"/>
      <w:r>
        <w:t xml:space="preserve"> or even eliminate competition between Foxtel and Ten for the supply of advertising services.</w:t>
      </w:r>
    </w:p>
    <w:p w:rsidR="00642321" w:rsidRPr="00A77F72" w:rsidRDefault="00642321" w:rsidP="00F10777">
      <w:pPr>
        <w:pStyle w:val="Numbered"/>
      </w:pPr>
      <w:r w:rsidRPr="00A77F72">
        <w:t>The ACCC</w:t>
      </w:r>
      <w:r>
        <w:t>’s preliminary view</w:t>
      </w:r>
      <w:r w:rsidRPr="00A77F72">
        <w:t xml:space="preserve"> is </w:t>
      </w:r>
      <w:r>
        <w:t xml:space="preserve">that these effects may substantially </w:t>
      </w:r>
      <w:r w:rsidR="00B1782C">
        <w:t>lessen</w:t>
      </w:r>
      <w:r>
        <w:t xml:space="preserve"> competition in one or </w:t>
      </w:r>
      <w:r w:rsidR="00520D61">
        <w:t>more</w:t>
      </w:r>
      <w:r>
        <w:t xml:space="preserve"> of the following markets</w:t>
      </w:r>
      <w:r w:rsidRPr="00A77F72">
        <w:t>:</w:t>
      </w:r>
    </w:p>
    <w:p w:rsidR="00642321" w:rsidRDefault="00642321" w:rsidP="00DE3AD7">
      <w:pPr>
        <w:pStyle w:val="Numbered"/>
        <w:numPr>
          <w:ilvl w:val="0"/>
          <w:numId w:val="4"/>
        </w:numPr>
        <w:ind w:hanging="425"/>
      </w:pPr>
      <w:r>
        <w:t>markets for the acquisition of television content, particularly sports contents</w:t>
      </w:r>
    </w:p>
    <w:p w:rsidR="00642321" w:rsidRDefault="00642321" w:rsidP="00DE3AD7">
      <w:pPr>
        <w:pStyle w:val="Numbered"/>
        <w:numPr>
          <w:ilvl w:val="0"/>
          <w:numId w:val="4"/>
        </w:numPr>
        <w:ind w:hanging="425"/>
      </w:pPr>
      <w:r>
        <w:t xml:space="preserve">markets for the supply </w:t>
      </w:r>
      <w:r w:rsidR="003667B5">
        <w:t>of FTA</w:t>
      </w:r>
      <w:r>
        <w:t xml:space="preserve"> television services (including a broader market for the supply of television viewing services encompassing both FTA and subscription television (</w:t>
      </w:r>
      <w:r w:rsidRPr="00642321">
        <w:rPr>
          <w:b/>
        </w:rPr>
        <w:t>STV</w:t>
      </w:r>
      <w:r>
        <w:t>) services)</w:t>
      </w:r>
    </w:p>
    <w:p w:rsidR="00642321" w:rsidRDefault="00642321" w:rsidP="00DE3AD7">
      <w:pPr>
        <w:pStyle w:val="Numbered"/>
        <w:numPr>
          <w:ilvl w:val="0"/>
          <w:numId w:val="4"/>
        </w:numPr>
        <w:ind w:hanging="425"/>
      </w:pPr>
      <w:proofErr w:type="gramStart"/>
      <w:r>
        <w:t>markets</w:t>
      </w:r>
      <w:proofErr w:type="gramEnd"/>
      <w:r>
        <w:t xml:space="preserve"> for the supply of television advertising services.</w:t>
      </w:r>
    </w:p>
    <w:p w:rsidR="0087748F" w:rsidRPr="00724BAD" w:rsidRDefault="0087748F" w:rsidP="00724BAD">
      <w:pPr>
        <w:pStyle w:val="Heading6"/>
        <w:keepNext/>
        <w:spacing w:after="240"/>
        <w:rPr>
          <w:rFonts w:ascii="Arial" w:hAnsi="Arial" w:cs="Arial"/>
        </w:rPr>
      </w:pPr>
      <w:r w:rsidRPr="00724BAD">
        <w:rPr>
          <w:rFonts w:ascii="Arial" w:hAnsi="Arial" w:cs="Arial"/>
        </w:rPr>
        <w:t>Issues unlikely to raise concerns</w:t>
      </w:r>
    </w:p>
    <w:p w:rsidR="009C1B8E" w:rsidRDefault="009C1B8E" w:rsidP="00F10777">
      <w:pPr>
        <w:pStyle w:val="Numbered"/>
      </w:pPr>
      <w:r>
        <w:t xml:space="preserve">The ACCC </w:t>
      </w:r>
      <w:r w:rsidR="009E5EB0">
        <w:t>does not consider</w:t>
      </w:r>
      <w:r>
        <w:t xml:space="preserve"> that the proposed acquisitions </w:t>
      </w:r>
      <w:r w:rsidR="009E5EB0">
        <w:t xml:space="preserve">would be likely to </w:t>
      </w:r>
      <w:r>
        <w:t xml:space="preserve">cause a </w:t>
      </w:r>
      <w:r w:rsidR="00654CED">
        <w:t xml:space="preserve">substantial </w:t>
      </w:r>
      <w:r>
        <w:t>lessening of competition in the supply of</w:t>
      </w:r>
      <w:r w:rsidR="00C46F67">
        <w:t xml:space="preserve"> subscription video on demand (</w:t>
      </w:r>
      <w:r w:rsidR="00C46F67" w:rsidRPr="001C72F3">
        <w:rPr>
          <w:b/>
        </w:rPr>
        <w:t>SVOD</w:t>
      </w:r>
      <w:r w:rsidR="00C46F67">
        <w:t>)</w:t>
      </w:r>
      <w:r w:rsidR="00C46F67" w:rsidRPr="00190A92">
        <w:t xml:space="preserve"> </w:t>
      </w:r>
      <w:r>
        <w:t>services to consumers</w:t>
      </w:r>
      <w:r w:rsidR="009E5EB0">
        <w:t xml:space="preserve">. </w:t>
      </w:r>
    </w:p>
    <w:p w:rsidR="00E44A40" w:rsidRPr="00867B09" w:rsidRDefault="00E44A40" w:rsidP="00E44A40">
      <w:pPr>
        <w:pStyle w:val="Heading3"/>
      </w:pPr>
      <w:r w:rsidRPr="00867B09">
        <w:t>Making a submission</w:t>
      </w:r>
    </w:p>
    <w:p w:rsidR="00E915B7" w:rsidRPr="00A77F72" w:rsidRDefault="00E915B7" w:rsidP="00F10777">
      <w:pPr>
        <w:pStyle w:val="Numbered"/>
      </w:pPr>
      <w:r w:rsidRPr="00A77F72">
        <w:t>The ACCC is seeking submissions from interested parties, particularly on the following key issues:</w:t>
      </w:r>
    </w:p>
    <w:p w:rsidR="005138BF" w:rsidRPr="005138BF" w:rsidRDefault="005138BF" w:rsidP="00DE3AD7">
      <w:pPr>
        <w:numPr>
          <w:ilvl w:val="0"/>
          <w:numId w:val="4"/>
        </w:numPr>
        <w:spacing w:after="120"/>
        <w:ind w:hanging="425"/>
        <w:rPr>
          <w:rFonts w:ascii="Arial" w:hAnsi="Arial" w:cs="Arial"/>
          <w:sz w:val="22"/>
          <w:szCs w:val="22"/>
        </w:rPr>
      </w:pPr>
      <w:r w:rsidRPr="005138BF">
        <w:rPr>
          <w:rFonts w:ascii="Arial" w:hAnsi="Arial" w:cs="Arial"/>
          <w:sz w:val="22"/>
          <w:szCs w:val="22"/>
        </w:rPr>
        <w:t xml:space="preserve">the likely effect of the proposed acquisitions on competition for the acquisition of </w:t>
      </w:r>
      <w:r>
        <w:rPr>
          <w:rFonts w:ascii="Arial" w:hAnsi="Arial" w:cs="Arial"/>
          <w:sz w:val="22"/>
          <w:szCs w:val="22"/>
        </w:rPr>
        <w:t>television</w:t>
      </w:r>
      <w:r w:rsidRPr="005138BF">
        <w:rPr>
          <w:rFonts w:ascii="Arial" w:hAnsi="Arial" w:cs="Arial"/>
          <w:sz w:val="22"/>
          <w:szCs w:val="22"/>
        </w:rPr>
        <w:t xml:space="preserve"> content, in particular sports content</w:t>
      </w:r>
    </w:p>
    <w:p w:rsidR="00175A26" w:rsidRDefault="00175A26" w:rsidP="00DE3AD7">
      <w:pPr>
        <w:pStyle w:val="Numbered"/>
        <w:numPr>
          <w:ilvl w:val="0"/>
          <w:numId w:val="4"/>
        </w:numPr>
        <w:ind w:hanging="425"/>
      </w:pPr>
      <w:r w:rsidRPr="00175A26">
        <w:t>the likely effect of the proposed acquisitions on competition</w:t>
      </w:r>
      <w:r>
        <w:t xml:space="preserve"> </w:t>
      </w:r>
      <w:r w:rsidRPr="00175A26">
        <w:t xml:space="preserve">in the supply of </w:t>
      </w:r>
      <w:r w:rsidR="00027338">
        <w:t xml:space="preserve">FTA </w:t>
      </w:r>
      <w:r w:rsidRPr="00175A26">
        <w:t>television services</w:t>
      </w:r>
      <w:r>
        <w:t xml:space="preserve"> to consumers</w:t>
      </w:r>
      <w:r w:rsidR="00027338">
        <w:t xml:space="preserve"> </w:t>
      </w:r>
    </w:p>
    <w:p w:rsidR="00027338" w:rsidRDefault="00027338" w:rsidP="00DE3AD7">
      <w:pPr>
        <w:pStyle w:val="Numbered"/>
        <w:numPr>
          <w:ilvl w:val="0"/>
          <w:numId w:val="4"/>
        </w:numPr>
        <w:ind w:hanging="425"/>
      </w:pPr>
      <w:r w:rsidRPr="00027338">
        <w:t xml:space="preserve">the likely effect of the proposed acquisitions on competition in the supply of television viewing services </w:t>
      </w:r>
      <w:r>
        <w:t xml:space="preserve">in a broader market </w:t>
      </w:r>
      <w:r w:rsidRPr="00027338">
        <w:t>encompassing both FTA and STV services</w:t>
      </w:r>
    </w:p>
    <w:p w:rsidR="00E915B7" w:rsidRDefault="00337E4F" w:rsidP="00DE3AD7">
      <w:pPr>
        <w:pStyle w:val="Numbered"/>
        <w:numPr>
          <w:ilvl w:val="0"/>
          <w:numId w:val="4"/>
        </w:numPr>
        <w:ind w:hanging="425"/>
      </w:pPr>
      <w:proofErr w:type="gramStart"/>
      <w:r>
        <w:t>t</w:t>
      </w:r>
      <w:r w:rsidR="00E915B7">
        <w:t>he</w:t>
      </w:r>
      <w:proofErr w:type="gramEnd"/>
      <w:r w:rsidR="00E915B7">
        <w:t xml:space="preserve"> likely effect of the proposed acquisition</w:t>
      </w:r>
      <w:r w:rsidR="00F52D5B">
        <w:t>s</w:t>
      </w:r>
      <w:r w:rsidR="00E915B7">
        <w:t xml:space="preserve"> on competition for the supply of advertising </w:t>
      </w:r>
      <w:r w:rsidR="00B1782C">
        <w:t>services</w:t>
      </w:r>
      <w:r w:rsidR="00E915B7">
        <w:t xml:space="preserve"> </w:t>
      </w:r>
      <w:r w:rsidR="00175A26">
        <w:t>to advertisers</w:t>
      </w:r>
      <w:r w:rsidR="00450F25">
        <w:t>.</w:t>
      </w:r>
    </w:p>
    <w:p w:rsidR="00E915B7" w:rsidRDefault="00E915B7" w:rsidP="00F10777">
      <w:pPr>
        <w:pStyle w:val="Numbered"/>
      </w:pPr>
      <w:r>
        <w:t xml:space="preserve">Detailed discussion of these and other issues, along with specific questions, is contained in this Statement of Issues. </w:t>
      </w:r>
    </w:p>
    <w:p w:rsidR="00E915B7" w:rsidRDefault="00E915B7" w:rsidP="00F10777">
      <w:pPr>
        <w:pStyle w:val="Numbered"/>
      </w:pPr>
      <w:r w:rsidRPr="00276F78">
        <w:lastRenderedPageBreak/>
        <w:t xml:space="preserve">Interested parties should provide submissions by no later than 5pm on </w:t>
      </w:r>
      <w:r w:rsidR="00C46F67">
        <w:t>2</w:t>
      </w:r>
      <w:r w:rsidR="005138BF">
        <w:t>8</w:t>
      </w:r>
      <w:r w:rsidR="000A1688">
        <w:t> </w:t>
      </w:r>
      <w:r w:rsidR="00761BE9">
        <w:t>September</w:t>
      </w:r>
      <w:r w:rsidRPr="006617A9">
        <w:t xml:space="preserve"> 2015</w:t>
      </w:r>
      <w:r w:rsidRPr="00276F78">
        <w:t>. Res</w:t>
      </w:r>
      <w:r w:rsidRPr="00A0349E">
        <w:t xml:space="preserve">ponses </w:t>
      </w:r>
      <w:proofErr w:type="gramStart"/>
      <w:r w:rsidRPr="00A0349E">
        <w:t>may be emailed</w:t>
      </w:r>
      <w:proofErr w:type="gramEnd"/>
      <w:r w:rsidRPr="00A0349E">
        <w:t xml:space="preserve"> to</w:t>
      </w:r>
      <w:r w:rsidR="00396432">
        <w:t xml:space="preserve"> </w:t>
      </w:r>
      <w:hyperlink r:id="rId10" w:history="1">
        <w:r w:rsidR="00396432" w:rsidRPr="00F508A3">
          <w:rPr>
            <w:rStyle w:val="Hyperlink"/>
          </w:rPr>
          <w:t>mergers@accc.gov.au</w:t>
        </w:r>
      </w:hyperlink>
      <w:r w:rsidR="00396432">
        <w:t xml:space="preserve"> </w:t>
      </w:r>
      <w:r w:rsidRPr="00A0349E">
        <w:t xml:space="preserve">with the title: </w:t>
      </w:r>
      <w:r>
        <w:t>F</w:t>
      </w:r>
      <w:r w:rsidR="00F52D5B">
        <w:t>oxtel/Ten proposed acquisition</w:t>
      </w:r>
      <w:r>
        <w:t>s</w:t>
      </w:r>
      <w:r w:rsidRPr="00E44A40">
        <w:t>.</w:t>
      </w:r>
      <w:r>
        <w:t xml:space="preserve"> </w:t>
      </w:r>
    </w:p>
    <w:p w:rsidR="00E915B7" w:rsidRPr="00A0349E" w:rsidRDefault="00E915B7" w:rsidP="00F10777">
      <w:pPr>
        <w:pStyle w:val="Numbered"/>
      </w:pPr>
      <w:r>
        <w:t>The ACCC anticipates making a final decision o</w:t>
      </w:r>
      <w:r w:rsidRPr="00276F78">
        <w:t xml:space="preserve">n </w:t>
      </w:r>
      <w:r w:rsidR="006617A9" w:rsidRPr="006617A9">
        <w:t>2</w:t>
      </w:r>
      <w:r w:rsidR="003F5100">
        <w:t>2</w:t>
      </w:r>
      <w:r w:rsidRPr="006617A9">
        <w:t xml:space="preserve"> October 2015</w:t>
      </w:r>
      <w:r>
        <w:t>. However, this timeline can change. To keep abreast of possible changes to timing and to find relevant documents, interested parties should visit the Mergers Register on the ACCC's website at</w:t>
      </w:r>
      <w:r w:rsidR="00396432">
        <w:t xml:space="preserve"> </w:t>
      </w:r>
      <w:hyperlink r:id="rId11" w:history="1">
        <w:r w:rsidR="00396432" w:rsidRPr="00F508A3">
          <w:rPr>
            <w:rStyle w:val="Hyperlink"/>
          </w:rPr>
          <w:t>www.accc.gov.au/mergersregister</w:t>
        </w:r>
      </w:hyperlink>
      <w:r>
        <w:t>.</w:t>
      </w:r>
    </w:p>
    <w:p w:rsidR="00E44A40" w:rsidRPr="0019334E" w:rsidRDefault="00E44A40" w:rsidP="0019334E">
      <w:pPr>
        <w:pStyle w:val="Heading6"/>
        <w:keepNext/>
        <w:spacing w:after="240"/>
        <w:rPr>
          <w:rFonts w:ascii="Arial" w:hAnsi="Arial" w:cs="Arial"/>
        </w:rPr>
      </w:pPr>
      <w:r w:rsidRPr="0019334E">
        <w:rPr>
          <w:rFonts w:ascii="Arial" w:hAnsi="Arial" w:cs="Arial"/>
        </w:rPr>
        <w:t>Confidentiality of submissions</w:t>
      </w:r>
    </w:p>
    <w:p w:rsidR="00E44A40" w:rsidRPr="00867B09" w:rsidRDefault="00E44A40" w:rsidP="00F10777">
      <w:pPr>
        <w:pStyle w:val="Numbered"/>
      </w:pPr>
      <w:r w:rsidRPr="00867B09">
        <w:t xml:space="preserve">The ACCC will not publish submissions regarding the proposed acquisition. </w:t>
      </w:r>
      <w:r w:rsidR="001B042F" w:rsidRPr="00867B09">
        <w:t xml:space="preserve">The ACCC </w:t>
      </w:r>
      <w:r w:rsidRPr="00867B09">
        <w:t>will not disclose submissions to third parties</w:t>
      </w:r>
      <w:r w:rsidRPr="00396432">
        <w:t xml:space="preserve"> </w:t>
      </w:r>
      <w:r w:rsidRPr="00867B09">
        <w:t>(except our advisors/</w:t>
      </w:r>
      <w:r w:rsidR="00561F79">
        <w:t xml:space="preserve"> </w:t>
      </w:r>
      <w:r w:rsidRPr="00867B09">
        <w:t>consultants) unless compelled by law (for example, under freedom of information legislation or during court proceedings) or in accordance with s</w:t>
      </w:r>
      <w:r w:rsidR="002B3F0E" w:rsidRPr="00867B09">
        <w:t>ection</w:t>
      </w:r>
      <w:r w:rsidR="00F66655" w:rsidRPr="00867B09">
        <w:t> </w:t>
      </w:r>
      <w:r w:rsidRPr="00867B09">
        <w:t xml:space="preserve">155AAA of the </w:t>
      </w:r>
      <w:r w:rsidR="008379A2" w:rsidRPr="00867B09">
        <w:t>Act</w:t>
      </w:r>
      <w:r w:rsidR="00276F78" w:rsidRPr="00867B09">
        <w:t xml:space="preserve">. </w:t>
      </w:r>
      <w:r w:rsidRPr="00867B09">
        <w:t xml:space="preserve">Where the ACCC is required to disclose confidential information, the ACCC will notify you in advance where possible so that you may have an opportunity to </w:t>
      </w:r>
      <w:proofErr w:type="gramStart"/>
      <w:r w:rsidRPr="00867B09">
        <w:t>be heard</w:t>
      </w:r>
      <w:proofErr w:type="gramEnd"/>
      <w:r w:rsidRPr="00867B09">
        <w:t xml:space="preserve">. Therefore, if the information provided to the ACCC is of a confidential nature, please indicate as such. Our </w:t>
      </w:r>
      <w:hyperlink r:id="rId12" w:history="1">
        <w:r w:rsidRPr="00396432">
          <w:t>Informal Merger Review Process Guidelines</w:t>
        </w:r>
      </w:hyperlink>
      <w:r w:rsidRPr="00396432">
        <w:t xml:space="preserve"> </w:t>
      </w:r>
      <w:r w:rsidRPr="00867B09">
        <w:t>contain more information.</w:t>
      </w:r>
    </w:p>
    <w:p w:rsidR="000F1353" w:rsidRPr="00867B09" w:rsidRDefault="009E077E" w:rsidP="00A26C2D">
      <w:pPr>
        <w:pStyle w:val="Heading3"/>
      </w:pPr>
      <w:r w:rsidRPr="00867B09">
        <w:t>About ACCC ‘Statements of Issues’</w:t>
      </w:r>
    </w:p>
    <w:p w:rsidR="00FB30A0" w:rsidRPr="00867B09" w:rsidRDefault="00FB30A0" w:rsidP="00F10777">
      <w:pPr>
        <w:pStyle w:val="Numbered"/>
      </w:pPr>
      <w:r w:rsidRPr="00867B09">
        <w:t xml:space="preserve">A Statement of Issues published by the ACCC is not a final decision about </w:t>
      </w:r>
      <w:r w:rsidR="00A94F23">
        <w:t xml:space="preserve">the </w:t>
      </w:r>
      <w:r w:rsidRPr="00867B09">
        <w:t>proposed acquisition</w:t>
      </w:r>
      <w:r w:rsidR="00A94F23">
        <w:t>s</w:t>
      </w:r>
      <w:r w:rsidRPr="00867B09">
        <w:t>, but provides the ACCC’s preliminary views, drawing attention to particular issues of varying degrees of competition concern, as well as identifying the lines of further inquiry that the ACCC wishes to undertake.</w:t>
      </w:r>
    </w:p>
    <w:p w:rsidR="00FB30A0" w:rsidRPr="00867B09" w:rsidRDefault="00FB30A0" w:rsidP="00F10777">
      <w:pPr>
        <w:pStyle w:val="Numbered"/>
      </w:pPr>
      <w:r w:rsidRPr="00867B09">
        <w:t xml:space="preserve">A Statement of Issues provides an opportunity for all interested parties (including customers, competitors, shareholders and other stakeholders) to ascertain and consider the primary issues identified by the ACCC. It </w:t>
      </w:r>
      <w:proofErr w:type="gramStart"/>
      <w:r w:rsidRPr="00867B09">
        <w:t>is also intended</w:t>
      </w:r>
      <w:proofErr w:type="gramEnd"/>
      <w:r w:rsidRPr="00867B09">
        <w:t xml:space="preserve"> to provide the parties </w:t>
      </w:r>
      <w:r w:rsidR="00C10CCF" w:rsidRPr="00867B09">
        <w:t>to the proposed acquisition</w:t>
      </w:r>
      <w:r w:rsidR="00A94F23">
        <w:t>s</w:t>
      </w:r>
      <w:r w:rsidR="00C10CCF" w:rsidRPr="00867B09">
        <w:t xml:space="preserve"> </w:t>
      </w:r>
      <w:r w:rsidRPr="00867B09">
        <w:t>and other interested parties with the basis for making further submissions should they consider it necessary.</w:t>
      </w:r>
    </w:p>
    <w:p w:rsidR="00FB30A0" w:rsidRPr="00867B09" w:rsidRDefault="009E077E" w:rsidP="003F5100">
      <w:pPr>
        <w:pStyle w:val="Heading3"/>
      </w:pPr>
      <w:r w:rsidRPr="00867B09">
        <w:t>Timeline</w:t>
      </w:r>
    </w:p>
    <w:tbl>
      <w:tblPr>
        <w:tblW w:w="0" w:type="auto"/>
        <w:tblInd w:w="357" w:type="dxa"/>
        <w:tblBorders>
          <w:top w:val="single" w:sz="4" w:space="0" w:color="BFBFBF"/>
          <w:bottom w:val="single" w:sz="4" w:space="0" w:color="BFBFBF"/>
        </w:tblBorders>
        <w:tblLook w:val="04A0" w:firstRow="1" w:lastRow="0" w:firstColumn="1" w:lastColumn="0" w:noHBand="0" w:noVBand="1"/>
      </w:tblPr>
      <w:tblGrid>
        <w:gridCol w:w="2830"/>
        <w:gridCol w:w="5477"/>
      </w:tblGrid>
      <w:tr w:rsidR="009E077E" w:rsidRPr="00867B09" w:rsidTr="00796FEC">
        <w:tc>
          <w:tcPr>
            <w:tcW w:w="2830" w:type="dxa"/>
            <w:tcBorders>
              <w:top w:val="single" w:sz="4" w:space="0" w:color="BFBFBF"/>
              <w:left w:val="nil"/>
              <w:bottom w:val="single" w:sz="4" w:space="0" w:color="BFBFBF"/>
              <w:right w:val="nil"/>
              <w:tl2br w:val="nil"/>
              <w:tr2bl w:val="nil"/>
            </w:tcBorders>
            <w:shd w:val="clear" w:color="auto" w:fill="auto"/>
          </w:tcPr>
          <w:p w:rsidR="009E077E" w:rsidRPr="00796FEC" w:rsidRDefault="009E077E" w:rsidP="003F5100">
            <w:pPr>
              <w:pStyle w:val="Numberedlist"/>
              <w:keepNext/>
              <w:numPr>
                <w:ilvl w:val="0"/>
                <w:numId w:val="0"/>
              </w:numPr>
              <w:rPr>
                <w:rFonts w:cs="Arial"/>
                <w:b/>
              </w:rPr>
            </w:pPr>
            <w:r w:rsidRPr="00796FEC">
              <w:rPr>
                <w:rFonts w:cs="Arial"/>
                <w:b/>
              </w:rPr>
              <w:t>Date</w:t>
            </w:r>
          </w:p>
        </w:tc>
        <w:tc>
          <w:tcPr>
            <w:tcW w:w="5477" w:type="dxa"/>
            <w:tcBorders>
              <w:top w:val="single" w:sz="4" w:space="0" w:color="BFBFBF"/>
              <w:left w:val="nil"/>
              <w:bottom w:val="single" w:sz="4" w:space="0" w:color="BFBFBF"/>
              <w:right w:val="nil"/>
              <w:tl2br w:val="nil"/>
              <w:tr2bl w:val="nil"/>
            </w:tcBorders>
            <w:shd w:val="clear" w:color="auto" w:fill="auto"/>
          </w:tcPr>
          <w:p w:rsidR="009E077E" w:rsidRPr="00796FEC" w:rsidRDefault="009E077E" w:rsidP="003F5100">
            <w:pPr>
              <w:pStyle w:val="Numberedlist"/>
              <w:keepNext/>
              <w:numPr>
                <w:ilvl w:val="0"/>
                <w:numId w:val="0"/>
              </w:numPr>
              <w:rPr>
                <w:rFonts w:cs="Arial"/>
                <w:b/>
              </w:rPr>
            </w:pPr>
            <w:r w:rsidRPr="00796FEC">
              <w:rPr>
                <w:rFonts w:cs="Arial"/>
                <w:b/>
              </w:rPr>
              <w:t>Event</w:t>
            </w:r>
          </w:p>
        </w:tc>
      </w:tr>
      <w:tr w:rsidR="009E077E" w:rsidRPr="00867B09" w:rsidTr="00796FEC">
        <w:tc>
          <w:tcPr>
            <w:tcW w:w="2830" w:type="dxa"/>
            <w:shd w:val="clear" w:color="auto" w:fill="auto"/>
          </w:tcPr>
          <w:p w:rsidR="009E077E" w:rsidRPr="00796FEC" w:rsidRDefault="003204D6" w:rsidP="003F5100">
            <w:pPr>
              <w:pStyle w:val="Numberedlist"/>
              <w:keepNext/>
              <w:numPr>
                <w:ilvl w:val="0"/>
                <w:numId w:val="0"/>
              </w:numPr>
              <w:rPr>
                <w:rFonts w:cs="Arial"/>
                <w:b/>
              </w:rPr>
            </w:pPr>
            <w:r w:rsidRPr="00796FEC">
              <w:rPr>
                <w:rFonts w:cs="Arial"/>
                <w:b/>
              </w:rPr>
              <w:t>25 June</w:t>
            </w:r>
            <w:r w:rsidR="005F586D" w:rsidRPr="00796FEC">
              <w:rPr>
                <w:rFonts w:cs="Arial"/>
                <w:b/>
              </w:rPr>
              <w:t xml:space="preserve"> 2015</w:t>
            </w:r>
          </w:p>
        </w:tc>
        <w:tc>
          <w:tcPr>
            <w:tcW w:w="5477" w:type="dxa"/>
            <w:shd w:val="clear" w:color="auto" w:fill="auto"/>
          </w:tcPr>
          <w:p w:rsidR="009E077E" w:rsidRPr="00796FEC" w:rsidRDefault="009E077E" w:rsidP="00A94F23">
            <w:pPr>
              <w:pStyle w:val="Numberedlist"/>
              <w:keepNext/>
              <w:numPr>
                <w:ilvl w:val="0"/>
                <w:numId w:val="0"/>
              </w:numPr>
              <w:rPr>
                <w:rFonts w:cs="Arial"/>
              </w:rPr>
            </w:pPr>
            <w:r w:rsidRPr="00796FEC">
              <w:rPr>
                <w:rFonts w:cs="Arial"/>
              </w:rPr>
              <w:t>ACCC commenced</w:t>
            </w:r>
            <w:r w:rsidR="00B05F91">
              <w:rPr>
                <w:rFonts w:cs="Arial"/>
              </w:rPr>
              <w:t xml:space="preserve"> its</w:t>
            </w:r>
            <w:r w:rsidRPr="00796FEC">
              <w:rPr>
                <w:rFonts w:cs="Arial"/>
              </w:rPr>
              <w:t xml:space="preserve"> review </w:t>
            </w:r>
            <w:r w:rsidR="00A94F23">
              <w:rPr>
                <w:rFonts w:cs="Arial"/>
              </w:rPr>
              <w:t>of the proposed acquisitions</w:t>
            </w:r>
          </w:p>
        </w:tc>
      </w:tr>
      <w:tr w:rsidR="009E077E" w:rsidRPr="00867B09" w:rsidTr="00796FEC">
        <w:tc>
          <w:tcPr>
            <w:tcW w:w="2830" w:type="dxa"/>
            <w:shd w:val="clear" w:color="auto" w:fill="auto"/>
          </w:tcPr>
          <w:p w:rsidR="009E077E" w:rsidRPr="00796FEC" w:rsidRDefault="003204D6" w:rsidP="00A94F23">
            <w:pPr>
              <w:pStyle w:val="Numberedlist"/>
              <w:keepNext/>
              <w:numPr>
                <w:ilvl w:val="0"/>
                <w:numId w:val="0"/>
              </w:numPr>
              <w:rPr>
                <w:rFonts w:cs="Arial"/>
                <w:b/>
              </w:rPr>
            </w:pPr>
            <w:r w:rsidRPr="00796FEC">
              <w:rPr>
                <w:rFonts w:cs="Arial"/>
                <w:b/>
              </w:rPr>
              <w:t>1</w:t>
            </w:r>
            <w:r w:rsidR="00A94F23">
              <w:rPr>
                <w:rFonts w:cs="Arial"/>
                <w:b/>
              </w:rPr>
              <w:t>4</w:t>
            </w:r>
            <w:r w:rsidRPr="00796FEC">
              <w:rPr>
                <w:rFonts w:cs="Arial"/>
                <w:b/>
              </w:rPr>
              <w:t xml:space="preserve"> September</w:t>
            </w:r>
            <w:r w:rsidR="005F586D" w:rsidRPr="00796FEC">
              <w:rPr>
                <w:rFonts w:cs="Arial"/>
                <w:b/>
              </w:rPr>
              <w:t xml:space="preserve"> 2015</w:t>
            </w:r>
          </w:p>
        </w:tc>
        <w:tc>
          <w:tcPr>
            <w:tcW w:w="5477" w:type="dxa"/>
            <w:shd w:val="clear" w:color="auto" w:fill="auto"/>
          </w:tcPr>
          <w:p w:rsidR="009E077E" w:rsidRPr="00796FEC" w:rsidRDefault="00C23FFA" w:rsidP="003F5100">
            <w:pPr>
              <w:pStyle w:val="Numberedlist"/>
              <w:keepNext/>
              <w:numPr>
                <w:ilvl w:val="0"/>
                <w:numId w:val="0"/>
              </w:numPr>
              <w:rPr>
                <w:rFonts w:cs="Arial"/>
              </w:rPr>
            </w:pPr>
            <w:r w:rsidRPr="00796FEC">
              <w:rPr>
                <w:rFonts w:cs="Arial"/>
              </w:rPr>
              <w:t>ACCC publication of Statement of I</w:t>
            </w:r>
            <w:r w:rsidR="009E077E" w:rsidRPr="00796FEC">
              <w:rPr>
                <w:rFonts w:cs="Arial"/>
              </w:rPr>
              <w:t>ssues</w:t>
            </w:r>
          </w:p>
        </w:tc>
      </w:tr>
      <w:tr w:rsidR="009E077E" w:rsidRPr="00867B09" w:rsidTr="00796FEC">
        <w:tc>
          <w:tcPr>
            <w:tcW w:w="2830" w:type="dxa"/>
            <w:shd w:val="clear" w:color="auto" w:fill="auto"/>
          </w:tcPr>
          <w:p w:rsidR="009E077E" w:rsidRPr="00796FEC" w:rsidRDefault="00C46F67" w:rsidP="00A94F23">
            <w:pPr>
              <w:pStyle w:val="Numberedlist"/>
              <w:keepNext/>
              <w:numPr>
                <w:ilvl w:val="0"/>
                <w:numId w:val="0"/>
              </w:numPr>
              <w:rPr>
                <w:rFonts w:cs="Arial"/>
                <w:b/>
              </w:rPr>
            </w:pPr>
            <w:r>
              <w:rPr>
                <w:rFonts w:cs="Arial"/>
                <w:b/>
              </w:rPr>
              <w:t>2</w:t>
            </w:r>
            <w:r w:rsidR="00A94F23">
              <w:rPr>
                <w:rFonts w:cs="Arial"/>
                <w:b/>
              </w:rPr>
              <w:t>8</w:t>
            </w:r>
            <w:r>
              <w:rPr>
                <w:rFonts w:cs="Arial"/>
                <w:b/>
              </w:rPr>
              <w:t xml:space="preserve"> </w:t>
            </w:r>
            <w:r w:rsidR="00761BE9">
              <w:rPr>
                <w:rFonts w:cs="Arial"/>
                <w:b/>
              </w:rPr>
              <w:t>September</w:t>
            </w:r>
            <w:r w:rsidR="005F586D" w:rsidRPr="006617A9">
              <w:rPr>
                <w:rFonts w:cs="Arial"/>
                <w:b/>
              </w:rPr>
              <w:t xml:space="preserve"> 2015</w:t>
            </w:r>
          </w:p>
        </w:tc>
        <w:tc>
          <w:tcPr>
            <w:tcW w:w="5477" w:type="dxa"/>
            <w:shd w:val="clear" w:color="auto" w:fill="auto"/>
          </w:tcPr>
          <w:p w:rsidR="009E077E" w:rsidRPr="00796FEC" w:rsidRDefault="009F0509" w:rsidP="003F5100">
            <w:pPr>
              <w:pStyle w:val="Numberedlist"/>
              <w:keepNext/>
              <w:numPr>
                <w:ilvl w:val="0"/>
                <w:numId w:val="0"/>
              </w:numPr>
              <w:rPr>
                <w:rFonts w:cs="Arial"/>
              </w:rPr>
            </w:pPr>
            <w:r w:rsidRPr="00796FEC">
              <w:rPr>
                <w:rFonts w:cs="Arial"/>
              </w:rPr>
              <w:t xml:space="preserve">Closing date </w:t>
            </w:r>
            <w:r w:rsidR="009E077E" w:rsidRPr="00796FEC">
              <w:rPr>
                <w:rFonts w:cs="Arial"/>
              </w:rPr>
              <w:t xml:space="preserve">for submissions </w:t>
            </w:r>
            <w:r w:rsidRPr="00796FEC">
              <w:rPr>
                <w:rFonts w:cs="Arial"/>
              </w:rPr>
              <w:t>relating</w:t>
            </w:r>
            <w:r w:rsidR="009E077E" w:rsidRPr="00796FEC">
              <w:rPr>
                <w:rFonts w:cs="Arial"/>
              </w:rPr>
              <w:t xml:space="preserve"> to </w:t>
            </w:r>
            <w:r w:rsidR="009552F5" w:rsidRPr="00796FEC">
              <w:rPr>
                <w:rFonts w:cs="Arial"/>
              </w:rPr>
              <w:t>Statement of I</w:t>
            </w:r>
            <w:r w:rsidR="009E077E" w:rsidRPr="00796FEC">
              <w:rPr>
                <w:rFonts w:cs="Arial"/>
              </w:rPr>
              <w:t>ssues</w:t>
            </w:r>
          </w:p>
        </w:tc>
      </w:tr>
      <w:tr w:rsidR="009E077E" w:rsidRPr="00867B09" w:rsidTr="00796FEC">
        <w:tc>
          <w:tcPr>
            <w:tcW w:w="2830" w:type="dxa"/>
            <w:shd w:val="clear" w:color="auto" w:fill="auto"/>
          </w:tcPr>
          <w:p w:rsidR="009E077E" w:rsidRPr="00796FEC" w:rsidRDefault="006617A9" w:rsidP="003F5100">
            <w:pPr>
              <w:pStyle w:val="Numberedlist"/>
              <w:numPr>
                <w:ilvl w:val="0"/>
                <w:numId w:val="0"/>
              </w:numPr>
              <w:rPr>
                <w:rFonts w:cs="Arial"/>
                <w:b/>
                <w:highlight w:val="yellow"/>
              </w:rPr>
            </w:pPr>
            <w:r w:rsidRPr="006617A9">
              <w:rPr>
                <w:rFonts w:cs="Arial"/>
                <w:b/>
              </w:rPr>
              <w:t>2</w:t>
            </w:r>
            <w:r w:rsidR="003F5100">
              <w:rPr>
                <w:rFonts w:cs="Arial"/>
                <w:b/>
              </w:rPr>
              <w:t>2</w:t>
            </w:r>
            <w:r w:rsidR="003204D6" w:rsidRPr="006617A9">
              <w:rPr>
                <w:rFonts w:cs="Arial"/>
                <w:b/>
              </w:rPr>
              <w:t xml:space="preserve"> October</w:t>
            </w:r>
            <w:r w:rsidR="005F586D" w:rsidRPr="006617A9">
              <w:rPr>
                <w:rFonts w:cs="Arial"/>
                <w:b/>
              </w:rPr>
              <w:t xml:space="preserve"> 2015</w:t>
            </w:r>
          </w:p>
        </w:tc>
        <w:tc>
          <w:tcPr>
            <w:tcW w:w="5477" w:type="dxa"/>
            <w:shd w:val="clear" w:color="auto" w:fill="auto"/>
          </w:tcPr>
          <w:p w:rsidR="009E077E" w:rsidRPr="00796FEC" w:rsidRDefault="009F0509" w:rsidP="00796FEC">
            <w:pPr>
              <w:pStyle w:val="Numberedlist"/>
              <w:numPr>
                <w:ilvl w:val="0"/>
                <w:numId w:val="0"/>
              </w:numPr>
              <w:rPr>
                <w:rFonts w:cs="Arial"/>
              </w:rPr>
            </w:pPr>
            <w:r w:rsidRPr="00796FEC">
              <w:rPr>
                <w:rFonts w:cs="Arial"/>
              </w:rPr>
              <w:t xml:space="preserve">Proposed </w:t>
            </w:r>
            <w:r w:rsidR="009E077E" w:rsidRPr="00796FEC">
              <w:rPr>
                <w:rFonts w:cs="Arial"/>
              </w:rPr>
              <w:t xml:space="preserve">date for </w:t>
            </w:r>
            <w:r w:rsidRPr="00796FEC">
              <w:rPr>
                <w:rFonts w:cs="Arial"/>
              </w:rPr>
              <w:t xml:space="preserve">announcement of </w:t>
            </w:r>
            <w:r w:rsidR="009E077E" w:rsidRPr="00796FEC">
              <w:rPr>
                <w:rFonts w:cs="Arial"/>
              </w:rPr>
              <w:t>ACCC</w:t>
            </w:r>
            <w:r w:rsidRPr="00796FEC">
              <w:rPr>
                <w:rFonts w:cs="Arial"/>
              </w:rPr>
              <w:t>’s</w:t>
            </w:r>
            <w:r w:rsidR="009E077E" w:rsidRPr="00796FEC">
              <w:rPr>
                <w:rFonts w:cs="Arial"/>
              </w:rPr>
              <w:t xml:space="preserve"> final decision </w:t>
            </w:r>
          </w:p>
        </w:tc>
      </w:tr>
    </w:tbl>
    <w:p w:rsidR="00FB30A0" w:rsidRPr="00867B09" w:rsidRDefault="00FB30A0" w:rsidP="00A26C2D">
      <w:pPr>
        <w:pStyle w:val="Heading3"/>
      </w:pPr>
      <w:r w:rsidRPr="00867B09">
        <w:lastRenderedPageBreak/>
        <w:t>The parties</w:t>
      </w:r>
    </w:p>
    <w:p w:rsidR="00E915B7" w:rsidRPr="009010A3" w:rsidRDefault="00E915B7" w:rsidP="009010A3">
      <w:pPr>
        <w:pStyle w:val="Numberedparagraph"/>
        <w:keepNext/>
        <w:ind w:left="0" w:firstLine="0"/>
        <w:rPr>
          <w:i/>
        </w:rPr>
      </w:pPr>
      <w:bookmarkStart w:id="1" w:name="Acquirer3"/>
      <w:bookmarkEnd w:id="1"/>
      <w:r w:rsidRPr="009010A3">
        <w:rPr>
          <w:i/>
        </w:rPr>
        <w:t>Foxtel</w:t>
      </w:r>
    </w:p>
    <w:p w:rsidR="003E5208" w:rsidRDefault="003E5208" w:rsidP="00F10777">
      <w:pPr>
        <w:pStyle w:val="Numbered"/>
      </w:pPr>
      <w:r w:rsidRPr="003E5208">
        <w:t xml:space="preserve">Foxtel Management Pty Ltd is agent for (and manager of) the Foxtel Partnership (together, </w:t>
      </w:r>
      <w:r w:rsidRPr="003E5208">
        <w:rPr>
          <w:b/>
        </w:rPr>
        <w:t>Foxtel</w:t>
      </w:r>
      <w:r w:rsidRPr="003E5208">
        <w:t>). The partners in the Foxtel Partnership are Telstra Media Pty Limited (a wholly owned subsidiary of Telstra Corporation Limited) (</w:t>
      </w:r>
      <w:r w:rsidRPr="003E5208">
        <w:rPr>
          <w:b/>
        </w:rPr>
        <w:t>Telstra</w:t>
      </w:r>
      <w:r w:rsidRPr="003E5208">
        <w:t>) and Sky Cable Pty Limited (which is indirectly a wholly owned subsidiary of News Corporation).</w:t>
      </w:r>
    </w:p>
    <w:p w:rsidR="00E915B7" w:rsidRPr="001E4A5C" w:rsidRDefault="00E915B7" w:rsidP="00F10777">
      <w:pPr>
        <w:pStyle w:val="Numbered"/>
      </w:pPr>
      <w:r w:rsidRPr="001E4A5C">
        <w:t xml:space="preserve">Foxtel is Australia’s largest </w:t>
      </w:r>
      <w:r w:rsidR="00520D61">
        <w:t>STV</w:t>
      </w:r>
      <w:r w:rsidRPr="001E4A5C">
        <w:t xml:space="preserve"> provider. It delivers audio-visual content to over 2.6 million Australian subscribers. It also operates the Foxtel Play multiplatform subscription audio-visual content service and</w:t>
      </w:r>
      <w:r w:rsidR="009E5EB0">
        <w:t xml:space="preserve"> SVOD service</w:t>
      </w:r>
      <w:r w:rsidRPr="001E4A5C">
        <w:t xml:space="preserve"> Presto</w:t>
      </w:r>
      <w:r w:rsidR="00761BE9">
        <w:t xml:space="preserve"> (see below)</w:t>
      </w:r>
      <w:r w:rsidRPr="001E4A5C">
        <w:t xml:space="preserve">. </w:t>
      </w:r>
    </w:p>
    <w:p w:rsidR="00E915B7" w:rsidRDefault="003E5208" w:rsidP="00F10777">
      <w:pPr>
        <w:pStyle w:val="Numbered"/>
      </w:pPr>
      <w:r w:rsidRPr="003E5208">
        <w:t>News Corporation (</w:t>
      </w:r>
      <w:r w:rsidRPr="003E5208">
        <w:rPr>
          <w:b/>
        </w:rPr>
        <w:t>News Corp</w:t>
      </w:r>
      <w:r w:rsidRPr="003E5208">
        <w:t>) and Telstra each have the right to appoint one-half of the board of directors of Foxtel. In addition, News Corp has the right to appoint</w:t>
      </w:r>
      <w:r w:rsidR="00511895">
        <w:t xml:space="preserve"> the</w:t>
      </w:r>
      <w:r w:rsidRPr="003E5208">
        <w:t xml:space="preserve"> Chief Executive Officer and Chief Financial Officer of Foxtel (while Telstra has the right to terminate these officers).</w:t>
      </w:r>
    </w:p>
    <w:p w:rsidR="00E915B7" w:rsidRPr="009010A3" w:rsidRDefault="00E915B7" w:rsidP="009010A3">
      <w:pPr>
        <w:pStyle w:val="Numberedparagraph"/>
        <w:keepNext/>
        <w:ind w:left="0" w:firstLine="0"/>
        <w:rPr>
          <w:i/>
        </w:rPr>
      </w:pPr>
      <w:r w:rsidRPr="009010A3">
        <w:rPr>
          <w:i/>
        </w:rPr>
        <w:t>Ten</w:t>
      </w:r>
    </w:p>
    <w:p w:rsidR="00E915B7" w:rsidRDefault="00E915B7" w:rsidP="00F10777">
      <w:pPr>
        <w:pStyle w:val="Numbered"/>
      </w:pPr>
      <w:r>
        <w:t xml:space="preserve">Ten is an ASX-listed commercial broadcaster that operates three FTA television channels in Australia (Ten, Eleven and One). It also operates </w:t>
      </w:r>
      <w:proofErr w:type="spellStart"/>
      <w:r w:rsidR="009C1CA7">
        <w:t>Ten</w:t>
      </w:r>
      <w:r>
        <w:t>play</w:t>
      </w:r>
      <w:proofErr w:type="spellEnd"/>
      <w:r>
        <w:t xml:space="preserve">, a multiplatform </w:t>
      </w:r>
      <w:r w:rsidR="00C46F67">
        <w:t xml:space="preserve">online </w:t>
      </w:r>
      <w:r>
        <w:t xml:space="preserve">catch-up service. Ten’s </w:t>
      </w:r>
      <w:r w:rsidR="00933077">
        <w:t xml:space="preserve">five </w:t>
      </w:r>
      <w:r>
        <w:t>largest shareholders</w:t>
      </w:r>
      <w:r w:rsidR="00761BE9">
        <w:t xml:space="preserve"> and their shareholdings</w:t>
      </w:r>
      <w:r w:rsidR="00933077">
        <w:t xml:space="preserve"> as at 16 October 2014</w:t>
      </w:r>
      <w:r w:rsidR="00933077" w:rsidRPr="00D135AA">
        <w:rPr>
          <w:sz w:val="24"/>
          <w:szCs w:val="24"/>
          <w:vertAlign w:val="superscript"/>
        </w:rPr>
        <w:footnoteReference w:id="1"/>
      </w:r>
      <w:r>
        <w:t xml:space="preserve"> </w:t>
      </w:r>
      <w:r w:rsidR="00933077">
        <w:t>were</w:t>
      </w:r>
      <w:r>
        <w:t>:</w:t>
      </w:r>
    </w:p>
    <w:p w:rsidR="00E915B7" w:rsidRDefault="00E915B7" w:rsidP="00DE3AD7">
      <w:pPr>
        <w:pStyle w:val="Numbered"/>
        <w:numPr>
          <w:ilvl w:val="0"/>
          <w:numId w:val="7"/>
        </w:numPr>
        <w:ind w:hanging="447"/>
      </w:pPr>
      <w:proofErr w:type="spellStart"/>
      <w:r>
        <w:t>Birketu</w:t>
      </w:r>
      <w:proofErr w:type="spellEnd"/>
      <w:r w:rsidR="00BF1194">
        <w:t xml:space="preserve"> Pty Ltd</w:t>
      </w:r>
      <w:r>
        <w:t xml:space="preserve"> (</w:t>
      </w:r>
      <w:r w:rsidR="00BF1194">
        <w:t xml:space="preserve">a company controlled by </w:t>
      </w:r>
      <w:r>
        <w:t xml:space="preserve">Bruce Gordon) </w:t>
      </w:r>
      <w:r w:rsidR="00D35557" w:rsidRPr="00D35557">
        <w:t>1</w:t>
      </w:r>
      <w:r w:rsidR="00933077">
        <w:t>2.62</w:t>
      </w:r>
      <w:r w:rsidR="00D35557" w:rsidRPr="00D35557">
        <w:t>%</w:t>
      </w:r>
      <w:r w:rsidR="009C1CA7">
        <w:t xml:space="preserve"> </w:t>
      </w:r>
      <w:r w:rsidR="009C1CA7" w:rsidRPr="009C1CA7">
        <w:t xml:space="preserve">(with a further 1.82% held by </w:t>
      </w:r>
      <w:proofErr w:type="spellStart"/>
      <w:r w:rsidR="009C1CA7" w:rsidRPr="009C1CA7">
        <w:t>Birketu</w:t>
      </w:r>
      <w:proofErr w:type="spellEnd"/>
      <w:r w:rsidR="009C1CA7" w:rsidRPr="009C1CA7">
        <w:t xml:space="preserve"> Investments Pty Ltd (also controlled by Bruce Gordon)</w:t>
      </w:r>
    </w:p>
    <w:p w:rsidR="00E915B7" w:rsidRDefault="00BF1194" w:rsidP="00DE3AD7">
      <w:pPr>
        <w:pStyle w:val="Numbered"/>
        <w:numPr>
          <w:ilvl w:val="0"/>
          <w:numId w:val="7"/>
        </w:numPr>
        <w:ind w:hanging="447"/>
      </w:pPr>
      <w:proofErr w:type="spellStart"/>
      <w:r>
        <w:t>Hanrine</w:t>
      </w:r>
      <w:proofErr w:type="spellEnd"/>
      <w:r>
        <w:t xml:space="preserve"> Investments Pty Ltd (a company controlled by Gina Rinehart)</w:t>
      </w:r>
      <w:r w:rsidR="00D35557">
        <w:t xml:space="preserve"> </w:t>
      </w:r>
      <w:r w:rsidR="00D35557" w:rsidRPr="00D35557">
        <w:t>9.45%</w:t>
      </w:r>
    </w:p>
    <w:p w:rsidR="00BF1194" w:rsidRDefault="00933077" w:rsidP="00DE3AD7">
      <w:pPr>
        <w:pStyle w:val="Numbered"/>
        <w:numPr>
          <w:ilvl w:val="0"/>
          <w:numId w:val="7"/>
        </w:numPr>
        <w:ind w:hanging="447"/>
      </w:pPr>
      <w:r>
        <w:t>HSBC Custody Nominees (Australia) Limited</w:t>
      </w:r>
      <w:r w:rsidR="00D35557">
        <w:t xml:space="preserve"> </w:t>
      </w:r>
      <w:r>
        <w:t>9.40</w:t>
      </w:r>
      <w:r w:rsidR="00D35557" w:rsidRPr="00D35557">
        <w:t>%</w:t>
      </w:r>
    </w:p>
    <w:p w:rsidR="00E915B7" w:rsidRDefault="00E915B7" w:rsidP="00DE3AD7">
      <w:pPr>
        <w:pStyle w:val="Numbered"/>
        <w:numPr>
          <w:ilvl w:val="0"/>
          <w:numId w:val="7"/>
        </w:numPr>
        <w:ind w:hanging="447"/>
      </w:pPr>
      <w:r>
        <w:t>Illyria</w:t>
      </w:r>
      <w:r w:rsidR="00933077">
        <w:t xml:space="preserve"> Nominees Television Pty Limited</w:t>
      </w:r>
      <w:r w:rsidR="00BF1194">
        <w:t xml:space="preserve"> </w:t>
      </w:r>
      <w:r w:rsidR="009C1CA7" w:rsidRPr="009C1CA7">
        <w:t>(</w:t>
      </w:r>
      <w:r w:rsidR="009C1CA7" w:rsidRPr="009C1CA7">
        <w:rPr>
          <w:b/>
        </w:rPr>
        <w:t>Illyria</w:t>
      </w:r>
      <w:r w:rsidR="009C1CA7" w:rsidRPr="009C1CA7">
        <w:t>)</w:t>
      </w:r>
      <w:r w:rsidR="009C1CA7">
        <w:t xml:space="preserve"> </w:t>
      </w:r>
      <w:r>
        <w:t>(</w:t>
      </w:r>
      <w:r w:rsidR="00BF1194">
        <w:t xml:space="preserve">a company controlled by </w:t>
      </w:r>
      <w:r>
        <w:t xml:space="preserve">Lachlan Murdoch) </w:t>
      </w:r>
      <w:r w:rsidR="00D35557" w:rsidRPr="00D35557">
        <w:t>8.52%</w:t>
      </w:r>
    </w:p>
    <w:p w:rsidR="00E915B7" w:rsidRDefault="00BF1194" w:rsidP="00DE3AD7">
      <w:pPr>
        <w:pStyle w:val="Numbered"/>
        <w:numPr>
          <w:ilvl w:val="0"/>
          <w:numId w:val="7"/>
        </w:numPr>
        <w:ind w:hanging="447"/>
      </w:pPr>
      <w:proofErr w:type="spellStart"/>
      <w:r>
        <w:t>Aidem</w:t>
      </w:r>
      <w:proofErr w:type="spellEnd"/>
      <w:r>
        <w:t xml:space="preserve"> Holdings Pty </w:t>
      </w:r>
      <w:r w:rsidR="00933077">
        <w:t xml:space="preserve">Limited </w:t>
      </w:r>
      <w:r>
        <w:t>(a company controlled by James Packer)</w:t>
      </w:r>
      <w:r w:rsidR="00D35557">
        <w:t xml:space="preserve"> </w:t>
      </w:r>
      <w:r w:rsidR="00D35557" w:rsidRPr="00D35557">
        <w:t>8.52%</w:t>
      </w:r>
      <w:r w:rsidR="00D35557">
        <w:t>.</w:t>
      </w:r>
    </w:p>
    <w:p w:rsidR="00CC47E6" w:rsidRDefault="00CC47E6" w:rsidP="00F10777">
      <w:pPr>
        <w:pStyle w:val="Numbered"/>
      </w:pPr>
      <w:r w:rsidRPr="00CC47E6">
        <w:t>The current board of Ten comprises:</w:t>
      </w:r>
    </w:p>
    <w:p w:rsidR="009C1CA7" w:rsidRPr="009C1CA7" w:rsidRDefault="009C1CA7" w:rsidP="00DE3AD7">
      <w:pPr>
        <w:pStyle w:val="Numbered"/>
        <w:numPr>
          <w:ilvl w:val="0"/>
          <w:numId w:val="7"/>
        </w:numPr>
        <w:ind w:hanging="447"/>
      </w:pPr>
      <w:r w:rsidRPr="009C1CA7">
        <w:t>David Gordon, Chairman and Non-Executive Director (joined the Ten board in April 2010)</w:t>
      </w:r>
    </w:p>
    <w:p w:rsidR="009C1CA7" w:rsidRPr="009C1CA7" w:rsidRDefault="009C1CA7" w:rsidP="00DE3AD7">
      <w:pPr>
        <w:pStyle w:val="Numbered"/>
        <w:numPr>
          <w:ilvl w:val="0"/>
          <w:numId w:val="7"/>
        </w:numPr>
        <w:ind w:hanging="447"/>
      </w:pPr>
      <w:r w:rsidRPr="009C1CA7">
        <w:t>Brian Long, Deputy Chairman and Lead Independent Director (joined the Ten board in July 2010)</w:t>
      </w:r>
    </w:p>
    <w:p w:rsidR="009C1CA7" w:rsidRPr="009C1CA7" w:rsidRDefault="009C1CA7" w:rsidP="00DE3AD7">
      <w:pPr>
        <w:pStyle w:val="Numbered"/>
        <w:numPr>
          <w:ilvl w:val="0"/>
          <w:numId w:val="7"/>
        </w:numPr>
        <w:ind w:hanging="447"/>
      </w:pPr>
      <w:r w:rsidRPr="009C1CA7">
        <w:lastRenderedPageBreak/>
        <w:t>Paul Gleeson, a Director of Ten (joined the Ten board in 1998)</w:t>
      </w:r>
    </w:p>
    <w:p w:rsidR="009C1CA7" w:rsidRPr="009C1CA7" w:rsidRDefault="009C1CA7" w:rsidP="00DE3AD7">
      <w:pPr>
        <w:pStyle w:val="Numbered"/>
        <w:numPr>
          <w:ilvl w:val="0"/>
          <w:numId w:val="7"/>
        </w:numPr>
        <w:ind w:hanging="447"/>
      </w:pPr>
      <w:r w:rsidRPr="009C1CA7">
        <w:t xml:space="preserve">Jack </w:t>
      </w:r>
      <w:proofErr w:type="spellStart"/>
      <w:r w:rsidRPr="009C1CA7">
        <w:t>Cowin</w:t>
      </w:r>
      <w:proofErr w:type="spellEnd"/>
      <w:r w:rsidRPr="009C1CA7">
        <w:t>, a Director of Ten (joined the Ten board in 1998)</w:t>
      </w:r>
    </w:p>
    <w:p w:rsidR="009C1CA7" w:rsidRPr="009C1CA7" w:rsidRDefault="009C1CA7" w:rsidP="00DE3AD7">
      <w:pPr>
        <w:pStyle w:val="Numbered"/>
        <w:numPr>
          <w:ilvl w:val="0"/>
          <w:numId w:val="7"/>
        </w:numPr>
        <w:ind w:hanging="447"/>
      </w:pPr>
      <w:r w:rsidRPr="009C1CA7">
        <w:t>Dean Hawkins, a Director of Ten (joined the Ten board in April 2010)</w:t>
      </w:r>
    </w:p>
    <w:p w:rsidR="009C1CA7" w:rsidRPr="009C1CA7" w:rsidRDefault="009C1CA7" w:rsidP="00DE3AD7">
      <w:pPr>
        <w:pStyle w:val="Numbered"/>
        <w:numPr>
          <w:ilvl w:val="0"/>
          <w:numId w:val="7"/>
        </w:numPr>
        <w:ind w:hanging="447"/>
      </w:pPr>
      <w:r w:rsidRPr="009C1CA7">
        <w:t>Christine Holgate, a Director of Ten (joined the Ten board in April 2010)</w:t>
      </w:r>
    </w:p>
    <w:p w:rsidR="009C1CA7" w:rsidRPr="009C1CA7" w:rsidRDefault="009C1CA7" w:rsidP="00DE3AD7">
      <w:pPr>
        <w:pStyle w:val="Numbered"/>
        <w:numPr>
          <w:ilvl w:val="0"/>
          <w:numId w:val="7"/>
        </w:numPr>
        <w:ind w:hanging="447"/>
      </w:pPr>
      <w:r w:rsidRPr="009C1CA7">
        <w:t xml:space="preserve">Siobhan McKenna, a director of Ten who was initially appointed to the Ten board on 27 June 2012 as a nominee of </w:t>
      </w:r>
      <w:proofErr w:type="spellStart"/>
      <w:r w:rsidRPr="009C1CA7">
        <w:t>Cavalane</w:t>
      </w:r>
      <w:proofErr w:type="spellEnd"/>
      <w:r w:rsidRPr="009C1CA7">
        <w:t xml:space="preserve"> Holdings Pty Ltd (controlled by James Packer) and is the managing partner of Illyria Pty Ltd (controlled by Lachlan Murdoch)</w:t>
      </w:r>
    </w:p>
    <w:p w:rsidR="009C1CA7" w:rsidRPr="009C1CA7" w:rsidRDefault="009C1CA7" w:rsidP="00DE3AD7">
      <w:pPr>
        <w:pStyle w:val="Numbered"/>
        <w:numPr>
          <w:ilvl w:val="0"/>
          <w:numId w:val="7"/>
        </w:numPr>
        <w:ind w:hanging="447"/>
      </w:pPr>
      <w:r w:rsidRPr="009C1CA7">
        <w:t xml:space="preserve">John </w:t>
      </w:r>
      <w:proofErr w:type="spellStart"/>
      <w:r w:rsidRPr="009C1CA7">
        <w:t>Klepec</w:t>
      </w:r>
      <w:proofErr w:type="spellEnd"/>
      <w:r w:rsidRPr="009C1CA7">
        <w:t xml:space="preserve">, a Director of Ten who was appointed to the Ten board on 3 November 2014 as a nominee for </w:t>
      </w:r>
      <w:proofErr w:type="spellStart"/>
      <w:r w:rsidRPr="009C1CA7">
        <w:t>Hanrine</w:t>
      </w:r>
      <w:proofErr w:type="spellEnd"/>
      <w:r w:rsidRPr="009C1CA7">
        <w:t xml:space="preserve"> Investments Pty Ltd (controlled by Gina Rinehart).</w:t>
      </w:r>
    </w:p>
    <w:p w:rsidR="00E915B7" w:rsidRPr="009010A3" w:rsidRDefault="00E915B7" w:rsidP="009010A3">
      <w:pPr>
        <w:pStyle w:val="Numberedparagraph"/>
        <w:keepNext/>
        <w:ind w:left="0" w:firstLine="0"/>
        <w:rPr>
          <w:i/>
        </w:rPr>
      </w:pPr>
      <w:proofErr w:type="spellStart"/>
      <w:r w:rsidRPr="009010A3">
        <w:rPr>
          <w:i/>
        </w:rPr>
        <w:t>Multi Channel</w:t>
      </w:r>
      <w:proofErr w:type="spellEnd"/>
      <w:r w:rsidRPr="009010A3">
        <w:rPr>
          <w:i/>
        </w:rPr>
        <w:t xml:space="preserve"> Network</w:t>
      </w:r>
      <w:r w:rsidR="00C46F67" w:rsidRPr="009010A3">
        <w:rPr>
          <w:i/>
        </w:rPr>
        <w:t xml:space="preserve"> </w:t>
      </w:r>
      <w:r w:rsidR="00E43938" w:rsidRPr="009010A3">
        <w:rPr>
          <w:i/>
        </w:rPr>
        <w:t>(MCN)</w:t>
      </w:r>
    </w:p>
    <w:p w:rsidR="00E915B7" w:rsidRPr="001E4A5C" w:rsidRDefault="00E43938" w:rsidP="00F10777">
      <w:pPr>
        <w:pStyle w:val="Numbered"/>
      </w:pPr>
      <w:r>
        <w:t>MCN</w:t>
      </w:r>
      <w:r w:rsidR="00E915B7" w:rsidRPr="001E4A5C">
        <w:t xml:space="preserve"> is an advertising business that sells advertising </w:t>
      </w:r>
      <w:r w:rsidR="00B1782C">
        <w:t>services</w:t>
      </w:r>
      <w:r w:rsidR="00E915B7" w:rsidRPr="001E4A5C">
        <w:t xml:space="preserve"> across a number of </w:t>
      </w:r>
      <w:proofErr w:type="gramStart"/>
      <w:r w:rsidR="00E915B7" w:rsidRPr="001E4A5C">
        <w:t>subscription television channel suppliers</w:t>
      </w:r>
      <w:proofErr w:type="gramEnd"/>
      <w:r w:rsidR="00E915B7" w:rsidRPr="001E4A5C">
        <w:t xml:space="preserve"> whose channels appear on the Foxtel platform and on other subscription platforms (e.g. Fetch TV). It also sells on-line advertising space for Telstra Media</w:t>
      </w:r>
      <w:r w:rsidR="00F66CF3">
        <w:t xml:space="preserve"> Pty Ltd</w:t>
      </w:r>
      <w:r w:rsidR="00E915B7" w:rsidRPr="001E4A5C">
        <w:t>.</w:t>
      </w:r>
    </w:p>
    <w:p w:rsidR="00E915B7" w:rsidRDefault="00E915B7" w:rsidP="00F10777">
      <w:pPr>
        <w:pStyle w:val="Numbered"/>
      </w:pPr>
      <w:r w:rsidRPr="001E4A5C">
        <w:t xml:space="preserve">Currently, </w:t>
      </w:r>
      <w:proofErr w:type="gramStart"/>
      <w:r w:rsidRPr="001E4A5C">
        <w:t>75% of the shares in MCN are held by Foxtel</w:t>
      </w:r>
      <w:proofErr w:type="gramEnd"/>
      <w:r w:rsidRPr="001E4A5C">
        <w:t xml:space="preserve"> and 25% are held by Fox Sports Australia Pty Ltd</w:t>
      </w:r>
      <w:r w:rsidR="002D514C">
        <w:t xml:space="preserve"> (owned by News Corp)</w:t>
      </w:r>
      <w:r w:rsidRPr="001E4A5C">
        <w:t>.</w:t>
      </w:r>
    </w:p>
    <w:p w:rsidR="008C7E8E" w:rsidRPr="00A61050" w:rsidRDefault="008C7E8E" w:rsidP="00F10777">
      <w:pPr>
        <w:pStyle w:val="Numbered"/>
      </w:pPr>
      <w:r>
        <w:t>On</w:t>
      </w:r>
      <w:r w:rsidRPr="00A61050">
        <w:t xml:space="preserve"> 1 September 2015, </w:t>
      </w:r>
      <w:r>
        <w:t>MCN commenced acting</w:t>
      </w:r>
      <w:r w:rsidRPr="00A61050">
        <w:t xml:space="preserve"> as Ten's advertising sales </w:t>
      </w:r>
      <w:r>
        <w:t>representative pursuant to a sales representation agreement entered into by Ten and MCN in June 2015</w:t>
      </w:r>
      <w:r w:rsidRPr="00A61050">
        <w:t>.</w:t>
      </w:r>
      <w:r>
        <w:t xml:space="preserve"> </w:t>
      </w:r>
    </w:p>
    <w:p w:rsidR="00E915B7" w:rsidRPr="009010A3" w:rsidRDefault="00E915B7" w:rsidP="009010A3">
      <w:pPr>
        <w:pStyle w:val="Numberedparagraph"/>
        <w:keepNext/>
        <w:ind w:left="0" w:firstLine="0"/>
        <w:rPr>
          <w:i/>
        </w:rPr>
      </w:pPr>
      <w:r w:rsidRPr="009010A3">
        <w:rPr>
          <w:i/>
        </w:rPr>
        <w:t>Presto</w:t>
      </w:r>
    </w:p>
    <w:p w:rsidR="00E915B7" w:rsidRPr="001E4A5C" w:rsidRDefault="0063308D" w:rsidP="00F10777">
      <w:pPr>
        <w:pStyle w:val="Numbered"/>
      </w:pPr>
      <w:r>
        <w:t>Presto is a</w:t>
      </w:r>
      <w:r w:rsidR="00C46F67">
        <w:t>n</w:t>
      </w:r>
      <w:r>
        <w:t xml:space="preserve"> SVOD</w:t>
      </w:r>
      <w:r w:rsidR="00E915B7" w:rsidRPr="001E4A5C">
        <w:t xml:space="preserve"> service that enables subscribers to stream audio-visual content from an online library via the internet when they purchase a monthly subscription. </w:t>
      </w:r>
    </w:p>
    <w:p w:rsidR="00E915B7" w:rsidRPr="001E4A5C" w:rsidRDefault="00E915B7" w:rsidP="00F10777">
      <w:pPr>
        <w:pStyle w:val="Numbered"/>
      </w:pPr>
      <w:r w:rsidRPr="001E4A5C">
        <w:t>Presto is a joint venture between Seven</w:t>
      </w:r>
      <w:r w:rsidR="00F66CF3">
        <w:t xml:space="preserve"> West Media</w:t>
      </w:r>
      <w:r w:rsidRPr="001E4A5C">
        <w:t xml:space="preserve"> Limited (</w:t>
      </w:r>
      <w:proofErr w:type="gramStart"/>
      <w:r w:rsidRPr="00E43938">
        <w:rPr>
          <w:b/>
        </w:rPr>
        <w:t>Seven</w:t>
      </w:r>
      <w:proofErr w:type="gramEnd"/>
      <w:r w:rsidRPr="001E4A5C">
        <w:t>) and Foxtel.</w:t>
      </w:r>
    </w:p>
    <w:p w:rsidR="00614E0B" w:rsidRPr="00867B09" w:rsidRDefault="00614E0B" w:rsidP="00D35557">
      <w:pPr>
        <w:pStyle w:val="Heading3"/>
        <w:spacing w:before="240"/>
      </w:pPr>
      <w:r w:rsidRPr="00867B09">
        <w:t>Other industry participants</w:t>
      </w:r>
    </w:p>
    <w:p w:rsidR="00297719" w:rsidRDefault="00297719" w:rsidP="009010A3">
      <w:pPr>
        <w:pStyle w:val="Numberedparagraph"/>
        <w:keepNext/>
        <w:ind w:left="0" w:firstLine="0"/>
        <w:rPr>
          <w:i/>
        </w:rPr>
      </w:pPr>
      <w:r w:rsidRPr="00297719">
        <w:rPr>
          <w:i/>
        </w:rPr>
        <w:t>News Corporation (News Corp)</w:t>
      </w:r>
    </w:p>
    <w:p w:rsidR="00D54254" w:rsidRDefault="00D54254" w:rsidP="00F10777">
      <w:pPr>
        <w:pStyle w:val="Numbered"/>
      </w:pPr>
      <w:r>
        <w:t>News Corp is the ultimate parent company of News Corp Australia Pty Limited (formerly News Limited), which is the owner of The Australian, the Herald Sun, and numerous other newspapers.</w:t>
      </w:r>
    </w:p>
    <w:p w:rsidR="00D54254" w:rsidRDefault="00D54254" w:rsidP="00F10777">
      <w:pPr>
        <w:pStyle w:val="Numbered"/>
      </w:pPr>
      <w:r>
        <w:t xml:space="preserve">News Corp is one of </w:t>
      </w:r>
      <w:r w:rsidR="00B1782C">
        <w:t xml:space="preserve">the </w:t>
      </w:r>
      <w:r>
        <w:t>owners of Foxtel through its indirect ownership of Sky Cable Pty Limited.</w:t>
      </w:r>
    </w:p>
    <w:p w:rsidR="00D54254" w:rsidRDefault="00D54254" w:rsidP="00F10777">
      <w:pPr>
        <w:pStyle w:val="Numbered"/>
      </w:pPr>
      <w:r>
        <w:t>News Corp is also the owner of Fox Sports Australia Pty Limited (</w:t>
      </w:r>
      <w:r w:rsidRPr="00D54254">
        <w:rPr>
          <w:b/>
        </w:rPr>
        <w:t>Fox Sports</w:t>
      </w:r>
      <w:r>
        <w:t xml:space="preserve">), an Australian group of sports channels that </w:t>
      </w:r>
      <w:proofErr w:type="gramStart"/>
      <w:r>
        <w:t>is broadcast</w:t>
      </w:r>
      <w:proofErr w:type="gramEnd"/>
      <w:r>
        <w:t xml:space="preserve"> on Foxtel.</w:t>
      </w:r>
    </w:p>
    <w:p w:rsidR="00297719" w:rsidRDefault="00D54254" w:rsidP="00F10777">
      <w:pPr>
        <w:pStyle w:val="Numbered"/>
      </w:pPr>
      <w:r>
        <w:lastRenderedPageBreak/>
        <w:t>Rupert Murdoch is the Executive Chairman and Lachlan Murdoch is the Executive Co-Chairman of News Corp. The Murdoch Family Trust holds 38.4% of the voting B class common stock in News Corporation (with Rupert Murdoch holding a further 1% interest).</w:t>
      </w:r>
      <w:r>
        <w:rPr>
          <w:rStyle w:val="FootnoteReference"/>
        </w:rPr>
        <w:footnoteReference w:id="2"/>
      </w:r>
      <w:r>
        <w:t xml:space="preserve"> </w:t>
      </w:r>
    </w:p>
    <w:p w:rsidR="009C1CA7" w:rsidRPr="009C1CA7" w:rsidRDefault="009C1CA7" w:rsidP="009C1CA7">
      <w:pPr>
        <w:pStyle w:val="Numberedparagraph"/>
        <w:keepNext/>
        <w:tabs>
          <w:tab w:val="clear" w:pos="360"/>
          <w:tab w:val="num" w:pos="567"/>
        </w:tabs>
        <w:spacing w:after="240" w:line="240" w:lineRule="auto"/>
        <w:ind w:left="567" w:hanging="567"/>
        <w:rPr>
          <w:i/>
        </w:rPr>
      </w:pPr>
      <w:r w:rsidRPr="009C1CA7">
        <w:rPr>
          <w:i/>
        </w:rPr>
        <w:t>Fox Sports</w:t>
      </w:r>
    </w:p>
    <w:p w:rsidR="009C1CA7" w:rsidRPr="00297719" w:rsidRDefault="009C1CA7" w:rsidP="00F10777">
      <w:pPr>
        <w:pStyle w:val="Numbered"/>
      </w:pPr>
      <w:r w:rsidRPr="009C1CA7">
        <w:t xml:space="preserve">Fox Sports compiles and produces the FOX SPORTS 1, FOX SPORTS 2, FOX SPORTS 3, FOX SPORTS 4, FOX SPORTS 5, FOX FOOTY and FOX SPORTS News subscription television channels, available via the Foxtel platform. It also produces sporting coverage and broadcasts sporting content on Foxtel’s internet TV service, Foxtel Play, Foxtel on T-box, and Foxtel Go App. </w:t>
      </w:r>
      <w:proofErr w:type="gramStart"/>
      <w:r w:rsidRPr="009C1CA7">
        <w:t>It is owned by News Corp Australia Pty Limited</w:t>
      </w:r>
      <w:proofErr w:type="gramEnd"/>
      <w:r w:rsidRPr="009C1CA7">
        <w:t>.</w:t>
      </w:r>
    </w:p>
    <w:p w:rsidR="00E915B7" w:rsidRPr="009010A3" w:rsidRDefault="00E915B7" w:rsidP="009010A3">
      <w:pPr>
        <w:pStyle w:val="Numberedparagraph"/>
        <w:keepNext/>
        <w:ind w:left="0" w:firstLine="0"/>
        <w:rPr>
          <w:i/>
        </w:rPr>
      </w:pPr>
      <w:r w:rsidRPr="009010A3">
        <w:rPr>
          <w:i/>
        </w:rPr>
        <w:t xml:space="preserve">Seven </w:t>
      </w:r>
      <w:r w:rsidR="00E070AC">
        <w:rPr>
          <w:i/>
        </w:rPr>
        <w:t xml:space="preserve">West Media </w:t>
      </w:r>
      <w:r w:rsidRPr="009010A3">
        <w:rPr>
          <w:i/>
        </w:rPr>
        <w:t xml:space="preserve">Network </w:t>
      </w:r>
      <w:r w:rsidR="00E070AC">
        <w:rPr>
          <w:i/>
        </w:rPr>
        <w:t>(Seven)</w:t>
      </w:r>
    </w:p>
    <w:p w:rsidR="00E915B7" w:rsidRDefault="00E915B7" w:rsidP="00F10777">
      <w:pPr>
        <w:pStyle w:val="Numbered"/>
      </w:pPr>
      <w:r>
        <w:t xml:space="preserve">Seven West Media Limited is an ASX-listed multi-platform media company. Seven operates three </w:t>
      </w:r>
      <w:r w:rsidR="00C46F67">
        <w:t>FTA</w:t>
      </w:r>
      <w:r>
        <w:t xml:space="preserve"> television channels in Australia (</w:t>
      </w:r>
      <w:proofErr w:type="gramStart"/>
      <w:r>
        <w:t>Seven</w:t>
      </w:r>
      <w:proofErr w:type="gramEnd"/>
      <w:r>
        <w:t xml:space="preserve">, 7TWO and 7mate). Seven also distributes content through its Yahoo!7 joint venture, including its </w:t>
      </w:r>
      <w:r w:rsidR="005C2F0F">
        <w:t xml:space="preserve">online </w:t>
      </w:r>
      <w:r>
        <w:t>catch-up service PLUS7, and has an interest in the Australian News Channel (</w:t>
      </w:r>
      <w:r w:rsidRPr="00E43938">
        <w:rPr>
          <w:b/>
        </w:rPr>
        <w:t>ANC</w:t>
      </w:r>
      <w:r>
        <w:t xml:space="preserve">), which owns and operates Sky News in Australia in addition to other channels. </w:t>
      </w:r>
      <w:r w:rsidR="003667B5">
        <w:t>As noted above, it also has an interest in Presto.</w:t>
      </w:r>
    </w:p>
    <w:p w:rsidR="00E915B7" w:rsidRPr="009010A3" w:rsidRDefault="00E915B7" w:rsidP="009010A3">
      <w:pPr>
        <w:pStyle w:val="Numberedparagraph"/>
        <w:keepNext/>
        <w:ind w:left="0" w:firstLine="0"/>
        <w:rPr>
          <w:i/>
        </w:rPr>
      </w:pPr>
      <w:r w:rsidRPr="009010A3">
        <w:rPr>
          <w:i/>
        </w:rPr>
        <w:t>Nine Network</w:t>
      </w:r>
    </w:p>
    <w:p w:rsidR="00E915B7" w:rsidRDefault="00E915B7" w:rsidP="00F10777">
      <w:pPr>
        <w:pStyle w:val="Numbered"/>
      </w:pPr>
      <w:r>
        <w:t>The Nine Network (</w:t>
      </w:r>
      <w:r w:rsidRPr="00E43938">
        <w:rPr>
          <w:b/>
        </w:rPr>
        <w:t>Nine</w:t>
      </w:r>
      <w:r>
        <w:t xml:space="preserve">), owned by the ASX-listed Nine Entertainment Co, operates three free-to-air television channels (Nine, GO! </w:t>
      </w:r>
      <w:r w:rsidR="00304038">
        <w:t>a</w:t>
      </w:r>
      <w:r>
        <w:t>nd GEM) and distributes content through its online catch-up service, 9Jumpin. Nine also owns 50% of Stan, an SVOD service.</w:t>
      </w:r>
    </w:p>
    <w:p w:rsidR="00E915B7" w:rsidRPr="009010A3" w:rsidRDefault="00E915B7" w:rsidP="009010A3">
      <w:pPr>
        <w:pStyle w:val="Numberedparagraph"/>
        <w:keepNext/>
        <w:ind w:left="0" w:firstLine="0"/>
        <w:rPr>
          <w:i/>
        </w:rPr>
      </w:pPr>
      <w:r w:rsidRPr="009010A3">
        <w:rPr>
          <w:i/>
        </w:rPr>
        <w:t>ABC</w:t>
      </w:r>
    </w:p>
    <w:p w:rsidR="00E915B7" w:rsidRDefault="00E915B7" w:rsidP="00F10777">
      <w:pPr>
        <w:pStyle w:val="Numbered"/>
      </w:pPr>
      <w:r>
        <w:t>The Australian Broadcasting Corporation is Australia’s national public broadcaster that operates several FTA channels (ABC</w:t>
      </w:r>
      <w:r w:rsidR="00134DFD">
        <w:t>1</w:t>
      </w:r>
      <w:r>
        <w:t xml:space="preserve">, ABC2, ABC3, ABC 4 Kids and ABC News 24) </w:t>
      </w:r>
      <w:proofErr w:type="gramStart"/>
      <w:r>
        <w:t>and also</w:t>
      </w:r>
      <w:proofErr w:type="gramEnd"/>
      <w:r>
        <w:t xml:space="preserve"> distributes content via its </w:t>
      </w:r>
      <w:r w:rsidR="005C2F0F">
        <w:t>online catch-up service</w:t>
      </w:r>
      <w:r>
        <w:t xml:space="preserve">, ABC iView. </w:t>
      </w:r>
    </w:p>
    <w:p w:rsidR="00E915B7" w:rsidRPr="009010A3" w:rsidRDefault="00E915B7" w:rsidP="009010A3">
      <w:pPr>
        <w:pStyle w:val="Numberedparagraph"/>
        <w:keepNext/>
        <w:ind w:left="0" w:firstLine="0"/>
        <w:rPr>
          <w:i/>
        </w:rPr>
      </w:pPr>
      <w:r w:rsidRPr="009010A3">
        <w:rPr>
          <w:i/>
        </w:rPr>
        <w:t>SBS</w:t>
      </w:r>
    </w:p>
    <w:p w:rsidR="00E915B7" w:rsidRDefault="00D35557" w:rsidP="00F10777">
      <w:pPr>
        <w:pStyle w:val="Numbered"/>
      </w:pPr>
      <w:r>
        <w:t xml:space="preserve">The </w:t>
      </w:r>
      <w:r w:rsidR="00E915B7">
        <w:t>S</w:t>
      </w:r>
      <w:r>
        <w:t xml:space="preserve">pecial Broadcasting </w:t>
      </w:r>
      <w:r w:rsidR="00E915B7">
        <w:t>S</w:t>
      </w:r>
      <w:r>
        <w:t>ervice</w:t>
      </w:r>
      <w:r w:rsidR="00E915B7">
        <w:t xml:space="preserve"> is a national public broadcaster that operates under the </w:t>
      </w:r>
      <w:r w:rsidR="00E915B7" w:rsidRPr="00E43938">
        <w:rPr>
          <w:i/>
        </w:rPr>
        <w:t>Special Broadcasting Services Act 1991</w:t>
      </w:r>
      <w:r w:rsidR="00E915B7" w:rsidRPr="00E43938">
        <w:t xml:space="preserve"> </w:t>
      </w:r>
      <w:r w:rsidR="00E915B7">
        <w:t>(</w:t>
      </w:r>
      <w:proofErr w:type="spellStart"/>
      <w:r w:rsidR="00E915B7">
        <w:t>Cth</w:t>
      </w:r>
      <w:proofErr w:type="spellEnd"/>
      <w:r w:rsidR="00E915B7">
        <w:t>)</w:t>
      </w:r>
      <w:r w:rsidR="006E4CFD">
        <w:t>. It</w:t>
      </w:r>
      <w:r w:rsidR="00E915B7">
        <w:t xml:space="preserve"> has a mandate to reflect the multicultural nature of Australian society. It operates three FTA channels (SBS </w:t>
      </w:r>
      <w:proofErr w:type="gramStart"/>
      <w:r w:rsidR="00E915B7">
        <w:t>ONE</w:t>
      </w:r>
      <w:proofErr w:type="gramEnd"/>
      <w:r w:rsidR="00E915B7">
        <w:t xml:space="preserve">, SBS TWO and NITV) and also distributes content online </w:t>
      </w:r>
      <w:r w:rsidR="002D4904">
        <w:t xml:space="preserve">through its </w:t>
      </w:r>
      <w:r w:rsidR="00E915B7">
        <w:t xml:space="preserve">website. </w:t>
      </w:r>
    </w:p>
    <w:p w:rsidR="00E915B7" w:rsidRPr="009010A3" w:rsidRDefault="00E915B7" w:rsidP="009010A3">
      <w:pPr>
        <w:pStyle w:val="Numberedparagraph"/>
        <w:keepNext/>
        <w:ind w:left="0" w:firstLine="0"/>
        <w:rPr>
          <w:i/>
        </w:rPr>
      </w:pPr>
      <w:r w:rsidRPr="009010A3">
        <w:rPr>
          <w:i/>
        </w:rPr>
        <w:t>Fetch TV</w:t>
      </w:r>
    </w:p>
    <w:p w:rsidR="00E915B7" w:rsidRDefault="00E915B7" w:rsidP="00F10777">
      <w:pPr>
        <w:pStyle w:val="Numbered"/>
      </w:pPr>
      <w:r>
        <w:t>Fetch TV is an Australian internet protocol television (</w:t>
      </w:r>
      <w:r w:rsidRPr="00E43938">
        <w:rPr>
          <w:b/>
        </w:rPr>
        <w:t>IPTV</w:t>
      </w:r>
      <w:r w:rsidRPr="00A77F72">
        <w:t>)</w:t>
      </w:r>
      <w:r>
        <w:t xml:space="preserve"> subscription</w:t>
      </w:r>
      <w:r w:rsidR="00C46F67">
        <w:t xml:space="preserve"> television</w:t>
      </w:r>
      <w:r>
        <w:t xml:space="preserve"> service that combines FTA television viewing with video recording functions, a movie-on-demand service</w:t>
      </w:r>
      <w:r w:rsidR="00D35557">
        <w:t>,</w:t>
      </w:r>
      <w:r>
        <w:t xml:space="preserve"> </w:t>
      </w:r>
      <w:r w:rsidR="00D35557">
        <w:t>and</w:t>
      </w:r>
      <w:r>
        <w:t xml:space="preserve"> other premium channels including </w:t>
      </w:r>
      <w:r>
        <w:lastRenderedPageBreak/>
        <w:t>ESPN, MTV, National Geographic, Animal Planet, BBC World News and CCTV News.</w:t>
      </w:r>
    </w:p>
    <w:p w:rsidR="00E915B7" w:rsidRPr="009010A3" w:rsidRDefault="00E915B7" w:rsidP="009010A3">
      <w:pPr>
        <w:pStyle w:val="Numberedparagraph"/>
        <w:keepNext/>
        <w:ind w:left="0" w:firstLine="0"/>
        <w:rPr>
          <w:i/>
        </w:rPr>
      </w:pPr>
      <w:r w:rsidRPr="009010A3">
        <w:rPr>
          <w:i/>
        </w:rPr>
        <w:t>Netflix</w:t>
      </w:r>
    </w:p>
    <w:p w:rsidR="00E915B7" w:rsidRDefault="00E915B7" w:rsidP="00F10777">
      <w:pPr>
        <w:pStyle w:val="Numbered"/>
      </w:pPr>
      <w:r>
        <w:t>Netflix is a</w:t>
      </w:r>
      <w:r w:rsidR="00116511">
        <w:t xml:space="preserve"> US</w:t>
      </w:r>
      <w:r>
        <w:t xml:space="preserve"> </w:t>
      </w:r>
      <w:r w:rsidR="001C72F3">
        <w:t xml:space="preserve">SVOD service </w:t>
      </w:r>
      <w:r>
        <w:t>provider</w:t>
      </w:r>
      <w:r w:rsidR="00116511">
        <w:t>.</w:t>
      </w:r>
      <w:r>
        <w:t xml:space="preserve"> </w:t>
      </w:r>
      <w:r w:rsidR="00116511">
        <w:t>It</w:t>
      </w:r>
      <w:r>
        <w:t xml:space="preserve"> has a library of </w:t>
      </w:r>
      <w:proofErr w:type="gramStart"/>
      <w:r>
        <w:t xml:space="preserve">content </w:t>
      </w:r>
      <w:r w:rsidR="001C72F3">
        <w:t>which</w:t>
      </w:r>
      <w:proofErr w:type="gramEnd"/>
      <w:r>
        <w:t xml:space="preserve"> it acquires or produces. Netflix launched in Australia in March 2015 and is currently the largest SVOD service provider.</w:t>
      </w:r>
    </w:p>
    <w:p w:rsidR="00E915B7" w:rsidRPr="009010A3" w:rsidRDefault="00E915B7" w:rsidP="009010A3">
      <w:pPr>
        <w:pStyle w:val="Numberedparagraph"/>
        <w:keepNext/>
        <w:ind w:left="0" w:firstLine="0"/>
        <w:rPr>
          <w:i/>
        </w:rPr>
      </w:pPr>
      <w:r w:rsidRPr="009010A3">
        <w:rPr>
          <w:i/>
        </w:rPr>
        <w:t xml:space="preserve">Stan </w:t>
      </w:r>
    </w:p>
    <w:p w:rsidR="00E915B7" w:rsidRDefault="00E915B7" w:rsidP="00F10777">
      <w:pPr>
        <w:pStyle w:val="Numbered"/>
      </w:pPr>
      <w:r>
        <w:t>Stan is an Australian SVOD service provider</w:t>
      </w:r>
      <w:r w:rsidR="00116511">
        <w:t>.</w:t>
      </w:r>
      <w:r>
        <w:t xml:space="preserve"> </w:t>
      </w:r>
      <w:r w:rsidR="00116511">
        <w:t>It</w:t>
      </w:r>
      <w:r>
        <w:t xml:space="preserve"> is a joint venture between Nine and Fairfax</w:t>
      </w:r>
      <w:r w:rsidR="00E070AC">
        <w:t xml:space="preserve"> Media Ltd</w:t>
      </w:r>
      <w:r>
        <w:t>. Stan launched in Australia in January 2015.</w:t>
      </w:r>
    </w:p>
    <w:p w:rsidR="00E915B7" w:rsidRPr="009010A3" w:rsidRDefault="00E915B7" w:rsidP="009010A3">
      <w:pPr>
        <w:pStyle w:val="Numberedparagraph"/>
        <w:keepNext/>
        <w:ind w:left="0" w:firstLine="0"/>
        <w:rPr>
          <w:i/>
        </w:rPr>
      </w:pPr>
      <w:r w:rsidRPr="009010A3">
        <w:rPr>
          <w:i/>
        </w:rPr>
        <w:t xml:space="preserve">Endemol Shine </w:t>
      </w:r>
    </w:p>
    <w:p w:rsidR="004257D6" w:rsidRDefault="00E915B7" w:rsidP="00F10777">
      <w:pPr>
        <w:pStyle w:val="Numbered"/>
      </w:pPr>
      <w:r>
        <w:t>Endemol Shine Group (</w:t>
      </w:r>
      <w:r w:rsidRPr="00E43938">
        <w:rPr>
          <w:b/>
        </w:rPr>
        <w:t>Endemol Shine</w:t>
      </w:r>
      <w:r>
        <w:t xml:space="preserve">), </w:t>
      </w:r>
      <w:proofErr w:type="gramStart"/>
      <w:r>
        <w:t>a 50:50 joint venture between 21</w:t>
      </w:r>
      <w:r w:rsidRPr="00E43938">
        <w:t>st</w:t>
      </w:r>
      <w:r>
        <w:t xml:space="preserve"> Century Fox and Apollo Management,</w:t>
      </w:r>
      <w:proofErr w:type="gramEnd"/>
      <w:r>
        <w:t xml:space="preserve"> is a global content creator, producer and distributor with over 600 scripted and non-scripted formats</w:t>
      </w:r>
      <w:r w:rsidRPr="00D135AA">
        <w:rPr>
          <w:sz w:val="24"/>
          <w:szCs w:val="24"/>
          <w:vertAlign w:val="superscript"/>
        </w:rPr>
        <w:footnoteReference w:id="3"/>
      </w:r>
      <w:r>
        <w:t xml:space="preserve"> a</w:t>
      </w:r>
      <w:r w:rsidRPr="00E43938">
        <w:t xml:space="preserve">cross operations spanning more than 30 </w:t>
      </w:r>
      <w:r w:rsidR="00011812" w:rsidRPr="00E43938">
        <w:t>countrie</w:t>
      </w:r>
      <w:r w:rsidRPr="00E43938">
        <w:t>s.</w:t>
      </w:r>
    </w:p>
    <w:p w:rsidR="00E915B7" w:rsidRDefault="00E915B7" w:rsidP="00F10777">
      <w:pPr>
        <w:pStyle w:val="Numbered"/>
      </w:pPr>
      <w:r>
        <w:t xml:space="preserve">Its Australian division is Endemol Shine </w:t>
      </w:r>
      <w:proofErr w:type="gramStart"/>
      <w:r>
        <w:t>Australia which</w:t>
      </w:r>
      <w:proofErr w:type="gramEnd"/>
      <w:r>
        <w:t xml:space="preserve"> is Australia’s largest television production house with formats including MasterChef, The Voice, Big Brother, The Bachelor, and The Biggest Loser. </w:t>
      </w:r>
    </w:p>
    <w:p w:rsidR="00C330FA" w:rsidRPr="00E43938" w:rsidRDefault="00C330FA" w:rsidP="00F10777">
      <w:pPr>
        <w:pStyle w:val="Numbered"/>
      </w:pPr>
      <w:r w:rsidRPr="00C330FA">
        <w:t>Rupert Murdoch and Lachlan Murdoch are Co-Chairm</w:t>
      </w:r>
      <w:r w:rsidR="00B1782C">
        <w:t>e</w:t>
      </w:r>
      <w:r w:rsidRPr="00C330FA">
        <w:t>n of 21st Century Fox and James Murdoch is Chief Executive Officer. The Murdoch Family Trust holds 38.4% of the voting B class common stock in 21st Century Fox (with Rupert Murdoch holding a further 0.7% interest).</w:t>
      </w:r>
      <w:r>
        <w:rPr>
          <w:rStyle w:val="FootnoteReference"/>
        </w:rPr>
        <w:footnoteReference w:id="4"/>
      </w:r>
      <w:r w:rsidRPr="00C330FA">
        <w:t xml:space="preserve"> </w:t>
      </w:r>
    </w:p>
    <w:p w:rsidR="00EF7B97" w:rsidRPr="00867B09" w:rsidRDefault="00EF7B97" w:rsidP="0032111C">
      <w:pPr>
        <w:pStyle w:val="Heading3"/>
      </w:pPr>
      <w:r w:rsidRPr="00867B09">
        <w:t>Industry background</w:t>
      </w:r>
    </w:p>
    <w:p w:rsidR="00AB0F04" w:rsidRPr="009010A3" w:rsidRDefault="00764495" w:rsidP="009010A3">
      <w:pPr>
        <w:pStyle w:val="Numberedparagraph"/>
        <w:keepNext/>
        <w:ind w:left="0" w:firstLine="0"/>
        <w:rPr>
          <w:i/>
        </w:rPr>
      </w:pPr>
      <w:r w:rsidRPr="009010A3">
        <w:rPr>
          <w:i/>
        </w:rPr>
        <w:t>The changi</w:t>
      </w:r>
      <w:r w:rsidR="00AB0F04" w:rsidRPr="009010A3">
        <w:rPr>
          <w:i/>
        </w:rPr>
        <w:t>ng media landscape</w:t>
      </w:r>
    </w:p>
    <w:p w:rsidR="006962C6" w:rsidRDefault="003E70D7" w:rsidP="00F10777">
      <w:pPr>
        <w:pStyle w:val="Numbered"/>
      </w:pPr>
      <w:r>
        <w:t>S</w:t>
      </w:r>
      <w:r w:rsidR="006962C6">
        <w:t xml:space="preserve">ignificant technological developments in the media industry </w:t>
      </w:r>
      <w:r>
        <w:t>have</w:t>
      </w:r>
      <w:r w:rsidR="006962C6">
        <w:t xml:space="preserve"> led to rapid changes in how audio</w:t>
      </w:r>
      <w:r>
        <w:t>-</w:t>
      </w:r>
      <w:r w:rsidR="006962C6">
        <w:t xml:space="preserve">visual content </w:t>
      </w:r>
      <w:proofErr w:type="gramStart"/>
      <w:r w:rsidR="006962C6">
        <w:t>is consumed</w:t>
      </w:r>
      <w:proofErr w:type="gramEnd"/>
      <w:r w:rsidR="006962C6">
        <w:t xml:space="preserve">. </w:t>
      </w:r>
      <w:r>
        <w:t>Greater</w:t>
      </w:r>
      <w:r w:rsidR="006962C6">
        <w:t xml:space="preserve"> </w:t>
      </w:r>
      <w:r>
        <w:t>take-up</w:t>
      </w:r>
      <w:r w:rsidR="006962C6">
        <w:t xml:space="preserve"> of broadband services in Australia has </w:t>
      </w:r>
      <w:r>
        <w:t xml:space="preserve">facilitated significant growth </w:t>
      </w:r>
      <w:proofErr w:type="gramStart"/>
      <w:r>
        <w:t>in</w:t>
      </w:r>
      <w:r w:rsidR="006962C6">
        <w:t xml:space="preserve"> the amount of audio</w:t>
      </w:r>
      <w:r>
        <w:t>-</w:t>
      </w:r>
      <w:r w:rsidR="006962C6">
        <w:t>visual</w:t>
      </w:r>
      <w:proofErr w:type="gramEnd"/>
      <w:r w:rsidR="006962C6">
        <w:t xml:space="preserve"> content consumed online on multiple devices</w:t>
      </w:r>
      <w:r w:rsidR="00CF75C1">
        <w:t>,</w:t>
      </w:r>
      <w:r w:rsidR="006962C6">
        <w:t xml:space="preserve"> including smartphones, smart TVs and tablets. </w:t>
      </w:r>
    </w:p>
    <w:p w:rsidR="006962C6" w:rsidRPr="004A524F" w:rsidRDefault="006962C6" w:rsidP="00F10777">
      <w:pPr>
        <w:pStyle w:val="Numbered"/>
      </w:pPr>
      <w:r>
        <w:t>Internet-based content delivery services allow consumers to view content when, where and how they want</w:t>
      </w:r>
      <w:r w:rsidR="00F13D9E">
        <w:t xml:space="preserve"> it</w:t>
      </w:r>
      <w:r>
        <w:t>. SVOD services such as Presto, Netflix and Stan have been successful in attracting customers and are continuing to grow their subscriber base</w:t>
      </w:r>
      <w:r w:rsidR="00011812">
        <w:t>s.</w:t>
      </w:r>
      <w:r>
        <w:t xml:space="preserve"> </w:t>
      </w:r>
      <w:r w:rsidR="00CF75C1">
        <w:t>FTA and STV providers</w:t>
      </w:r>
      <w:r>
        <w:t xml:space="preserve"> have </w:t>
      </w:r>
      <w:r w:rsidR="00976A9C">
        <w:t xml:space="preserve">recently </w:t>
      </w:r>
      <w:r>
        <w:t xml:space="preserve">changed the way they deliver services, </w:t>
      </w:r>
      <w:r w:rsidR="00CF75C1">
        <w:t xml:space="preserve">either </w:t>
      </w:r>
      <w:r>
        <w:t xml:space="preserve">increasing the amount of their content available online or </w:t>
      </w:r>
      <w:r w:rsidR="00CF75C1">
        <w:t xml:space="preserve">reducing </w:t>
      </w:r>
      <w:r>
        <w:t>the pric</w:t>
      </w:r>
      <w:r w:rsidR="00CF75C1">
        <w:t xml:space="preserve">es </w:t>
      </w:r>
      <w:r>
        <w:t>f</w:t>
      </w:r>
      <w:r w:rsidR="00CF75C1">
        <w:t>or</w:t>
      </w:r>
      <w:r>
        <w:t xml:space="preserve"> their services. For example, </w:t>
      </w:r>
      <w:proofErr w:type="gramStart"/>
      <w:r>
        <w:t>Seven</w:t>
      </w:r>
      <w:proofErr w:type="gramEnd"/>
      <w:r>
        <w:t xml:space="preserve"> recently announced that it will stream its FTA channels online and Foxtel has restructured the pricing of its channel packages, with its basic package reduced from $49 per month to $25 per month in November 2014. </w:t>
      </w:r>
    </w:p>
    <w:p w:rsidR="006962C6" w:rsidRDefault="006962C6" w:rsidP="00F10777">
      <w:pPr>
        <w:pStyle w:val="Numbered"/>
      </w:pPr>
      <w:r>
        <w:lastRenderedPageBreak/>
        <w:t>As a result of structural changes in the media industry and changes to consumers’ viewing patterns</w:t>
      </w:r>
      <w:r w:rsidR="00CF75C1">
        <w:t>,</w:t>
      </w:r>
      <w:r>
        <w:t xml:space="preserve"> traditional audio</w:t>
      </w:r>
      <w:r w:rsidR="00CF75C1">
        <w:t>-</w:t>
      </w:r>
      <w:r>
        <w:t>visual broadcasters are offering a mix of both linear and on-demand content distribution to maintain their audience</w:t>
      </w:r>
      <w:r w:rsidR="00F13D9E">
        <w:t>s</w:t>
      </w:r>
      <w:r>
        <w:t xml:space="preserve"> as consumers’ viewing patterns change. Importantly, broadcasters are increasingly </w:t>
      </w:r>
      <w:r w:rsidR="00CF75C1">
        <w:t xml:space="preserve">offering content that consumers prefer to watch live in order to maintain their audience share. This type of content, which is known as ‘appointment viewing’ </w:t>
      </w:r>
      <w:r>
        <w:t>o</w:t>
      </w:r>
      <w:r w:rsidR="00CF75C1">
        <w:t>r</w:t>
      </w:r>
      <w:r>
        <w:t xml:space="preserve"> ‘water cooler program</w:t>
      </w:r>
      <w:r w:rsidR="00CF75C1">
        <w:t>s</w:t>
      </w:r>
      <w:r>
        <w:t>’</w:t>
      </w:r>
      <w:r w:rsidR="00CF75C1">
        <w:t>,</w:t>
      </w:r>
      <w:r>
        <w:t xml:space="preserve"> </w:t>
      </w:r>
      <w:r w:rsidR="00CF75C1">
        <w:t>includes</w:t>
      </w:r>
      <w:r>
        <w:t xml:space="preserve"> live sport, Australian-produced reality TV </w:t>
      </w:r>
      <w:r w:rsidR="00CF75C1">
        <w:t xml:space="preserve">shows </w:t>
      </w:r>
      <w:r>
        <w:t>and news</w:t>
      </w:r>
      <w:r w:rsidR="00CF75C1">
        <w:t xml:space="preserve">. </w:t>
      </w:r>
    </w:p>
    <w:p w:rsidR="00C73C6D" w:rsidRPr="009010A3" w:rsidRDefault="00C73C6D" w:rsidP="009010A3">
      <w:pPr>
        <w:pStyle w:val="Numberedparagraph"/>
        <w:keepNext/>
        <w:ind w:left="0" w:firstLine="0"/>
        <w:rPr>
          <w:i/>
        </w:rPr>
      </w:pPr>
      <w:r w:rsidRPr="009010A3">
        <w:rPr>
          <w:i/>
        </w:rPr>
        <w:t>Audio</w:t>
      </w:r>
      <w:r w:rsidR="00CF75C1" w:rsidRPr="009010A3">
        <w:rPr>
          <w:i/>
        </w:rPr>
        <w:t>-</w:t>
      </w:r>
      <w:r w:rsidRPr="009010A3">
        <w:rPr>
          <w:i/>
        </w:rPr>
        <w:t xml:space="preserve">visual advertising </w:t>
      </w:r>
      <w:r w:rsidR="00B1782C">
        <w:rPr>
          <w:i/>
        </w:rPr>
        <w:t>services</w:t>
      </w:r>
      <w:r w:rsidRPr="009010A3">
        <w:rPr>
          <w:i/>
        </w:rPr>
        <w:t xml:space="preserve"> </w:t>
      </w:r>
    </w:p>
    <w:p w:rsidR="00C73C6D" w:rsidRPr="00C73C6D" w:rsidRDefault="00C73C6D" w:rsidP="00F10777">
      <w:pPr>
        <w:pStyle w:val="Numbered"/>
      </w:pPr>
      <w:r w:rsidRPr="00C73C6D">
        <w:t xml:space="preserve">Advertisers </w:t>
      </w:r>
      <w:r w:rsidR="009313E8">
        <w:t>can</w:t>
      </w:r>
      <w:r w:rsidRPr="00C73C6D">
        <w:t xml:space="preserve"> advertise their products </w:t>
      </w:r>
      <w:r w:rsidR="00CF75C1">
        <w:t>on</w:t>
      </w:r>
      <w:r w:rsidR="00CF75C1" w:rsidRPr="00C73C6D">
        <w:t xml:space="preserve"> </w:t>
      </w:r>
      <w:r w:rsidRPr="00C73C6D">
        <w:t xml:space="preserve">a number of </w:t>
      </w:r>
      <w:r w:rsidR="00CF75C1">
        <w:t>platforms,</w:t>
      </w:r>
      <w:r w:rsidR="00CF75C1" w:rsidRPr="00C73C6D">
        <w:t xml:space="preserve"> </w:t>
      </w:r>
      <w:r w:rsidRPr="00C73C6D">
        <w:t>including television, online, radio and print.</w:t>
      </w:r>
      <w:r w:rsidR="005D5BD5">
        <w:t xml:space="preserve"> Advertisers typically seek to advertise across a range of platforms in order to maximise their reach</w:t>
      </w:r>
      <w:r w:rsidR="009313E8">
        <w:t xml:space="preserve"> as well as to target specific demographic characteristics</w:t>
      </w:r>
      <w:r w:rsidR="005D5BD5">
        <w:t>.</w:t>
      </w:r>
    </w:p>
    <w:p w:rsidR="00C73C6D" w:rsidRPr="00C73C6D" w:rsidRDefault="00E80088" w:rsidP="00F10777">
      <w:pPr>
        <w:pStyle w:val="Numbered"/>
      </w:pPr>
      <w:r>
        <w:t>For some categories of advertising, t</w:t>
      </w:r>
      <w:r w:rsidR="00C73C6D" w:rsidRPr="00C73C6D">
        <w:t xml:space="preserve">elevision is an important medium for advertisers because it combines visual imagery, sound and movement, and it has the ability to reach large </w:t>
      </w:r>
      <w:r w:rsidR="00CF75C1">
        <w:t>audiences</w:t>
      </w:r>
      <w:r w:rsidR="00C73C6D" w:rsidRPr="00C73C6D">
        <w:t>.</w:t>
      </w:r>
    </w:p>
    <w:p w:rsidR="00C73C6D" w:rsidRDefault="00796FEC" w:rsidP="00F10777">
      <w:pPr>
        <w:pStyle w:val="Numbered"/>
      </w:pPr>
      <w:r>
        <w:t xml:space="preserve">Media buyers (or media agencies) </w:t>
      </w:r>
      <w:proofErr w:type="gramStart"/>
      <w:r>
        <w:t>are often engaged</w:t>
      </w:r>
      <w:proofErr w:type="gramEnd"/>
      <w:r>
        <w:t xml:space="preserve"> by advertisers to negotiate the terms on which advertising is purchased from the various media providers</w:t>
      </w:r>
      <w:r w:rsidR="003C4500">
        <w:t xml:space="preserve"> and broadcasters</w:t>
      </w:r>
      <w:r>
        <w:t>.</w:t>
      </w:r>
      <w:r w:rsidR="003C4500">
        <w:t xml:space="preserve"> </w:t>
      </w:r>
    </w:p>
    <w:p w:rsidR="009A2D51" w:rsidRPr="009A2D51" w:rsidRDefault="009A2D51" w:rsidP="009A2D51">
      <w:pPr>
        <w:pStyle w:val="Heading3"/>
      </w:pPr>
      <w:r w:rsidRPr="009A2D51">
        <w:t>The proposed acquisitions of minority shareholdings</w:t>
      </w:r>
    </w:p>
    <w:p w:rsidR="009A2D51" w:rsidRPr="009A2D51" w:rsidRDefault="009A2D51" w:rsidP="00F10777">
      <w:pPr>
        <w:pStyle w:val="Numbered"/>
      </w:pPr>
      <w:r w:rsidRPr="009A2D51">
        <w:t>The proposed acquisitions by Foxtel and Ten comprise:</w:t>
      </w:r>
    </w:p>
    <w:p w:rsidR="009A2D51" w:rsidRPr="009A2D51" w:rsidRDefault="009A2D51" w:rsidP="00DE3AD7">
      <w:pPr>
        <w:pStyle w:val="Numbered"/>
        <w:numPr>
          <w:ilvl w:val="0"/>
          <w:numId w:val="11"/>
        </w:numPr>
        <w:rPr>
          <w:lang w:val="en-US"/>
        </w:rPr>
      </w:pPr>
      <w:r w:rsidRPr="009A2D51">
        <w:rPr>
          <w:lang w:val="en-US"/>
        </w:rPr>
        <w:t>an investment by Foxtel of $77 million in Ten as part of a broader equity raising, which will result in Foxtel acquiring up to 15% of the issued share capital of Ten</w:t>
      </w:r>
    </w:p>
    <w:p w:rsidR="009A2D51" w:rsidRPr="009A2D51" w:rsidRDefault="009A2D51" w:rsidP="00DE3AD7">
      <w:pPr>
        <w:pStyle w:val="Numbered"/>
        <w:numPr>
          <w:ilvl w:val="0"/>
          <w:numId w:val="11"/>
        </w:numPr>
        <w:rPr>
          <w:lang w:val="en-US"/>
        </w:rPr>
      </w:pPr>
      <w:r w:rsidRPr="009A2D51">
        <w:rPr>
          <w:lang w:val="en-US"/>
        </w:rPr>
        <w:t>the acquisition by Ten of a 24.99% stake in MCN</w:t>
      </w:r>
    </w:p>
    <w:p w:rsidR="009A2D51" w:rsidRPr="009A2D51" w:rsidRDefault="009A2D51" w:rsidP="00DE3AD7">
      <w:pPr>
        <w:pStyle w:val="Numbered"/>
        <w:numPr>
          <w:ilvl w:val="0"/>
          <w:numId w:val="11"/>
        </w:numPr>
        <w:rPr>
          <w:lang w:val="en-US"/>
        </w:rPr>
      </w:pPr>
      <w:proofErr w:type="gramStart"/>
      <w:r w:rsidRPr="009A2D51">
        <w:rPr>
          <w:lang w:val="en-US"/>
        </w:rPr>
        <w:t>an</w:t>
      </w:r>
      <w:proofErr w:type="gramEnd"/>
      <w:r w:rsidRPr="009A2D51">
        <w:rPr>
          <w:lang w:val="en-US"/>
        </w:rPr>
        <w:t xml:space="preserve"> option being granted to Ten by Presto for two years to acquire a 10% shareholding in Presto</w:t>
      </w:r>
      <w:r w:rsidR="00AC1C9B">
        <w:rPr>
          <w:lang w:val="en-US"/>
        </w:rPr>
        <w:t>.</w:t>
      </w:r>
    </w:p>
    <w:p w:rsidR="009A2D51" w:rsidRPr="009A2D51" w:rsidRDefault="009A2D51" w:rsidP="00F10777">
      <w:pPr>
        <w:pStyle w:val="Numbered"/>
      </w:pPr>
      <w:r w:rsidRPr="009A2D51">
        <w:t xml:space="preserve">The three separate but related proposed acquisitions </w:t>
      </w:r>
      <w:proofErr w:type="gramStart"/>
      <w:r w:rsidRPr="009A2D51">
        <w:t>will be considered</w:t>
      </w:r>
      <w:proofErr w:type="gramEnd"/>
      <w:r w:rsidRPr="009A2D51">
        <w:t xml:space="preserve"> within this Statement of Issues.</w:t>
      </w:r>
    </w:p>
    <w:p w:rsidR="009A2D51" w:rsidRPr="009A2D51" w:rsidRDefault="009A2D51" w:rsidP="00F10777">
      <w:pPr>
        <w:pStyle w:val="Numbered"/>
      </w:pPr>
      <w:r w:rsidRPr="009A2D51">
        <w:t>The proposed acquisitions are subject to ACCC approval.</w:t>
      </w:r>
    </w:p>
    <w:p w:rsidR="009A2D51" w:rsidRPr="009A2D51" w:rsidRDefault="009A2D51" w:rsidP="00F10777">
      <w:pPr>
        <w:pStyle w:val="Numbered"/>
      </w:pPr>
      <w:r w:rsidRPr="009A2D51">
        <w:t xml:space="preserve">Ten has also entered into other arrangements with MCN and Presto. In particular, Ten has appointed MCN as sales representative of Ten’s television and digital advertising inventory from 1 September 2015 and Ten proposes to provide selected programming content and some advertising to Presto in the period prior to any exercise by Ten of the option to acquire an interest in Presto. These arrangements are not subject to section 50, but may be subject to other provisions of Part IV of the Act.  </w:t>
      </w:r>
      <w:r w:rsidR="003667B5">
        <w:t>They also</w:t>
      </w:r>
      <w:r w:rsidRPr="009A2D51">
        <w:t xml:space="preserve"> form part of the competitive landscape in which the ACCC is assessing the proposed acquisitions. </w:t>
      </w:r>
    </w:p>
    <w:p w:rsidR="009A2D51" w:rsidRPr="009A2D51" w:rsidRDefault="009A2D51" w:rsidP="00F10777">
      <w:pPr>
        <w:pStyle w:val="Numbered"/>
      </w:pPr>
      <w:r w:rsidRPr="009A2D51">
        <w:t xml:space="preserve">Given the proposed acquisitions involve minority shareholdings, the ACCC is considering the extent to which these shareholdings (on their own or together </w:t>
      </w:r>
      <w:r w:rsidRPr="009A2D51">
        <w:lastRenderedPageBreak/>
        <w:t xml:space="preserve">with any aligned interests) </w:t>
      </w:r>
      <w:r w:rsidR="00EE482F">
        <w:t xml:space="preserve">result in an alignment of </w:t>
      </w:r>
      <w:r w:rsidRPr="009A2D51">
        <w:t>incentive</w:t>
      </w:r>
      <w:r w:rsidR="00EE482F">
        <w:t>s</w:t>
      </w:r>
      <w:r w:rsidRPr="009A2D51">
        <w:t xml:space="preserve"> </w:t>
      </w:r>
      <w:r w:rsidR="00EE482F">
        <w:t>between Foxtel, Ten, MCN, and Presto.</w:t>
      </w:r>
    </w:p>
    <w:p w:rsidR="009A2D51" w:rsidRPr="009A2D51" w:rsidRDefault="009A2D51" w:rsidP="00F10777">
      <w:pPr>
        <w:pStyle w:val="Numbered"/>
      </w:pPr>
      <w:r w:rsidRPr="009A2D51">
        <w:t>With respect to Foxtel’s proposed acquisition, the ACCC consider</w:t>
      </w:r>
      <w:r w:rsidR="006D02E7">
        <w:t>s</w:t>
      </w:r>
      <w:r w:rsidRPr="009A2D51">
        <w:t xml:space="preserve"> </w:t>
      </w:r>
      <w:r w:rsidR="006D02E7">
        <w:t>that</w:t>
      </w:r>
      <w:r w:rsidRPr="009A2D51">
        <w:t xml:space="preserve"> </w:t>
      </w:r>
      <w:r w:rsidR="006D02E7">
        <w:t>Foxtel’s</w:t>
      </w:r>
      <w:r w:rsidRPr="009A2D51">
        <w:t xml:space="preserve"> </w:t>
      </w:r>
      <w:r w:rsidR="00F5039E">
        <w:t xml:space="preserve">proposed </w:t>
      </w:r>
      <w:r w:rsidRPr="009A2D51">
        <w:t xml:space="preserve">15% </w:t>
      </w:r>
      <w:r w:rsidR="006D02E7">
        <w:t xml:space="preserve">minority </w:t>
      </w:r>
      <w:r w:rsidRPr="009A2D51">
        <w:t xml:space="preserve">shareholding in Ten </w:t>
      </w:r>
      <w:r w:rsidR="006D02E7">
        <w:t>needs to be considered in the context of the following</w:t>
      </w:r>
      <w:r w:rsidRPr="009A2D51">
        <w:t>:</w:t>
      </w:r>
    </w:p>
    <w:p w:rsidR="009A2D51" w:rsidRPr="009A2D51" w:rsidRDefault="009A2D51" w:rsidP="00DE3AD7">
      <w:pPr>
        <w:pStyle w:val="Numbered"/>
        <w:numPr>
          <w:ilvl w:val="0"/>
          <w:numId w:val="12"/>
        </w:numPr>
        <w:ind w:left="993"/>
      </w:pPr>
      <w:r w:rsidRPr="009A2D51">
        <w:t xml:space="preserve">the proposed changes to the Ten board, including a Foxtel nominee director, the reduction in the size of the board from eight directors to six, the proposed composition of the board with two independent directors (one as chair) and representatives from three other major shareholders, and other confidential information provided by the parties in relation to governance and related arrangements </w:t>
      </w:r>
    </w:p>
    <w:p w:rsidR="009A2D51" w:rsidRPr="009A2D51" w:rsidRDefault="009A2D51" w:rsidP="00DE3AD7">
      <w:pPr>
        <w:pStyle w:val="Numbered"/>
        <w:numPr>
          <w:ilvl w:val="0"/>
          <w:numId w:val="12"/>
        </w:numPr>
        <w:ind w:left="993"/>
      </w:pPr>
      <w:r w:rsidRPr="009A2D51">
        <w:t xml:space="preserve">the relationships or links between the parties and the other major shareholders in Ten and the extent to which the interests of any other major shareholder of Ten may align with those of Foxtel and Ten in specific circumstances (where, for example, a decision may be commercially advantageous to each of Ten, Foxtel and that other shareholder). To the </w:t>
      </w:r>
      <w:proofErr w:type="gramStart"/>
      <w:r w:rsidRPr="009A2D51">
        <w:t>extent</w:t>
      </w:r>
      <w:proofErr w:type="gramEnd"/>
      <w:r w:rsidRPr="009A2D51">
        <w:t xml:space="preserve"> those circumstances exist, this may impact on the ability of Foxtel to influence Ten</w:t>
      </w:r>
      <w:r w:rsidR="00B1782C">
        <w:t xml:space="preserve"> or simply for Foxtel and Ten to act in a manner that is in their mutual interests</w:t>
      </w:r>
      <w:r w:rsidR="00E432AE">
        <w:t>.</w:t>
      </w:r>
      <w:r w:rsidRPr="009A2D51">
        <w:t xml:space="preserve"> </w:t>
      </w:r>
      <w:r w:rsidR="004F486A">
        <w:t>In particular, the ACCC is considering:</w:t>
      </w:r>
    </w:p>
    <w:p w:rsidR="009A2D51" w:rsidRPr="009A2D51" w:rsidRDefault="00935D9D" w:rsidP="00DE3AD7">
      <w:pPr>
        <w:pStyle w:val="Numbered"/>
        <w:numPr>
          <w:ilvl w:val="1"/>
          <w:numId w:val="12"/>
        </w:numPr>
      </w:pPr>
      <w:r>
        <w:t>the extent to which</w:t>
      </w:r>
      <w:r w:rsidRPr="009A2D51">
        <w:t xml:space="preserve"> </w:t>
      </w:r>
      <w:r w:rsidR="009A2D51" w:rsidRPr="009A2D51">
        <w:t>the interests of Lachlan Murdoch, who has a</w:t>
      </w:r>
      <w:r w:rsidR="00D909E2">
        <w:t>n</w:t>
      </w:r>
      <w:r w:rsidR="009A2D51" w:rsidRPr="009A2D51">
        <w:t xml:space="preserve"> 8.52% interest in Ten (through Illyria) and is also Executive Co-Chairman of News Corp (and</w:t>
      </w:r>
      <w:r w:rsidR="004F486A">
        <w:t xml:space="preserve"> may have</w:t>
      </w:r>
      <w:r w:rsidR="009A2D51" w:rsidRPr="009A2D51">
        <w:t xml:space="preserve"> interests in News Corp</w:t>
      </w:r>
      <w:r w:rsidR="004F486A">
        <w:t xml:space="preserve"> through the Murdoch Family Trust</w:t>
      </w:r>
      <w:r w:rsidR="009A2D51" w:rsidRPr="009A2D51">
        <w:t>)</w:t>
      </w:r>
      <w:r w:rsidR="004F486A">
        <w:t>,</w:t>
      </w:r>
      <w:r w:rsidR="009A2D51" w:rsidRPr="009A2D51">
        <w:t xml:space="preserve"> may align with those of Foxtel in light of News Corp’s 50% interest in Foxtel and 100% interest in Fox Sports </w:t>
      </w:r>
    </w:p>
    <w:p w:rsidR="002B6FEA" w:rsidRDefault="004F486A" w:rsidP="00DE3AD7">
      <w:pPr>
        <w:pStyle w:val="Numbered"/>
        <w:numPr>
          <w:ilvl w:val="1"/>
          <w:numId w:val="12"/>
        </w:numPr>
      </w:pPr>
      <w:r>
        <w:t>the fact that</w:t>
      </w:r>
      <w:r w:rsidR="009A2D51" w:rsidRPr="009A2D51">
        <w:t xml:space="preserve"> Mr Murdoch was previously interim Chief Executive Officer of Ten, Chairman of Ten and a member of the Ten board, and has significant experience and reputation in the media industry</w:t>
      </w:r>
    </w:p>
    <w:p w:rsidR="00B75C10" w:rsidRDefault="002B6FEA" w:rsidP="00DE3AD7">
      <w:pPr>
        <w:pStyle w:val="Numbered"/>
        <w:numPr>
          <w:ilvl w:val="1"/>
          <w:numId w:val="12"/>
        </w:numPr>
      </w:pPr>
      <w:r>
        <w:t>the fact that</w:t>
      </w:r>
      <w:r w:rsidRPr="009A2D51">
        <w:t xml:space="preserve">, in the period 23 November 2010 to 26 March 2014, Mr Murdoch (through </w:t>
      </w:r>
      <w:proofErr w:type="spellStart"/>
      <w:r w:rsidRPr="009A2D51">
        <w:t>IIIyria</w:t>
      </w:r>
      <w:proofErr w:type="spellEnd"/>
      <w:r w:rsidRPr="009A2D51">
        <w:t>) had an agreement with another substantial shareholder controlled by Mr Packer in relation to acting in concert when exercising votes attached to their respective shareholdings</w:t>
      </w:r>
      <w:r>
        <w:t xml:space="preserve"> in Ten</w:t>
      </w:r>
      <w:r w:rsidRPr="009A2D51">
        <w:t xml:space="preserve">. Mr Packer remains a major shareholder of Ten through </w:t>
      </w:r>
      <w:proofErr w:type="spellStart"/>
      <w:r w:rsidRPr="009A2D51">
        <w:t>Aidem</w:t>
      </w:r>
      <w:proofErr w:type="spellEnd"/>
      <w:r w:rsidRPr="009A2D51">
        <w:t xml:space="preserve"> Holdings Pty Limited</w:t>
      </w:r>
      <w:r w:rsidR="00784DD9">
        <w:t xml:space="preserve"> </w:t>
      </w:r>
    </w:p>
    <w:p w:rsidR="00784DD9" w:rsidRPr="009A2D51" w:rsidRDefault="00784DD9" w:rsidP="00DE3AD7">
      <w:pPr>
        <w:pStyle w:val="Numbered"/>
        <w:numPr>
          <w:ilvl w:val="1"/>
          <w:numId w:val="12"/>
        </w:numPr>
      </w:pPr>
      <w:proofErr w:type="gramStart"/>
      <w:r>
        <w:t>whether</w:t>
      </w:r>
      <w:proofErr w:type="gramEnd"/>
      <w:r>
        <w:t>, if the interests of Foxtel and Mr Murdoch are aligned, this would be in effect the largest shareholding block in Ten.</w:t>
      </w:r>
    </w:p>
    <w:p w:rsidR="009A2D51" w:rsidRPr="009A2D51" w:rsidRDefault="009A2D51" w:rsidP="00DE3AD7">
      <w:pPr>
        <w:pStyle w:val="Numbered"/>
        <w:numPr>
          <w:ilvl w:val="0"/>
          <w:numId w:val="12"/>
        </w:numPr>
        <w:ind w:left="993"/>
      </w:pPr>
      <w:proofErr w:type="gramStart"/>
      <w:r w:rsidRPr="009A2D51">
        <w:t>the</w:t>
      </w:r>
      <w:proofErr w:type="gramEnd"/>
      <w:r w:rsidRPr="009A2D51">
        <w:t xml:space="preserve"> potential significance and importance of the Foxtel investment in Ten, the relationship between Ten and MCN (controlled by Foxtel), and the 10% option in Presto in relation to Ten’s future operations and strategic direction.</w:t>
      </w:r>
    </w:p>
    <w:p w:rsidR="009A2D51" w:rsidRPr="009A2D51" w:rsidRDefault="009A2D51" w:rsidP="00F10777">
      <w:pPr>
        <w:pStyle w:val="Numbered"/>
      </w:pPr>
      <w:r w:rsidRPr="009A2D51">
        <w:t xml:space="preserve">The ACCC acknowledges that directors on the </w:t>
      </w:r>
      <w:proofErr w:type="gramStart"/>
      <w:r w:rsidRPr="009A2D51">
        <w:t>Ten</w:t>
      </w:r>
      <w:proofErr w:type="gramEnd"/>
      <w:r w:rsidRPr="009A2D51">
        <w:t xml:space="preserve"> board are required to act in the best interests of Ten in accordance with their statutory and fiduciary duties and with any board protocols in place.  However there may be circumstances in which nominee directors can act both in the best interests of Ten and of their respective companies when making decisions. </w:t>
      </w:r>
    </w:p>
    <w:p w:rsidR="009A2D51" w:rsidRPr="009A2D51" w:rsidRDefault="009A2D51" w:rsidP="00F10777">
      <w:pPr>
        <w:pStyle w:val="Numbered"/>
      </w:pPr>
      <w:r w:rsidRPr="009A2D51">
        <w:lastRenderedPageBreak/>
        <w:t>The ACCC also acknowledges that major shareholders without any links or relationships to the parties, assuming they have board representation, may serve as a disruptive influence on any influence exerted by Foxtel over Ten.</w:t>
      </w:r>
    </w:p>
    <w:p w:rsidR="009A2D51" w:rsidRPr="009A2D51" w:rsidRDefault="009A2D51" w:rsidP="00F10777">
      <w:pPr>
        <w:pStyle w:val="Numbered"/>
      </w:pPr>
      <w:r w:rsidRPr="009A2D51">
        <w:t xml:space="preserve">The ACCC is considering similar issues with respect to Ten’s minority acquisition in MCN and the proposed option for </w:t>
      </w:r>
      <w:proofErr w:type="gramStart"/>
      <w:r w:rsidRPr="009A2D51">
        <w:t>Ten</w:t>
      </w:r>
      <w:proofErr w:type="gramEnd"/>
      <w:r w:rsidRPr="009A2D51">
        <w:t xml:space="preserve"> to acquire 10% of Presto. </w:t>
      </w:r>
    </w:p>
    <w:p w:rsidR="00E47E9A" w:rsidRPr="00867B09" w:rsidRDefault="00E47E9A" w:rsidP="00BA5450">
      <w:pPr>
        <w:pStyle w:val="Heading3"/>
      </w:pPr>
      <w:r w:rsidRPr="00867B09">
        <w:t>Future with and without the acquisition</w:t>
      </w:r>
      <w:r w:rsidR="00C1438C">
        <w:t>s</w:t>
      </w:r>
      <w:r w:rsidRPr="00867B09">
        <w:t xml:space="preserve"> </w:t>
      </w:r>
    </w:p>
    <w:p w:rsidR="00796FEC" w:rsidRDefault="00E47E9A" w:rsidP="00F10777">
      <w:pPr>
        <w:pStyle w:val="Numbered"/>
      </w:pPr>
      <w:r w:rsidRPr="00867B09">
        <w:t xml:space="preserve">Section 50 of the Act prohibits mergers or acquisitions that would have the effect or be likely to have the effect of substantially lessening competition in a market. </w:t>
      </w:r>
    </w:p>
    <w:p w:rsidR="00E47E9A" w:rsidRPr="00867B09" w:rsidRDefault="00E47E9A" w:rsidP="00F10777">
      <w:pPr>
        <w:pStyle w:val="Numbered"/>
      </w:pPr>
      <w:proofErr w:type="gramStart"/>
      <w:r w:rsidRPr="00867B09">
        <w:t>In assessing a proposed acquisition pursuant to section 50 of the Act, the ACCC considers the effects of the acquisition by comparing the likely future competitive environment post-acquisition if the acquisition proceeds (the “with” position) to the likely future competitive environment if the acquisition does not proceed (the “without” position) to determine whether the proposed acquisition is likely to substantially lessen competition in any relevant market.</w:t>
      </w:r>
      <w:proofErr w:type="gramEnd"/>
    </w:p>
    <w:p w:rsidR="00D21BE6" w:rsidRDefault="008D40C5" w:rsidP="00F10777">
      <w:pPr>
        <w:pStyle w:val="Numbered"/>
      </w:pPr>
      <w:r w:rsidRPr="00867B09">
        <w:t>The ACCC’s preliminary view is that the likely competition eff</w:t>
      </w:r>
      <w:r w:rsidR="00764495" w:rsidRPr="00867B09">
        <w:t>ects of the proposed acquisition</w:t>
      </w:r>
      <w:r w:rsidR="00F52D5B">
        <w:t>s</w:t>
      </w:r>
      <w:r w:rsidR="00764495" w:rsidRPr="00867B09">
        <w:t xml:space="preserve"> </w:t>
      </w:r>
      <w:r w:rsidRPr="00867B09">
        <w:t xml:space="preserve">are </w:t>
      </w:r>
      <w:r w:rsidR="00764495" w:rsidRPr="00867B09">
        <w:t>mos</w:t>
      </w:r>
      <w:r w:rsidRPr="00867B09">
        <w:t xml:space="preserve">t appropriately assessed against a future </w:t>
      </w:r>
      <w:r w:rsidR="001C583A">
        <w:t xml:space="preserve">without the acquisitions </w:t>
      </w:r>
      <w:r w:rsidRPr="00867B09">
        <w:t xml:space="preserve">in which </w:t>
      </w:r>
      <w:r w:rsidR="00764495" w:rsidRPr="00867B09">
        <w:t>Ten</w:t>
      </w:r>
      <w:r w:rsidR="00C1438C">
        <w:t xml:space="preserve">, MCN and </w:t>
      </w:r>
      <w:proofErr w:type="gramStart"/>
      <w:r w:rsidR="00C1438C">
        <w:t>Presto</w:t>
      </w:r>
      <w:proofErr w:type="gramEnd"/>
      <w:r w:rsidR="00764495" w:rsidRPr="00867B09">
        <w:t xml:space="preserve"> continue</w:t>
      </w:r>
      <w:r w:rsidR="001C583A">
        <w:t xml:space="preserve"> </w:t>
      </w:r>
      <w:r w:rsidR="00C1438C">
        <w:t xml:space="preserve">their </w:t>
      </w:r>
      <w:r w:rsidR="001C583A">
        <w:t>current operations</w:t>
      </w:r>
      <w:r w:rsidR="00764495" w:rsidRPr="00867B09">
        <w:t xml:space="preserve"> </w:t>
      </w:r>
      <w:r w:rsidR="001C583A">
        <w:t xml:space="preserve">under </w:t>
      </w:r>
      <w:r w:rsidR="00C1438C">
        <w:t xml:space="preserve">their </w:t>
      </w:r>
      <w:r w:rsidR="001C583A">
        <w:t xml:space="preserve">current ownership </w:t>
      </w:r>
      <w:r w:rsidRPr="00867B09">
        <w:t>(the status quo).</w:t>
      </w:r>
      <w:r w:rsidR="00887006" w:rsidRPr="00867B09">
        <w:t xml:space="preserve"> </w:t>
      </w:r>
    </w:p>
    <w:p w:rsidR="00EF7B97" w:rsidRPr="00867B09" w:rsidRDefault="00EF7B97" w:rsidP="00EF7B97">
      <w:pPr>
        <w:pStyle w:val="Heading3"/>
      </w:pPr>
      <w:r w:rsidRPr="00867B09">
        <w:t xml:space="preserve">Market </w:t>
      </w:r>
      <w:r w:rsidR="00745151" w:rsidRPr="00867B09">
        <w:t>d</w:t>
      </w:r>
      <w:r w:rsidRPr="00867B09">
        <w:t>efinition</w:t>
      </w:r>
    </w:p>
    <w:p w:rsidR="00D76A22" w:rsidRDefault="003D5639" w:rsidP="00F10777">
      <w:pPr>
        <w:pStyle w:val="Numbered"/>
      </w:pPr>
      <w:bookmarkStart w:id="2" w:name="_Ref421033950"/>
      <w:r>
        <w:t>The ACCC assesses the competitive effects of proposed acquisition</w:t>
      </w:r>
      <w:r w:rsidR="004257D6">
        <w:t>s</w:t>
      </w:r>
      <w:r>
        <w:t xml:space="preserve"> in relevant markets. The starting point for defining relevant markets involves identifying the products actually or potentially supplied by the merger parties. The ACCC then considers what other products constitute sufficiently close substitutes to provide a significant source of constraint on the merged entity.</w:t>
      </w:r>
    </w:p>
    <w:p w:rsidR="00E915B7" w:rsidRPr="00EC6883" w:rsidRDefault="002305AA" w:rsidP="00F10777">
      <w:pPr>
        <w:pStyle w:val="Numbered"/>
      </w:pPr>
      <w:r>
        <w:t>The</w:t>
      </w:r>
      <w:r w:rsidR="00E915B7" w:rsidRPr="00EC6883">
        <w:t xml:space="preserve"> ACCC’s preliminary view is that the following markets are relevant </w:t>
      </w:r>
      <w:r>
        <w:t>to its review of</w:t>
      </w:r>
      <w:r w:rsidR="00E915B7" w:rsidRPr="00EC6883">
        <w:t xml:space="preserve"> the proposed acquisition</w:t>
      </w:r>
      <w:r w:rsidR="00BF1194">
        <w:t>s</w:t>
      </w:r>
      <w:r w:rsidR="00E915B7" w:rsidRPr="00EC6883">
        <w:t>:</w:t>
      </w:r>
      <w:bookmarkEnd w:id="2"/>
    </w:p>
    <w:p w:rsidR="00E915B7" w:rsidRPr="00191C34" w:rsidRDefault="00134DFD" w:rsidP="00DE3AD7">
      <w:pPr>
        <w:pStyle w:val="ListParagraph"/>
        <w:numPr>
          <w:ilvl w:val="0"/>
          <w:numId w:val="4"/>
        </w:numPr>
        <w:tabs>
          <w:tab w:val="clear" w:pos="993"/>
          <w:tab w:val="left" w:pos="340"/>
        </w:tabs>
        <w:spacing w:after="0" w:line="240" w:lineRule="auto"/>
        <w:contextualSpacing w:val="0"/>
        <w:rPr>
          <w:rFonts w:cs="Arial"/>
        </w:rPr>
      </w:pPr>
      <w:r>
        <w:rPr>
          <w:rFonts w:cs="Arial"/>
        </w:rPr>
        <w:t xml:space="preserve">the </w:t>
      </w:r>
      <w:r w:rsidR="002305AA">
        <w:rPr>
          <w:rFonts w:cs="Arial"/>
        </w:rPr>
        <w:t>national market for the</w:t>
      </w:r>
      <w:r w:rsidR="00E915B7" w:rsidRPr="00191C34">
        <w:rPr>
          <w:rFonts w:cs="Arial"/>
        </w:rPr>
        <w:t xml:space="preserve"> supply of </w:t>
      </w:r>
      <w:r w:rsidR="002305AA">
        <w:rPr>
          <w:rFonts w:cs="Arial"/>
        </w:rPr>
        <w:t>FTA television</w:t>
      </w:r>
      <w:r w:rsidR="00E915B7" w:rsidRPr="00191C34">
        <w:rPr>
          <w:rFonts w:cs="Arial"/>
        </w:rPr>
        <w:t xml:space="preserve"> services </w:t>
      </w:r>
    </w:p>
    <w:p w:rsidR="00E915B7" w:rsidRDefault="002305AA" w:rsidP="00DE3AD7">
      <w:pPr>
        <w:pStyle w:val="ListParagraph"/>
        <w:numPr>
          <w:ilvl w:val="0"/>
          <w:numId w:val="4"/>
        </w:numPr>
        <w:tabs>
          <w:tab w:val="clear" w:pos="993"/>
          <w:tab w:val="left" w:pos="340"/>
        </w:tabs>
        <w:spacing w:after="0" w:line="240" w:lineRule="auto"/>
        <w:contextualSpacing w:val="0"/>
        <w:rPr>
          <w:rFonts w:cs="Arial"/>
        </w:rPr>
      </w:pPr>
      <w:r>
        <w:rPr>
          <w:rFonts w:cs="Arial"/>
        </w:rPr>
        <w:t>the national market for the</w:t>
      </w:r>
      <w:r w:rsidRPr="00191C34">
        <w:rPr>
          <w:rFonts w:cs="Arial"/>
        </w:rPr>
        <w:t xml:space="preserve"> supply of</w:t>
      </w:r>
      <w:r>
        <w:rPr>
          <w:rFonts w:cs="Arial"/>
        </w:rPr>
        <w:t xml:space="preserve"> STV</w:t>
      </w:r>
      <w:r w:rsidRPr="00191C34">
        <w:rPr>
          <w:rFonts w:cs="Arial"/>
        </w:rPr>
        <w:t xml:space="preserve"> </w:t>
      </w:r>
      <w:r w:rsidR="00E915B7" w:rsidRPr="00191C34">
        <w:rPr>
          <w:rFonts w:cs="Arial"/>
        </w:rPr>
        <w:t>services</w:t>
      </w:r>
    </w:p>
    <w:p w:rsidR="00134DFD" w:rsidRDefault="00134DFD" w:rsidP="00DE3AD7">
      <w:pPr>
        <w:pStyle w:val="ListParagraph"/>
        <w:numPr>
          <w:ilvl w:val="0"/>
          <w:numId w:val="4"/>
        </w:numPr>
        <w:tabs>
          <w:tab w:val="clear" w:pos="993"/>
          <w:tab w:val="left" w:pos="340"/>
        </w:tabs>
        <w:spacing w:after="0" w:line="240" w:lineRule="auto"/>
        <w:contextualSpacing w:val="0"/>
        <w:rPr>
          <w:rFonts w:cs="Arial"/>
        </w:rPr>
      </w:pPr>
      <w:r>
        <w:rPr>
          <w:rFonts w:cs="Arial"/>
        </w:rPr>
        <w:t xml:space="preserve">a broader market for the supply of television viewing services encompassing </w:t>
      </w:r>
      <w:r w:rsidR="00B1782C">
        <w:rPr>
          <w:rFonts w:cs="Arial"/>
        </w:rPr>
        <w:t xml:space="preserve">(at least) </w:t>
      </w:r>
      <w:r>
        <w:rPr>
          <w:rFonts w:cs="Arial"/>
        </w:rPr>
        <w:t>both FTA and STV services</w:t>
      </w:r>
    </w:p>
    <w:p w:rsidR="009A48C4" w:rsidRDefault="009A48C4" w:rsidP="00DE3AD7">
      <w:pPr>
        <w:pStyle w:val="ListParagraph"/>
        <w:numPr>
          <w:ilvl w:val="0"/>
          <w:numId w:val="4"/>
        </w:numPr>
        <w:tabs>
          <w:tab w:val="clear" w:pos="993"/>
          <w:tab w:val="left" w:pos="340"/>
        </w:tabs>
        <w:spacing w:after="0" w:line="240" w:lineRule="auto"/>
        <w:contextualSpacing w:val="0"/>
        <w:rPr>
          <w:rFonts w:cs="Arial"/>
        </w:rPr>
      </w:pPr>
      <w:r>
        <w:rPr>
          <w:rFonts w:cs="Arial"/>
        </w:rPr>
        <w:t>the national market for the</w:t>
      </w:r>
      <w:r w:rsidRPr="00191C34">
        <w:rPr>
          <w:rFonts w:cs="Arial"/>
        </w:rPr>
        <w:t xml:space="preserve"> supply of</w:t>
      </w:r>
      <w:r>
        <w:rPr>
          <w:rFonts w:cs="Arial"/>
        </w:rPr>
        <w:t xml:space="preserve"> SVOD services</w:t>
      </w:r>
    </w:p>
    <w:p w:rsidR="00E915B7" w:rsidRPr="00191C34" w:rsidRDefault="002305AA" w:rsidP="00DE3AD7">
      <w:pPr>
        <w:pStyle w:val="ListParagraph"/>
        <w:numPr>
          <w:ilvl w:val="0"/>
          <w:numId w:val="4"/>
        </w:numPr>
        <w:tabs>
          <w:tab w:val="clear" w:pos="993"/>
          <w:tab w:val="left" w:pos="340"/>
        </w:tabs>
        <w:spacing w:after="0" w:line="240" w:lineRule="auto"/>
        <w:contextualSpacing w:val="0"/>
        <w:rPr>
          <w:rFonts w:cs="Arial"/>
        </w:rPr>
      </w:pPr>
      <w:r>
        <w:rPr>
          <w:rFonts w:cs="Arial"/>
        </w:rPr>
        <w:t>the national market</w:t>
      </w:r>
      <w:r w:rsidR="00D909E2">
        <w:rPr>
          <w:rFonts w:cs="Arial"/>
        </w:rPr>
        <w:t>(s)</w:t>
      </w:r>
      <w:r>
        <w:rPr>
          <w:rFonts w:cs="Arial"/>
        </w:rPr>
        <w:t xml:space="preserve"> for the</w:t>
      </w:r>
      <w:r w:rsidR="00E915B7" w:rsidRPr="00191C34">
        <w:rPr>
          <w:rFonts w:cs="Arial"/>
        </w:rPr>
        <w:t xml:space="preserve"> acquisition of </w:t>
      </w:r>
      <w:r w:rsidR="001F7F04">
        <w:rPr>
          <w:rFonts w:cs="Arial"/>
        </w:rPr>
        <w:t>television</w:t>
      </w:r>
      <w:r w:rsidR="00E915B7">
        <w:rPr>
          <w:rFonts w:cs="Arial"/>
        </w:rPr>
        <w:t xml:space="preserve"> content (including possible markets, or sub-markets</w:t>
      </w:r>
      <w:r>
        <w:rPr>
          <w:rFonts w:cs="Arial"/>
        </w:rPr>
        <w:t>,</w:t>
      </w:r>
      <w:r w:rsidR="00E915B7">
        <w:rPr>
          <w:rFonts w:cs="Arial"/>
        </w:rPr>
        <w:t xml:space="preserve"> for the acquisition of sports </w:t>
      </w:r>
      <w:r w:rsidR="00E915B7" w:rsidRPr="00191C34">
        <w:rPr>
          <w:rFonts w:cs="Arial"/>
        </w:rPr>
        <w:t>content</w:t>
      </w:r>
      <w:r w:rsidR="00E915B7">
        <w:rPr>
          <w:rFonts w:cs="Arial"/>
        </w:rPr>
        <w:t xml:space="preserve"> and </w:t>
      </w:r>
      <w:r w:rsidR="00BF1194">
        <w:rPr>
          <w:rFonts w:cs="Arial"/>
        </w:rPr>
        <w:t xml:space="preserve">premium Australian original </w:t>
      </w:r>
      <w:r w:rsidR="00E915B7">
        <w:rPr>
          <w:rFonts w:cs="Arial"/>
        </w:rPr>
        <w:t>content)</w:t>
      </w:r>
      <w:r w:rsidR="00E915B7" w:rsidRPr="00191C34">
        <w:rPr>
          <w:rFonts w:cs="Arial"/>
        </w:rPr>
        <w:t xml:space="preserve"> </w:t>
      </w:r>
    </w:p>
    <w:p w:rsidR="008C7E8E" w:rsidRPr="009438A4" w:rsidRDefault="00E915B7" w:rsidP="00DE3AD7">
      <w:pPr>
        <w:pStyle w:val="ListParagraph"/>
        <w:numPr>
          <w:ilvl w:val="0"/>
          <w:numId w:val="4"/>
        </w:numPr>
        <w:tabs>
          <w:tab w:val="clear" w:pos="993"/>
          <w:tab w:val="left" w:pos="340"/>
        </w:tabs>
        <w:spacing w:after="240" w:line="240" w:lineRule="auto"/>
        <w:contextualSpacing w:val="0"/>
        <w:rPr>
          <w:rFonts w:cs="Arial"/>
        </w:rPr>
      </w:pPr>
      <w:proofErr w:type="gramStart"/>
      <w:r w:rsidRPr="00191C34">
        <w:rPr>
          <w:rFonts w:cs="Arial"/>
        </w:rPr>
        <w:t>the</w:t>
      </w:r>
      <w:proofErr w:type="gramEnd"/>
      <w:r w:rsidR="002305AA">
        <w:rPr>
          <w:rFonts w:cs="Arial"/>
        </w:rPr>
        <w:t xml:space="preserve"> national market for the</w:t>
      </w:r>
      <w:r w:rsidRPr="00191C34">
        <w:rPr>
          <w:rFonts w:cs="Arial"/>
        </w:rPr>
        <w:t xml:space="preserve"> supply of </w:t>
      </w:r>
      <w:r>
        <w:rPr>
          <w:rFonts w:cs="Arial"/>
        </w:rPr>
        <w:t xml:space="preserve">television </w:t>
      </w:r>
      <w:r w:rsidRPr="00191C34">
        <w:rPr>
          <w:rFonts w:cs="Arial"/>
        </w:rPr>
        <w:t>advertis</w:t>
      </w:r>
      <w:r w:rsidR="002305AA">
        <w:rPr>
          <w:rFonts w:cs="Arial"/>
        </w:rPr>
        <w:t xml:space="preserve">ing </w:t>
      </w:r>
      <w:r w:rsidR="00B1782C">
        <w:rPr>
          <w:rFonts w:cs="Arial"/>
        </w:rPr>
        <w:t>services</w:t>
      </w:r>
      <w:r w:rsidR="002305AA" w:rsidRPr="00C51ED6">
        <w:rPr>
          <w:rFonts w:cs="Arial"/>
        </w:rPr>
        <w:t>.</w:t>
      </w:r>
    </w:p>
    <w:p w:rsidR="00EA143F" w:rsidRDefault="00D14207" w:rsidP="00F10777">
      <w:pPr>
        <w:pStyle w:val="Numbered"/>
      </w:pPr>
      <w:r>
        <w:t xml:space="preserve">The ACCC recognises that convergence within the media industry is increasing the substitutability of services provided over different platforms, including FTA, STV and SVOD. </w:t>
      </w:r>
      <w:r w:rsidR="003230FD">
        <w:t xml:space="preserve">While the take-up of SVOD services is currently low as a percentage of the Australian population, take-up has grown very rapidly since new SVOD providers entered the Australian market this year. </w:t>
      </w:r>
    </w:p>
    <w:p w:rsidR="00EA143F" w:rsidRDefault="00D14207" w:rsidP="00F10777">
      <w:pPr>
        <w:pStyle w:val="Numbered"/>
      </w:pPr>
      <w:r>
        <w:lastRenderedPageBreak/>
        <w:t>The ACCC</w:t>
      </w:r>
      <w:r w:rsidR="00134DFD">
        <w:t xml:space="preserve"> note</w:t>
      </w:r>
      <w:r>
        <w:t>s that differences in pricing models</w:t>
      </w:r>
      <w:r w:rsidR="002D4904">
        <w:rPr>
          <w:rStyle w:val="FootnoteReference"/>
        </w:rPr>
        <w:footnoteReference w:id="5"/>
      </w:r>
      <w:r>
        <w:t>, the type of content delivered on different platforms, and the equipment</w:t>
      </w:r>
      <w:r w:rsidR="00EA143F">
        <w:t>,</w:t>
      </w:r>
      <w:r>
        <w:t xml:space="preserve"> devices</w:t>
      </w:r>
      <w:r w:rsidR="00EA143F">
        <w:t xml:space="preserve"> and complementary services</w:t>
      </w:r>
      <w:r>
        <w:t xml:space="preserve"> needed to view content on different platforms are likely to limit the degree of substitutability of FTA, STV and SVOD services for many viewers (and potential viewers). For example, while SVOD services may</w:t>
      </w:r>
      <w:r w:rsidR="00EA143F">
        <w:t xml:space="preserve"> </w:t>
      </w:r>
      <w:r>
        <w:t xml:space="preserve">provide </w:t>
      </w:r>
      <w:r w:rsidR="00EA143F">
        <w:t xml:space="preserve">some </w:t>
      </w:r>
      <w:r>
        <w:t xml:space="preserve">content (such as TV programs and movies) </w:t>
      </w:r>
      <w:r w:rsidR="00EA143F">
        <w:t>comparable to that</w:t>
      </w:r>
      <w:r>
        <w:t xml:space="preserve"> available on FTA and STV channels, </w:t>
      </w:r>
      <w:r w:rsidR="00EA143F">
        <w:t xml:space="preserve">the ability of many consumers to effectively stream this content is currently </w:t>
      </w:r>
      <w:r w:rsidR="00AF22D3">
        <w:t xml:space="preserve">restricted by the limited </w:t>
      </w:r>
      <w:r w:rsidR="00EA143F">
        <w:t>availability of a sufficiently fast</w:t>
      </w:r>
      <w:r w:rsidR="00B1782C">
        <w:t xml:space="preserve"> and stable</w:t>
      </w:r>
      <w:r w:rsidR="00EA143F">
        <w:t xml:space="preserve"> internet connection (which reduces the quality of the viewing experience). </w:t>
      </w:r>
    </w:p>
    <w:p w:rsidR="00B062C8" w:rsidRDefault="00EA143F" w:rsidP="00F10777">
      <w:pPr>
        <w:pStyle w:val="Numbered"/>
      </w:pPr>
      <w:r>
        <w:t xml:space="preserve">In addition, substitutability between platforms differs for particular types of content. </w:t>
      </w:r>
      <w:r w:rsidR="00134DFD">
        <w:t>Of particular relevance to the proposed acquisition</w:t>
      </w:r>
      <w:r>
        <w:t xml:space="preserve">, there is greater substitutability between FTA and STV services for sports content than between either of these services and SVOD services because very limited amounts of sports content </w:t>
      </w:r>
      <w:proofErr w:type="gramStart"/>
      <w:r>
        <w:t>are currently offered</w:t>
      </w:r>
      <w:proofErr w:type="gramEnd"/>
      <w:r>
        <w:t xml:space="preserve"> by SVOD providers</w:t>
      </w:r>
      <w:r w:rsidR="009B164F">
        <w:t>.</w:t>
      </w:r>
    </w:p>
    <w:p w:rsidR="00134DFD" w:rsidRDefault="001F7F04" w:rsidP="00F10777">
      <w:pPr>
        <w:pStyle w:val="Numbered"/>
      </w:pPr>
      <w:r>
        <w:t>T</w:t>
      </w:r>
      <w:r w:rsidR="00134DFD">
        <w:t xml:space="preserve">he ACCC’s preliminary view is that a </w:t>
      </w:r>
      <w:r w:rsidR="006D02E7">
        <w:t>broader</w:t>
      </w:r>
      <w:r w:rsidR="00134DFD">
        <w:t xml:space="preserve"> </w:t>
      </w:r>
      <w:r>
        <w:t xml:space="preserve">market for television services that encompasses </w:t>
      </w:r>
      <w:r w:rsidR="00B1782C">
        <w:t xml:space="preserve">(at least) </w:t>
      </w:r>
      <w:r>
        <w:t xml:space="preserve">both FTA and STV services is relevant to its review. </w:t>
      </w:r>
      <w:r w:rsidR="00FE21E0">
        <w:t>While FTA services are each other’s closest substitutes and have been defined as a separate market, the ACCC</w:t>
      </w:r>
      <w:r w:rsidR="002D4904">
        <w:t>’s preliminary view is</w:t>
      </w:r>
      <w:r w:rsidR="00FE21E0">
        <w:t xml:space="preserve"> that STV is likely </w:t>
      </w:r>
      <w:r w:rsidR="00DE2150">
        <w:t xml:space="preserve">to be </w:t>
      </w:r>
      <w:r w:rsidR="00FE21E0">
        <w:t xml:space="preserve">the next closest substitute and hence it </w:t>
      </w:r>
      <w:proofErr w:type="gramStart"/>
      <w:r w:rsidR="00FE21E0">
        <w:t>is also</w:t>
      </w:r>
      <w:proofErr w:type="gramEnd"/>
      <w:r w:rsidR="00FE21E0">
        <w:t xml:space="preserve"> relevant to define a broader market.  </w:t>
      </w:r>
      <w:proofErr w:type="gramStart"/>
      <w:r>
        <w:t xml:space="preserve">The ACCC does not consider that it is necessary to reach a view on whether the broader market includes SVOD services, given </w:t>
      </w:r>
      <w:r w:rsidR="00266A48">
        <w:t>t</w:t>
      </w:r>
      <w:r w:rsidR="00266A48" w:rsidRPr="00B7101B">
        <w:t xml:space="preserve">hese services are currently </w:t>
      </w:r>
      <w:r w:rsidR="00266A48">
        <w:t>unlikely</w:t>
      </w:r>
      <w:r w:rsidR="00266A48" w:rsidRPr="00B7101B">
        <w:t xml:space="preserve"> to </w:t>
      </w:r>
      <w:r w:rsidR="00266A48">
        <w:t>be a close substitute for</w:t>
      </w:r>
      <w:r w:rsidR="00266A48" w:rsidRPr="00B7101B">
        <w:t xml:space="preserve"> FTA and STV </w:t>
      </w:r>
      <w:r w:rsidR="00266A48">
        <w:t>services for</w:t>
      </w:r>
      <w:r w:rsidR="00266A48" w:rsidRPr="00B7101B">
        <w:t xml:space="preserve"> </w:t>
      </w:r>
      <w:r w:rsidR="00266A48">
        <w:t>viewers</w:t>
      </w:r>
      <w:r w:rsidR="00266A48" w:rsidRPr="00B7101B">
        <w:t xml:space="preserve"> of sport content</w:t>
      </w:r>
      <w:r w:rsidR="00266A48">
        <w:t xml:space="preserve"> and premium reality television shows (which comprised the top ten most popular types of content on </w:t>
      </w:r>
      <w:r w:rsidR="00266A48" w:rsidRPr="00B7101B">
        <w:t xml:space="preserve">FTA and STV </w:t>
      </w:r>
      <w:r w:rsidR="00266A48">
        <w:t xml:space="preserve">television in 2014, according to </w:t>
      </w:r>
      <w:proofErr w:type="spellStart"/>
      <w:r w:rsidR="00266A48">
        <w:t>OzTAM</w:t>
      </w:r>
      <w:proofErr w:type="spellEnd"/>
      <w:r w:rsidR="00266A48">
        <w:t xml:space="preserve"> figures)</w:t>
      </w:r>
      <w:r>
        <w:t>.</w:t>
      </w:r>
      <w:proofErr w:type="gramEnd"/>
    </w:p>
    <w:p w:rsidR="005930AC" w:rsidRDefault="00E915B7" w:rsidP="00F10777">
      <w:pPr>
        <w:pStyle w:val="Numbered"/>
      </w:pPr>
      <w:r w:rsidRPr="009D3C10">
        <w:t xml:space="preserve">The ACCC invites comments from market participants on its </w:t>
      </w:r>
      <w:r w:rsidR="002305AA">
        <w:t>preliminary view of the relevant markets</w:t>
      </w:r>
      <w:r w:rsidR="00B5303F">
        <w:t>.</w:t>
      </w:r>
    </w:p>
    <w:p w:rsidR="00CD63AB" w:rsidRPr="00867B09" w:rsidRDefault="00CD63AB" w:rsidP="00CD63AB">
      <w:pPr>
        <w:pStyle w:val="Heading3"/>
      </w:pPr>
      <w:r w:rsidRPr="00867B09">
        <w:t>Market inquiries</w:t>
      </w:r>
    </w:p>
    <w:p w:rsidR="00CD63AB" w:rsidRDefault="00CD63AB" w:rsidP="00F10777">
      <w:pPr>
        <w:pStyle w:val="Numbered"/>
      </w:pPr>
      <w:r w:rsidRPr="00867B09">
        <w:t xml:space="preserve">On 3 July </w:t>
      </w:r>
      <w:proofErr w:type="gramStart"/>
      <w:r w:rsidRPr="00867B09">
        <w:t>2015</w:t>
      </w:r>
      <w:proofErr w:type="gramEnd"/>
      <w:r w:rsidRPr="00867B09">
        <w:t xml:space="preserve"> the ACCC commenced market inquiries regarding the proposed acquisitions. </w:t>
      </w:r>
      <w:proofErr w:type="gramStart"/>
      <w:r w:rsidRPr="00867B09">
        <w:t xml:space="preserve">A </w:t>
      </w:r>
      <w:r>
        <w:t xml:space="preserve">wide </w:t>
      </w:r>
      <w:r w:rsidRPr="00867B09">
        <w:t xml:space="preserve">range of interested parties </w:t>
      </w:r>
      <w:r>
        <w:t>have</w:t>
      </w:r>
      <w:proofErr w:type="gramEnd"/>
      <w:r>
        <w:t xml:space="preserve"> </w:t>
      </w:r>
      <w:r w:rsidRPr="00867B09">
        <w:t>provided responses.</w:t>
      </w:r>
    </w:p>
    <w:p w:rsidR="007E6692" w:rsidRDefault="00CD63AB" w:rsidP="00F10777">
      <w:pPr>
        <w:pStyle w:val="Numbered"/>
      </w:pPr>
      <w:r>
        <w:t xml:space="preserve">Market inquiries have indicated a diversity of views about the proposed acquisitions. </w:t>
      </w:r>
      <w:r w:rsidR="00D0320E">
        <w:t>S</w:t>
      </w:r>
      <w:r w:rsidRPr="00AE166E">
        <w:t>ome market participants</w:t>
      </w:r>
      <w:r w:rsidR="006F4482">
        <w:t xml:space="preserve"> </w:t>
      </w:r>
      <w:r w:rsidR="006F4482" w:rsidRPr="006F4482">
        <w:t xml:space="preserve">have expressed the view </w:t>
      </w:r>
      <w:r w:rsidRPr="00AE166E">
        <w:t>that Ten’s ability to compete in the relevant markets may be strengthened by</w:t>
      </w:r>
      <w:r w:rsidR="00D0320E">
        <w:t xml:space="preserve"> the capital injection arising from</w:t>
      </w:r>
      <w:r w:rsidRPr="00AE166E">
        <w:t xml:space="preserve"> Foxtel’s investment </w:t>
      </w:r>
      <w:r>
        <w:t>in Ten</w:t>
      </w:r>
      <w:r w:rsidRPr="00AE166E">
        <w:t xml:space="preserve">. </w:t>
      </w:r>
    </w:p>
    <w:p w:rsidR="00CD63AB" w:rsidRDefault="00D0320E" w:rsidP="00F10777">
      <w:pPr>
        <w:pStyle w:val="Numbered"/>
      </w:pPr>
      <w:r w:rsidRPr="00AE166E">
        <w:t xml:space="preserve">Ten has </w:t>
      </w:r>
      <w:r>
        <w:t xml:space="preserve">ranked </w:t>
      </w:r>
      <w:r w:rsidRPr="00AE166E">
        <w:t xml:space="preserve">third in terms of ratings after </w:t>
      </w:r>
      <w:proofErr w:type="gramStart"/>
      <w:r w:rsidRPr="00AE166E">
        <w:t>Nine</w:t>
      </w:r>
      <w:proofErr w:type="gramEnd"/>
      <w:r w:rsidRPr="00AE166E">
        <w:t xml:space="preserve"> and Seven</w:t>
      </w:r>
      <w:r>
        <w:t xml:space="preserve"> for much of its history. </w:t>
      </w:r>
      <w:r w:rsidRPr="00AE166E">
        <w:t>Over the last three years,</w:t>
      </w:r>
      <w:r>
        <w:t xml:space="preserve"> however</w:t>
      </w:r>
      <w:r w:rsidRPr="00AE166E">
        <w:t xml:space="preserve">, </w:t>
      </w:r>
      <w:proofErr w:type="gramStart"/>
      <w:r>
        <w:t>Ten</w:t>
      </w:r>
      <w:proofErr w:type="gramEnd"/>
      <w:r>
        <w:t xml:space="preserve"> experienced a further decline in its ratings and </w:t>
      </w:r>
      <w:r w:rsidR="00CD63AB" w:rsidRPr="00AE166E">
        <w:t>its share of FTA advertising revenues ha</w:t>
      </w:r>
      <w:r w:rsidR="007E6692">
        <w:t>d</w:t>
      </w:r>
      <w:r w:rsidR="00CD63AB" w:rsidRPr="00AE166E">
        <w:t xml:space="preserve"> declined relative to Seven and Nine. While Ten’s audience share has improved recently, its share of FTA advertising revenues remains significantly below that of Seven and Nine and is less than its share of audiences (that is, Ten’s ‘power ratio’, which </w:t>
      </w:r>
      <w:r w:rsidR="00CD63AB" w:rsidRPr="00AE166E">
        <w:lastRenderedPageBreak/>
        <w:t>measures the ratio of advertising revenue share to audience share, is</w:t>
      </w:r>
      <w:r w:rsidR="00771551">
        <w:t xml:space="preserve"> historically low</w:t>
      </w:r>
      <w:r w:rsidR="00CD63AB" w:rsidRPr="00AE166E">
        <w:t xml:space="preserve">). Ten’s financial performance has also declined </w:t>
      </w:r>
      <w:r w:rsidR="00F5039E">
        <w:t xml:space="preserve">in </w:t>
      </w:r>
      <w:r w:rsidR="00CD63AB" w:rsidRPr="00AE166E">
        <w:t>recent years, as discussed in Ten’s half-year financial results released in April 2015.</w:t>
      </w:r>
    </w:p>
    <w:p w:rsidR="00CD63AB" w:rsidRPr="00867B09" w:rsidRDefault="00C965DD" w:rsidP="00F10777">
      <w:pPr>
        <w:pStyle w:val="Numbered"/>
      </w:pPr>
      <w:r w:rsidRPr="00C965DD">
        <w:t>To assist it in reaching a final decision, the ACCC is seeking further evidence and submissions from market participants in relation to whether or not the proposed acquisitions may lead to a substantial lessening of competition in the relevant markets.</w:t>
      </w:r>
      <w:r w:rsidR="00CD63AB">
        <w:t xml:space="preserve"> </w:t>
      </w:r>
    </w:p>
    <w:p w:rsidR="00FB30A0" w:rsidRPr="00867B09" w:rsidRDefault="00E079A6" w:rsidP="004D425B">
      <w:pPr>
        <w:pStyle w:val="Heading3"/>
      </w:pPr>
      <w:r w:rsidRPr="00E079A6">
        <w:t>Issues that may raise concerns:</w:t>
      </w:r>
    </w:p>
    <w:p w:rsidR="0007076B" w:rsidRDefault="0007076B" w:rsidP="00794C03">
      <w:pPr>
        <w:pStyle w:val="Heading6"/>
        <w:keepNext/>
        <w:spacing w:after="240"/>
        <w:rPr>
          <w:rFonts w:ascii="Arial" w:hAnsi="Arial" w:cs="Arial"/>
        </w:rPr>
      </w:pPr>
      <w:r>
        <w:rPr>
          <w:rFonts w:ascii="Arial" w:hAnsi="Arial" w:cs="Arial"/>
        </w:rPr>
        <w:t>Markets for the acquisition of television content</w:t>
      </w:r>
    </w:p>
    <w:p w:rsidR="0007076B" w:rsidRPr="00867B09" w:rsidRDefault="0007076B" w:rsidP="00F10777">
      <w:pPr>
        <w:pStyle w:val="Numbered"/>
      </w:pPr>
      <w:r>
        <w:t>The effect of the proposed acquisitions in aligning the interests of</w:t>
      </w:r>
      <w:r w:rsidRPr="00867B09">
        <w:t xml:space="preserve"> Ten</w:t>
      </w:r>
      <w:r>
        <w:t xml:space="preserve"> and </w:t>
      </w:r>
      <w:r w:rsidRPr="00867B09">
        <w:t>Foxtel</w:t>
      </w:r>
      <w:r>
        <w:t xml:space="preserve"> may be to</w:t>
      </w:r>
      <w:r w:rsidRPr="00C81866">
        <w:t xml:space="preserve"> limit the ability of </w:t>
      </w:r>
      <w:r w:rsidR="009A48C4">
        <w:t>other</w:t>
      </w:r>
      <w:r w:rsidRPr="00C81866">
        <w:t xml:space="preserve"> FTA providers to compete</w:t>
      </w:r>
      <w:r w:rsidRPr="00867B09">
        <w:t>:</w:t>
      </w:r>
    </w:p>
    <w:p w:rsidR="0007076B" w:rsidRPr="00E43938" w:rsidRDefault="0007076B" w:rsidP="00DE3AD7">
      <w:pPr>
        <w:pStyle w:val="ListParagraph"/>
        <w:numPr>
          <w:ilvl w:val="0"/>
          <w:numId w:val="4"/>
        </w:numPr>
        <w:tabs>
          <w:tab w:val="clear" w:pos="993"/>
          <w:tab w:val="left" w:pos="340"/>
        </w:tabs>
        <w:spacing w:after="0" w:line="240" w:lineRule="auto"/>
        <w:contextualSpacing w:val="0"/>
        <w:rPr>
          <w:rFonts w:cs="Arial"/>
        </w:rPr>
      </w:pPr>
      <w:r w:rsidRPr="00E43938">
        <w:rPr>
          <w:rFonts w:cs="Arial"/>
        </w:rPr>
        <w:t xml:space="preserve">for the acquisition of sports content </w:t>
      </w:r>
    </w:p>
    <w:p w:rsidR="0007076B" w:rsidRPr="0007076B" w:rsidRDefault="0007076B" w:rsidP="00DE3AD7">
      <w:pPr>
        <w:pStyle w:val="ListParagraph"/>
        <w:numPr>
          <w:ilvl w:val="0"/>
          <w:numId w:val="4"/>
        </w:numPr>
        <w:tabs>
          <w:tab w:val="clear" w:pos="993"/>
          <w:tab w:val="left" w:pos="340"/>
        </w:tabs>
        <w:spacing w:after="240" w:line="240" w:lineRule="auto"/>
        <w:contextualSpacing w:val="0"/>
        <w:rPr>
          <w:rFonts w:cs="Arial"/>
        </w:rPr>
      </w:pPr>
      <w:proofErr w:type="gramStart"/>
      <w:r w:rsidRPr="0007076B">
        <w:rPr>
          <w:rFonts w:cs="Arial"/>
        </w:rPr>
        <w:t>for</w:t>
      </w:r>
      <w:proofErr w:type="gramEnd"/>
      <w:r w:rsidRPr="0007076B">
        <w:rPr>
          <w:rFonts w:cs="Arial"/>
        </w:rPr>
        <w:t xml:space="preserve"> the acquisition of non-sport content, including premium Australian original content.</w:t>
      </w:r>
    </w:p>
    <w:p w:rsidR="0007076B" w:rsidRPr="00867B09" w:rsidRDefault="0007076B" w:rsidP="00F10777">
      <w:pPr>
        <w:pStyle w:val="Numbered"/>
      </w:pPr>
      <w:r>
        <w:t xml:space="preserve">Each of these concerns </w:t>
      </w:r>
      <w:proofErr w:type="gramStart"/>
      <w:r>
        <w:t>is discussed</w:t>
      </w:r>
      <w:proofErr w:type="gramEnd"/>
      <w:r>
        <w:t xml:space="preserve"> below.</w:t>
      </w:r>
    </w:p>
    <w:p w:rsidR="009438A4" w:rsidRPr="00794C03" w:rsidRDefault="009438A4" w:rsidP="00794C03">
      <w:pPr>
        <w:pStyle w:val="Numberedparagraph"/>
        <w:keepNext/>
        <w:ind w:left="0" w:firstLine="0"/>
        <w:rPr>
          <w:i/>
        </w:rPr>
      </w:pPr>
      <w:r w:rsidRPr="00794C03">
        <w:rPr>
          <w:i/>
        </w:rPr>
        <w:t>The acquisition of sports content</w:t>
      </w:r>
    </w:p>
    <w:p w:rsidR="008C08A1" w:rsidRDefault="009438A4" w:rsidP="00F10777">
      <w:pPr>
        <w:pStyle w:val="Numbered"/>
      </w:pPr>
      <w:proofErr w:type="gramStart"/>
      <w:r>
        <w:t>The ACCC is concerned</w:t>
      </w:r>
      <w:r w:rsidRPr="00867B09">
        <w:t xml:space="preserve"> that the proposed acquisitions </w:t>
      </w:r>
      <w:r w:rsidR="00CD63AB">
        <w:t>may</w:t>
      </w:r>
      <w:r>
        <w:t xml:space="preserve"> raise competition concerns </w:t>
      </w:r>
      <w:r w:rsidR="00CC0020">
        <w:t>in relation to</w:t>
      </w:r>
      <w:r>
        <w:t xml:space="preserve"> the </w:t>
      </w:r>
      <w:r w:rsidR="0007076B">
        <w:t>acquisition of sports content</w:t>
      </w:r>
      <w:r w:rsidRPr="00867B09">
        <w:t xml:space="preserve"> by </w:t>
      </w:r>
      <w:r w:rsidR="008C08A1">
        <w:t xml:space="preserve">aligning the incentives that Foxtel, Fox Sports and </w:t>
      </w:r>
      <w:r>
        <w:t xml:space="preserve">Ten </w:t>
      </w:r>
      <w:r w:rsidR="008C08A1">
        <w:t xml:space="preserve">have to </w:t>
      </w:r>
      <w:r w:rsidR="00ED52CE">
        <w:t xml:space="preserve">enter </w:t>
      </w:r>
      <w:r w:rsidR="00A31270">
        <w:t>into joint bids and other commercial arrangements</w:t>
      </w:r>
      <w:r w:rsidR="008C08A1">
        <w:t xml:space="preserve"> </w:t>
      </w:r>
      <w:r w:rsidR="00E501CF">
        <w:t xml:space="preserve">for </w:t>
      </w:r>
      <w:r w:rsidR="008C08A1">
        <w:t xml:space="preserve">the </w:t>
      </w:r>
      <w:r w:rsidR="00E501CF">
        <w:t>acquisition of sports rights</w:t>
      </w:r>
      <w:r w:rsidR="008C08A1">
        <w:t xml:space="preserve"> in a manner that reduces the ability of</w:t>
      </w:r>
      <w:r w:rsidR="00095BDB">
        <w:t xml:space="preserve"> the other FTA networks</w:t>
      </w:r>
      <w:r w:rsidR="008C08A1">
        <w:t xml:space="preserve"> to compete for those rights</w:t>
      </w:r>
      <w:r>
        <w:t>.</w:t>
      </w:r>
      <w:proofErr w:type="gramEnd"/>
      <w:r>
        <w:t xml:space="preserve"> </w:t>
      </w:r>
      <w:r w:rsidR="00BA595F" w:rsidRPr="00BA595F">
        <w:t xml:space="preserve">Fox Sports and Foxtel </w:t>
      </w:r>
      <w:r w:rsidR="00BA595F">
        <w:t xml:space="preserve">may decide </w:t>
      </w:r>
      <w:r w:rsidR="00BA595F" w:rsidRPr="00BA595F">
        <w:t xml:space="preserve">to </w:t>
      </w:r>
      <w:r w:rsidR="00B1782C">
        <w:t>favour</w:t>
      </w:r>
      <w:r w:rsidR="00BA595F" w:rsidRPr="00BA595F">
        <w:t xml:space="preserve"> </w:t>
      </w:r>
      <w:proofErr w:type="gramStart"/>
      <w:r w:rsidR="00BA595F" w:rsidRPr="00BA595F">
        <w:t>partner</w:t>
      </w:r>
      <w:r w:rsidR="00B1782C">
        <w:t>ing</w:t>
      </w:r>
      <w:proofErr w:type="gramEnd"/>
      <w:r w:rsidR="00B1782C">
        <w:t xml:space="preserve"> </w:t>
      </w:r>
      <w:r w:rsidR="00BA595F" w:rsidRPr="00BA595F">
        <w:t>with Ten</w:t>
      </w:r>
      <w:r w:rsidR="00B1782C">
        <w:t xml:space="preserve"> </w:t>
      </w:r>
      <w:r w:rsidR="00BA595F" w:rsidRPr="00BA595F">
        <w:t>in bidding for the acquisition of sports content</w:t>
      </w:r>
      <w:r w:rsidR="00BA595F">
        <w:t>.</w:t>
      </w:r>
    </w:p>
    <w:p w:rsidR="00BA595F" w:rsidRDefault="00E501CF" w:rsidP="00F10777">
      <w:pPr>
        <w:pStyle w:val="Numbered"/>
      </w:pPr>
      <w:r>
        <w:t xml:space="preserve">Being able to come to such arrangements with Fox Sports or Foxtel would enhance Ten’s ability to acquire the </w:t>
      </w:r>
      <w:r w:rsidR="00D90053">
        <w:t xml:space="preserve">FTA </w:t>
      </w:r>
      <w:r>
        <w:t xml:space="preserve">rights to sports content, especially premium sports content, </w:t>
      </w:r>
      <w:r w:rsidR="00D90053">
        <w:t xml:space="preserve">leading to improved ratings and a greater ability to attract advertising revenue. Ten would therefore have a strong incentive to enter into such arrangements with </w:t>
      </w:r>
      <w:r w:rsidR="00D90053" w:rsidRPr="00D90053">
        <w:t>Fox Sports or Foxtel</w:t>
      </w:r>
      <w:r w:rsidR="00D90053">
        <w:t>.</w:t>
      </w:r>
    </w:p>
    <w:p w:rsidR="00773116" w:rsidRDefault="00773116" w:rsidP="00F10777">
      <w:pPr>
        <w:pStyle w:val="Numbered"/>
      </w:pPr>
      <w:r w:rsidRPr="00773116">
        <w:t xml:space="preserve">Foxtel’s acquisition of an interest in </w:t>
      </w:r>
      <w:proofErr w:type="gramStart"/>
      <w:r w:rsidRPr="00773116">
        <w:t>Ten</w:t>
      </w:r>
      <w:proofErr w:type="gramEnd"/>
      <w:r w:rsidRPr="00773116">
        <w:t xml:space="preserve"> would, by giving Ten a substantial capital injection, augment and support Ten’s ability to bid for premium sports (and other) content and improve its ratings and advertising revenues.</w:t>
      </w:r>
    </w:p>
    <w:p w:rsidR="00D72B20" w:rsidRDefault="00D72B20" w:rsidP="00F10777">
      <w:pPr>
        <w:pStyle w:val="Numbered"/>
      </w:pPr>
      <w:r w:rsidRPr="00BA595F">
        <w:t xml:space="preserve">The </w:t>
      </w:r>
      <w:r w:rsidR="00EE482F">
        <w:t xml:space="preserve">ACCC is considering whether the </w:t>
      </w:r>
      <w:r w:rsidRPr="00BA595F">
        <w:t>proposed acquisitions</w:t>
      </w:r>
      <w:r>
        <w:t xml:space="preserve"> </w:t>
      </w:r>
      <w:r w:rsidR="00EE482F">
        <w:t xml:space="preserve">will </w:t>
      </w:r>
      <w:r>
        <w:t>enhance the alignment of incentives between Foxtel, Fox Sports and Ten</w:t>
      </w:r>
      <w:r w:rsidRPr="00BA595F">
        <w:t xml:space="preserve"> </w:t>
      </w:r>
      <w:r>
        <w:t xml:space="preserve">and </w:t>
      </w:r>
      <w:r w:rsidRPr="00BA595F">
        <w:t xml:space="preserve">may give Fox Sports and Foxtel an incentive to </w:t>
      </w:r>
      <w:r>
        <w:t xml:space="preserve">enter into </w:t>
      </w:r>
      <w:r w:rsidR="00F32914">
        <w:t xml:space="preserve">such </w:t>
      </w:r>
      <w:r>
        <w:t>arrangements</w:t>
      </w:r>
      <w:r w:rsidR="00F32914">
        <w:t xml:space="preserve"> (where they are mutually beneficial)</w:t>
      </w:r>
      <w:r>
        <w:t>. Foxtel’s acquisition of an interest in Ten would result in Foxtel (and ultimately News Corp) obtaining a financial return from entering into such arrangements with Ten.</w:t>
      </w:r>
    </w:p>
    <w:p w:rsidR="00BA595F" w:rsidRDefault="00D72B20" w:rsidP="00F10777">
      <w:pPr>
        <w:pStyle w:val="Numbered"/>
      </w:pPr>
      <w:r>
        <w:t xml:space="preserve">The alignment of the interests of </w:t>
      </w:r>
      <w:r w:rsidR="00EA629F" w:rsidRPr="00EA629F">
        <w:t>Fox Sports</w:t>
      </w:r>
      <w:r>
        <w:t>,</w:t>
      </w:r>
      <w:r w:rsidR="00EA629F" w:rsidRPr="00EA629F">
        <w:t xml:space="preserve"> Foxtel </w:t>
      </w:r>
      <w:r>
        <w:t>and Ten may lead Fox Sports and Foxtel to</w:t>
      </w:r>
      <w:r w:rsidR="00EA629F" w:rsidRPr="00EA629F">
        <w:t xml:space="preserve"> </w:t>
      </w:r>
      <w:r>
        <w:t>favour</w:t>
      </w:r>
      <w:r w:rsidR="00EA629F" w:rsidRPr="00EA629F">
        <w:t xml:space="preserve"> </w:t>
      </w:r>
      <w:proofErr w:type="gramStart"/>
      <w:r w:rsidR="00EA629F" w:rsidRPr="00EA629F">
        <w:t>Ten</w:t>
      </w:r>
      <w:proofErr w:type="gramEnd"/>
      <w:r w:rsidR="00EA629F" w:rsidRPr="00EA629F">
        <w:t xml:space="preserve"> </w:t>
      </w:r>
      <w:r w:rsidR="00EA629F">
        <w:t>over its FTA competitors</w:t>
      </w:r>
      <w:r w:rsidR="00EA629F" w:rsidRPr="00EA629F">
        <w:t xml:space="preserve"> in bidding for the acquisition of sports content</w:t>
      </w:r>
      <w:r w:rsidR="00EA629F">
        <w:t xml:space="preserve">. This would be likely to </w:t>
      </w:r>
      <w:r w:rsidR="00BA595F" w:rsidRPr="00BA595F">
        <w:t>reduce the ability of other FTA networks</w:t>
      </w:r>
      <w:r w:rsidR="00902735">
        <w:t>,</w:t>
      </w:r>
      <w:r w:rsidR="00BA595F" w:rsidRPr="00BA595F">
        <w:t xml:space="preserve"> that </w:t>
      </w:r>
      <w:r w:rsidR="004647F7">
        <w:t xml:space="preserve">do not have similar </w:t>
      </w:r>
      <w:r w:rsidR="00BA595F" w:rsidRPr="00BA595F">
        <w:t>arrangements</w:t>
      </w:r>
      <w:r w:rsidR="00902735">
        <w:t>,</w:t>
      </w:r>
      <w:r w:rsidR="00BA595F" w:rsidRPr="00BA595F">
        <w:t xml:space="preserve"> to compete for the acquisition of this content</w:t>
      </w:r>
      <w:r w:rsidR="00EA629F">
        <w:t xml:space="preserve"> i</w:t>
      </w:r>
      <w:r w:rsidR="00EA629F" w:rsidRPr="00EA629F">
        <w:t xml:space="preserve">n </w:t>
      </w:r>
      <w:r w:rsidR="00EA629F">
        <w:t xml:space="preserve">certain </w:t>
      </w:r>
      <w:r w:rsidR="00EA629F" w:rsidRPr="00EA629F">
        <w:t>circumstances</w:t>
      </w:r>
      <w:r w:rsidR="001A2F74">
        <w:t>, including where:</w:t>
      </w:r>
      <w:r w:rsidR="00EA629F">
        <w:t xml:space="preserve"> </w:t>
      </w:r>
    </w:p>
    <w:p w:rsidR="001A2F74" w:rsidRDefault="00902735" w:rsidP="00DE3AD7">
      <w:pPr>
        <w:pStyle w:val="Numbered"/>
        <w:numPr>
          <w:ilvl w:val="0"/>
          <w:numId w:val="9"/>
        </w:numPr>
      </w:pPr>
      <w:proofErr w:type="gramStart"/>
      <w:r>
        <w:lastRenderedPageBreak/>
        <w:t>s</w:t>
      </w:r>
      <w:r w:rsidR="001A2F74" w:rsidRPr="001A2F74">
        <w:t>porting</w:t>
      </w:r>
      <w:proofErr w:type="gramEnd"/>
      <w:r w:rsidR="001A2F74" w:rsidRPr="001A2F74">
        <w:t xml:space="preserve"> rights holders</w:t>
      </w:r>
      <w:r w:rsidR="001A2F74">
        <w:t xml:space="preserve"> prefer to sell their rights, in particular their premium sports rights, in a package. </w:t>
      </w:r>
      <w:r>
        <w:t>Where it is</w:t>
      </w:r>
      <w:r w:rsidR="001A2F74">
        <w:t xml:space="preserve"> commercially unattractive for a single FTA network to acquire or broadcast the entire package</w:t>
      </w:r>
      <w:r>
        <w:t>,</w:t>
      </w:r>
      <w:r w:rsidR="001A2F74">
        <w:t xml:space="preserve"> </w:t>
      </w:r>
      <w:r w:rsidR="0008627D">
        <w:t>an FTA</w:t>
      </w:r>
      <w:r w:rsidR="001A2F74">
        <w:t xml:space="preserve"> network will have an incentive to enter into a commercial arrangement with Foxtel for it to broadcast the matches or events that are surplus to its own requirements. </w:t>
      </w:r>
    </w:p>
    <w:p w:rsidR="001A2F74" w:rsidRPr="00A50F3C" w:rsidRDefault="001A2F74" w:rsidP="00DE3AD7">
      <w:pPr>
        <w:pStyle w:val="Numbered"/>
        <w:numPr>
          <w:ilvl w:val="0"/>
          <w:numId w:val="9"/>
        </w:numPr>
      </w:pPr>
      <w:proofErr w:type="gramStart"/>
      <w:r w:rsidRPr="00A50F3C">
        <w:t>the</w:t>
      </w:r>
      <w:proofErr w:type="gramEnd"/>
      <w:r w:rsidRPr="00A50F3C">
        <w:t xml:space="preserve"> broadcast rights to a sporting event are likely to be split between </w:t>
      </w:r>
      <w:r>
        <w:t>FTA</w:t>
      </w:r>
      <w:r w:rsidRPr="00A50F3C">
        <w:t xml:space="preserve"> and </w:t>
      </w:r>
      <w:r>
        <w:t>STV providers</w:t>
      </w:r>
      <w:r w:rsidR="00902735">
        <w:t>.</w:t>
      </w:r>
      <w:r w:rsidRPr="00A50F3C">
        <w:t xml:space="preserve"> </w:t>
      </w:r>
      <w:r w:rsidR="00902735" w:rsidRPr="00A50F3C">
        <w:t>The</w:t>
      </w:r>
      <w:r w:rsidRPr="00A50F3C">
        <w:t xml:space="preserve"> ability </w:t>
      </w:r>
      <w:r w:rsidR="00902735">
        <w:t xml:space="preserve">of </w:t>
      </w:r>
      <w:r w:rsidR="0008627D">
        <w:t>an FTA</w:t>
      </w:r>
      <w:r w:rsidR="00902735">
        <w:t xml:space="preserve"> network </w:t>
      </w:r>
      <w:r w:rsidRPr="00A50F3C">
        <w:t>to</w:t>
      </w:r>
      <w:r w:rsidR="00902735">
        <w:t xml:space="preserve"> </w:t>
      </w:r>
      <w:proofErr w:type="gramStart"/>
      <w:r w:rsidR="00902735">
        <w:t>partner</w:t>
      </w:r>
      <w:proofErr w:type="gramEnd"/>
      <w:r w:rsidR="00902735">
        <w:t xml:space="preserve"> with Fox Sports or Foxtel to</w:t>
      </w:r>
      <w:r w:rsidRPr="00A50F3C">
        <w:t xml:space="preserve"> negotiate and present a unified bid </w:t>
      </w:r>
      <w:r w:rsidR="00902735">
        <w:t xml:space="preserve">to the sporting rights holder </w:t>
      </w:r>
      <w:r>
        <w:t>may be</w:t>
      </w:r>
      <w:r w:rsidRPr="00A50F3C">
        <w:t xml:space="preserve"> advantageous. Bidding in this way enables any potential conflicts between </w:t>
      </w:r>
      <w:r>
        <w:t>FTA</w:t>
      </w:r>
      <w:r w:rsidRPr="00A50F3C">
        <w:t xml:space="preserve"> and </w:t>
      </w:r>
      <w:r>
        <w:t>STV</w:t>
      </w:r>
      <w:r w:rsidRPr="00A50F3C">
        <w:t xml:space="preserve"> scheduling interests to </w:t>
      </w:r>
      <w:proofErr w:type="gramStart"/>
      <w:r w:rsidRPr="00A50F3C">
        <w:t>be resolved</w:t>
      </w:r>
      <w:proofErr w:type="gramEnd"/>
      <w:r w:rsidRPr="00A50F3C">
        <w:t xml:space="preserve"> by the successful bidders, rather than requiring the rights holder to attempt to reconcile inconsistent bids from separate </w:t>
      </w:r>
      <w:r>
        <w:t>FTA</w:t>
      </w:r>
      <w:r w:rsidRPr="00A50F3C">
        <w:t xml:space="preserve"> and </w:t>
      </w:r>
      <w:r>
        <w:t>STV</w:t>
      </w:r>
      <w:r w:rsidRPr="00A50F3C">
        <w:t xml:space="preserve"> networks. </w:t>
      </w:r>
    </w:p>
    <w:p w:rsidR="001A2F74" w:rsidRDefault="003005D6" w:rsidP="00DE3AD7">
      <w:pPr>
        <w:pStyle w:val="Numbered"/>
        <w:numPr>
          <w:ilvl w:val="0"/>
          <w:numId w:val="9"/>
        </w:numPr>
      </w:pPr>
      <w:proofErr w:type="gramStart"/>
      <w:r>
        <w:t>due</w:t>
      </w:r>
      <w:proofErr w:type="gramEnd"/>
      <w:r>
        <w:t xml:space="preserve"> to t</w:t>
      </w:r>
      <w:r w:rsidR="001A2F74">
        <w:t xml:space="preserve">he </w:t>
      </w:r>
      <w:r>
        <w:t xml:space="preserve">high </w:t>
      </w:r>
      <w:r w:rsidR="001A2F74">
        <w:t>cost of producing live sport</w:t>
      </w:r>
      <w:r>
        <w:t>, there are significant commercial benefits from</w:t>
      </w:r>
      <w:r w:rsidR="001A2F74">
        <w:t xml:space="preserve"> shar</w:t>
      </w:r>
      <w:r>
        <w:t>ing production costs</w:t>
      </w:r>
      <w:r w:rsidR="001A2F74">
        <w:t xml:space="preserve"> between the </w:t>
      </w:r>
      <w:r w:rsidR="00902735" w:rsidRPr="00902735">
        <w:t xml:space="preserve">FTA and STV </w:t>
      </w:r>
      <w:r w:rsidR="001A2F74">
        <w:t xml:space="preserve">networks that enter into commercial arrangements for the acquisition of sports content. </w:t>
      </w:r>
    </w:p>
    <w:p w:rsidR="001A2F74" w:rsidRDefault="001A2F74" w:rsidP="00F10777">
      <w:pPr>
        <w:pStyle w:val="Numbered"/>
      </w:pPr>
      <w:r>
        <w:t>T</w:t>
      </w:r>
      <w:r w:rsidRPr="005F0035">
        <w:t>hese commercial considerations</w:t>
      </w:r>
      <w:r>
        <w:t xml:space="preserve"> mean that</w:t>
      </w:r>
      <w:r w:rsidRPr="005F0035">
        <w:t xml:space="preserve"> the ability to jointly bid or enter into commercial arrangements with </w:t>
      </w:r>
      <w:r>
        <w:t>Fox Sports</w:t>
      </w:r>
      <w:r w:rsidRPr="005F0035">
        <w:t xml:space="preserve"> or </w:t>
      </w:r>
      <w:r>
        <w:t>Foxtel</w:t>
      </w:r>
      <w:r w:rsidRPr="005F0035">
        <w:t xml:space="preserve"> in relation to the acquisition of sporting rights may enable </w:t>
      </w:r>
      <w:r w:rsidR="0002220A">
        <w:t xml:space="preserve">an </w:t>
      </w:r>
      <w:r>
        <w:t>FTA</w:t>
      </w:r>
      <w:r w:rsidRPr="005F0035">
        <w:t xml:space="preserve"> network to submit higher value or otherwise more attractive bids for sporting rights. </w:t>
      </w:r>
    </w:p>
    <w:p w:rsidR="00D7761A" w:rsidRPr="00D7761A" w:rsidRDefault="00D7761A" w:rsidP="00F10777">
      <w:pPr>
        <w:pStyle w:val="Numbered"/>
      </w:pPr>
      <w:r>
        <w:t xml:space="preserve">In addition, </w:t>
      </w:r>
      <w:r w:rsidRPr="00D7761A">
        <w:t xml:space="preserve">the operation of the Federal Government’s anti-siphoning regime, which states that certain sports content must be offered to FTA networks before it is offered to an STV provider, creates an imperative for Foxtel to </w:t>
      </w:r>
      <w:proofErr w:type="gramStart"/>
      <w:r w:rsidRPr="00D7761A">
        <w:t>partner</w:t>
      </w:r>
      <w:proofErr w:type="gramEnd"/>
      <w:r w:rsidRPr="00D7761A">
        <w:t xml:space="preserve"> with a</w:t>
      </w:r>
      <w:r w:rsidR="0002220A">
        <w:t>n</w:t>
      </w:r>
      <w:r w:rsidRPr="00D7761A">
        <w:t xml:space="preserve"> FTA network in the acquisition of listed events. </w:t>
      </w:r>
      <w:r w:rsidR="00A34ACE">
        <w:t>While t</w:t>
      </w:r>
      <w:r w:rsidRPr="00D7761A">
        <w:t>he sport</w:t>
      </w:r>
      <w:r w:rsidR="00A34ACE">
        <w:t>ing events</w:t>
      </w:r>
      <w:r w:rsidRPr="00D7761A">
        <w:t xml:space="preserve"> on the anti-siphoning </w:t>
      </w:r>
      <w:r w:rsidR="00A34ACE">
        <w:t>list</w:t>
      </w:r>
      <w:r w:rsidRPr="00D7761A">
        <w:t xml:space="preserve"> are not required to be broadcast on an FTA network</w:t>
      </w:r>
      <w:r w:rsidR="00A34ACE">
        <w:t>, Foxtel is unable to acquire or broadcast these rights (where they have been acquired by Fox Sports or News Corp), unless they have first been offered to an FTA network</w:t>
      </w:r>
      <w:r w:rsidRPr="00D7761A">
        <w:t xml:space="preserve">. </w:t>
      </w:r>
      <w:r w:rsidR="00A34ACE">
        <w:t xml:space="preserve">The effect of the </w:t>
      </w:r>
      <w:r w:rsidR="00A34ACE" w:rsidRPr="00A34ACE">
        <w:t>anti-siphoning regime</w:t>
      </w:r>
      <w:r w:rsidR="00A34ACE">
        <w:t xml:space="preserve"> is likely </w:t>
      </w:r>
      <w:proofErr w:type="gramStart"/>
      <w:r w:rsidR="00A34ACE">
        <w:t>to further align</w:t>
      </w:r>
      <w:proofErr w:type="gramEnd"/>
      <w:r w:rsidR="00A34ACE">
        <w:t xml:space="preserve"> the interests of Fox Sports, Foxtel and Ten to coordinate in bidding for these rights. </w:t>
      </w:r>
    </w:p>
    <w:p w:rsidR="003005D6" w:rsidRDefault="003005D6" w:rsidP="00F10777">
      <w:pPr>
        <w:pStyle w:val="Numbered"/>
      </w:pPr>
      <w:r w:rsidRPr="003005D6">
        <w:t xml:space="preserve">The ACCC’s market inquiries have indicated that while SVOD providers may enter the markets for the acquisition of sports rights in future, they are not likely to acquire a significant amount of premium sporting rights in the near future. Therefore, for the </w:t>
      </w:r>
      <w:proofErr w:type="gramStart"/>
      <w:r w:rsidRPr="003005D6">
        <w:t>foreseeable</w:t>
      </w:r>
      <w:proofErr w:type="gramEnd"/>
      <w:r w:rsidRPr="003005D6">
        <w:t xml:space="preserve"> future, Fox Sports and Foxtel are effectively the only parties in Australia with whom FTA networks can enter into commercial arrangements in relation to the acquisition of sporting rights packages</w:t>
      </w:r>
      <w:r w:rsidR="00B1782C">
        <w:t xml:space="preserve"> (for both FTA and STV)</w:t>
      </w:r>
      <w:r w:rsidRPr="003005D6">
        <w:t xml:space="preserve"> from rights holders.</w:t>
      </w:r>
    </w:p>
    <w:p w:rsidR="00902735" w:rsidRDefault="001A2F74" w:rsidP="00F10777">
      <w:pPr>
        <w:pStyle w:val="Numbered"/>
      </w:pPr>
      <w:r w:rsidRPr="001A2F74">
        <w:t xml:space="preserve">The ACCC understands that Fox Sports acquires a large volume of sports content and often enters into commercial arrangements with FTA networks for the acquisition of sports rights. Foxtel also acquires sports rights (although </w:t>
      </w:r>
      <w:r w:rsidR="00B1782C">
        <w:t>fewer</w:t>
      </w:r>
      <w:r w:rsidRPr="001A2F74">
        <w:t xml:space="preserve"> than Fox Sports) and sometimes enters into commercial arrangements with FTA networks for those rights. </w:t>
      </w:r>
    </w:p>
    <w:p w:rsidR="004500BB" w:rsidRPr="004500BB" w:rsidRDefault="004500BB" w:rsidP="00F10777">
      <w:pPr>
        <w:pStyle w:val="Numbered"/>
      </w:pPr>
      <w:r>
        <w:t>For example, a</w:t>
      </w:r>
      <w:r w:rsidRPr="004500BB">
        <w:t xml:space="preserve"> broadcast deal for the AFL </w:t>
      </w:r>
      <w:proofErr w:type="gramStart"/>
      <w:r w:rsidRPr="004500BB">
        <w:t>was recently announced</w:t>
      </w:r>
      <w:proofErr w:type="gramEnd"/>
      <w:r w:rsidRPr="004500BB">
        <w:t>, with Foxtel</w:t>
      </w:r>
      <w:r w:rsidR="00D11BF8">
        <w:t xml:space="preserve"> (through News Corp)</w:t>
      </w:r>
      <w:r w:rsidRPr="004500BB">
        <w:t>, Seven and Telstra to hold the STV, FTA and digital rights from 2017</w:t>
      </w:r>
      <w:r w:rsidR="00D11BF8">
        <w:t xml:space="preserve"> to </w:t>
      </w:r>
      <w:r w:rsidRPr="004500BB">
        <w:t>2022.</w:t>
      </w:r>
      <w:r>
        <w:t xml:space="preserve"> Other examples where </w:t>
      </w:r>
      <w:r w:rsidR="0008627D">
        <w:t>an FTA</w:t>
      </w:r>
      <w:r>
        <w:t xml:space="preserve"> network has previously entered into commercial agreements with Fox Sports or Foxtel to acquire those rights, and may do so again in the future, include Australian Rugby Test matches, V8 Supercars, Australian Masters Golf, Wimbledon, the Rugby World Cup and the Cricket World Cup.</w:t>
      </w:r>
    </w:p>
    <w:p w:rsidR="003005D6" w:rsidRDefault="004500BB" w:rsidP="00F10777">
      <w:pPr>
        <w:pStyle w:val="Numbered"/>
      </w:pPr>
      <w:r w:rsidRPr="004500BB">
        <w:lastRenderedPageBreak/>
        <w:t xml:space="preserve">The ACCC </w:t>
      </w:r>
      <w:r>
        <w:t xml:space="preserve">recognises </w:t>
      </w:r>
      <w:r w:rsidRPr="004500BB">
        <w:t xml:space="preserve">that </w:t>
      </w:r>
      <w:proofErr w:type="gramStart"/>
      <w:r w:rsidRPr="004500BB">
        <w:t xml:space="preserve">some sports rights are acquired by </w:t>
      </w:r>
      <w:r w:rsidR="0008627D">
        <w:t>an FTA</w:t>
      </w:r>
      <w:r w:rsidRPr="004500BB">
        <w:t xml:space="preserve"> network without the involvement of an STV broadcaster</w:t>
      </w:r>
      <w:proofErr w:type="gramEnd"/>
      <w:r w:rsidRPr="004500BB">
        <w:t xml:space="preserve">. For example, </w:t>
      </w:r>
      <w:proofErr w:type="gramStart"/>
      <w:r w:rsidRPr="004500BB">
        <w:t>Nine</w:t>
      </w:r>
      <w:proofErr w:type="gramEnd"/>
      <w:r w:rsidRPr="004500BB">
        <w:t xml:space="preserve"> has recently entered into an agreement with the National Rugby League (NRL) for the broadcast of four live games per week from 2018 to 2022 without entering into an agreement with Foxtel. No agreement has been reached for the broadcast of the remaining games but given the lack of alternative STV broadcasters currently offering sports content, it is likely that they will ultimately be broadcast on Foxtel, which may also simulcast the matches shown on </w:t>
      </w:r>
      <w:proofErr w:type="gramStart"/>
      <w:r w:rsidRPr="004500BB">
        <w:t>Nine</w:t>
      </w:r>
      <w:proofErr w:type="gramEnd"/>
      <w:r w:rsidRPr="004500BB">
        <w:t xml:space="preserve">. </w:t>
      </w:r>
    </w:p>
    <w:p w:rsidR="004500BB" w:rsidRDefault="00B1454C" w:rsidP="00F10777">
      <w:pPr>
        <w:pStyle w:val="Numbered"/>
      </w:pPr>
      <w:r>
        <w:t>E</w:t>
      </w:r>
      <w:r w:rsidR="004500BB">
        <w:t xml:space="preserve">xamples </w:t>
      </w:r>
      <w:r w:rsidR="003005D6">
        <w:t xml:space="preserve">of sports rights being acquired </w:t>
      </w:r>
      <w:r w:rsidR="003005D6" w:rsidRPr="003005D6">
        <w:t>in full by a</w:t>
      </w:r>
      <w:r w:rsidR="0008627D">
        <w:t>n</w:t>
      </w:r>
      <w:r w:rsidR="003005D6" w:rsidRPr="003005D6">
        <w:t xml:space="preserve"> FTA network without the involvement of an STV broadcaster </w:t>
      </w:r>
      <w:r w:rsidR="004500BB">
        <w:t xml:space="preserve">include the </w:t>
      </w:r>
      <w:proofErr w:type="gramStart"/>
      <w:r w:rsidR="00D11BF8">
        <w:t>Summer</w:t>
      </w:r>
      <w:proofErr w:type="gramEnd"/>
      <w:r w:rsidR="00D11BF8">
        <w:t xml:space="preserve"> and Winter </w:t>
      </w:r>
      <w:r w:rsidR="004500BB">
        <w:t xml:space="preserve">Olympics, </w:t>
      </w:r>
      <w:r w:rsidR="00D11BF8">
        <w:t>Australian</w:t>
      </w:r>
      <w:r w:rsidR="004500BB">
        <w:t xml:space="preserve"> test cricket </w:t>
      </w:r>
      <w:r w:rsidR="00D11BF8">
        <w:t>series, the Melbourne Cup, Australian Open Tennis, and Australian Open Golf.</w:t>
      </w:r>
      <w:r w:rsidR="004500BB">
        <w:t xml:space="preserve"> </w:t>
      </w:r>
    </w:p>
    <w:p w:rsidR="00A34ACE" w:rsidRDefault="00A34ACE" w:rsidP="00F10777">
      <w:pPr>
        <w:pStyle w:val="Numbered"/>
      </w:pPr>
      <w:r>
        <w:t>T</w:t>
      </w:r>
      <w:r w:rsidRPr="00A34ACE">
        <w:t xml:space="preserve">he ACCC notes that the AFL and NRL rights deals referred to above were both concluded prior to the proposed acquisitions. While Foxtel has secured AFL rights and is likely to continue to broadcast NRL matches, the fact that these deals will be in effect until 2022 will </w:t>
      </w:r>
      <w:r w:rsidR="004D1A6C">
        <w:t>reduce</w:t>
      </w:r>
      <w:r w:rsidRPr="00A34ACE">
        <w:t xml:space="preserve"> Ten</w:t>
      </w:r>
      <w:r w:rsidR="004D1A6C">
        <w:t>’s ability</w:t>
      </w:r>
      <w:r w:rsidRPr="00A34ACE">
        <w:t xml:space="preserve"> </w:t>
      </w:r>
      <w:r w:rsidR="004D1A6C">
        <w:t>to</w:t>
      </w:r>
      <w:r w:rsidRPr="00A34ACE">
        <w:t xml:space="preserve"> secur</w:t>
      </w:r>
      <w:r w:rsidR="004D1A6C">
        <w:t>e</w:t>
      </w:r>
      <w:r w:rsidRPr="00A34ACE">
        <w:t xml:space="preserve"> these rights for the duration of the agreements.</w:t>
      </w:r>
      <w:r w:rsidR="004D1A6C">
        <w:t xml:space="preserve"> However, Foxtel has the right to sub-licence </w:t>
      </w:r>
      <w:r w:rsidR="0008627D">
        <w:t>one</w:t>
      </w:r>
      <w:r w:rsidR="004D1A6C">
        <w:t xml:space="preserve"> AFL game </w:t>
      </w:r>
      <w:r w:rsidR="0008627D">
        <w:t xml:space="preserve">each round </w:t>
      </w:r>
      <w:r w:rsidR="004D1A6C">
        <w:t xml:space="preserve">during the term of the agreement and there has been speculation that </w:t>
      </w:r>
      <w:r w:rsidR="00B1454C">
        <w:t xml:space="preserve">if it does the game will be broadcast on </w:t>
      </w:r>
      <w:proofErr w:type="gramStart"/>
      <w:r w:rsidR="004D1A6C">
        <w:t>Ten</w:t>
      </w:r>
      <w:proofErr w:type="gramEnd"/>
      <w:r w:rsidR="004D1A6C">
        <w:t xml:space="preserve">. Since the NRL has not yet assigned all of </w:t>
      </w:r>
      <w:r w:rsidR="00984CB0">
        <w:t xml:space="preserve">the </w:t>
      </w:r>
      <w:r w:rsidR="004D1A6C">
        <w:t xml:space="preserve">rights to </w:t>
      </w:r>
      <w:r w:rsidR="00B1782C">
        <w:t>its</w:t>
      </w:r>
      <w:r w:rsidR="004D1A6C">
        <w:t xml:space="preserve"> content, there may be the potential, subject to the contractual arrangements with </w:t>
      </w:r>
      <w:proofErr w:type="gramStart"/>
      <w:r w:rsidR="004D1A6C">
        <w:t>Nine</w:t>
      </w:r>
      <w:proofErr w:type="gramEnd"/>
      <w:r w:rsidR="004D1A6C">
        <w:t xml:space="preserve">, for Foxtel and Ten to acquire some or all of these remaining rights. </w:t>
      </w:r>
    </w:p>
    <w:p w:rsidR="003B26B4" w:rsidRDefault="00520D61" w:rsidP="00F10777">
      <w:pPr>
        <w:pStyle w:val="Numbered"/>
      </w:pPr>
      <w:r>
        <w:t>T</w:t>
      </w:r>
      <w:r w:rsidR="003B26B4">
        <w:t>he ACCC understands that some sporting rights holders may have significant bargaining power because of the importance of premium sports content to both Foxtel and the FTA networks, which may limit the risk of harm to competition from the proposed acquisitions. Sporting rights holders typically seek to optimise the overall benefits to them by balancing the greater audiences available on FTA networks (which assist them to build and maintain the popularity of their sport over time) and the greater revenues possible from selling exclusive rights to a</w:t>
      </w:r>
      <w:r w:rsidR="0008627D">
        <w:t>n</w:t>
      </w:r>
      <w:r w:rsidR="003B26B4">
        <w:t xml:space="preserve"> STV network. The ACCC is aware that sporting rights holders may include certain provisions, such as ‘must show’ clauses in rights contracts to prevent a</w:t>
      </w:r>
      <w:r w:rsidR="0008627D">
        <w:t>n</w:t>
      </w:r>
      <w:r w:rsidR="003B26B4">
        <w:t xml:space="preserve"> FTA network or Fox Sports from on-selling exclusive rights to certain games or events to a</w:t>
      </w:r>
      <w:r w:rsidR="0008627D">
        <w:t>n</w:t>
      </w:r>
      <w:r w:rsidR="003B26B4">
        <w:t xml:space="preserve"> STV provider so that they achieve an optimal balance between revenue and greater audience reach.</w:t>
      </w:r>
    </w:p>
    <w:p w:rsidR="003D6FA1" w:rsidRDefault="00564C36" w:rsidP="00F10777">
      <w:pPr>
        <w:pStyle w:val="Numbered"/>
      </w:pPr>
      <w:r>
        <w:t xml:space="preserve">In addition to </w:t>
      </w:r>
      <w:r w:rsidR="00C55E53">
        <w:t>concerns in relation to the acquisition of sports content</w:t>
      </w:r>
      <w:r>
        <w:t xml:space="preserve"> as outlined above, t</w:t>
      </w:r>
      <w:r w:rsidR="00283955" w:rsidRPr="00283955">
        <w:t xml:space="preserve">he ACCC is also concerned that </w:t>
      </w:r>
      <w:proofErr w:type="gramStart"/>
      <w:r w:rsidR="00283955" w:rsidRPr="00283955">
        <w:t>Ten</w:t>
      </w:r>
      <w:proofErr w:type="gramEnd"/>
      <w:r w:rsidR="00283955" w:rsidRPr="00283955">
        <w:t xml:space="preserve"> may be less likely as a result of the </w:t>
      </w:r>
      <w:r w:rsidR="006E6594">
        <w:t xml:space="preserve">proposed </w:t>
      </w:r>
      <w:r w:rsidR="00283955" w:rsidRPr="00283955">
        <w:t>acquisition</w:t>
      </w:r>
      <w:r w:rsidR="003C3FC3">
        <w:t>s</w:t>
      </w:r>
      <w:r w:rsidR="00283955" w:rsidRPr="00283955">
        <w:t xml:space="preserve"> to compete against Foxtel for sporting rights</w:t>
      </w:r>
      <w:r w:rsidR="00476F76">
        <w:t xml:space="preserve"> for </w:t>
      </w:r>
      <w:r w:rsidR="00573290">
        <w:t>non-premium sports content</w:t>
      </w:r>
      <w:r w:rsidR="00283955" w:rsidRPr="00283955">
        <w:t>.</w:t>
      </w:r>
      <w:r w:rsidR="00283955">
        <w:t xml:space="preserve"> </w:t>
      </w:r>
    </w:p>
    <w:p w:rsidR="006E6594" w:rsidRDefault="00573290" w:rsidP="00F10777">
      <w:pPr>
        <w:pStyle w:val="Numbered"/>
      </w:pPr>
      <w:r>
        <w:t>T</w:t>
      </w:r>
      <w:r w:rsidR="00283955">
        <w:t xml:space="preserve">he FTA networks typically do not compete strongly with Foxtel for </w:t>
      </w:r>
      <w:r>
        <w:t>the</w:t>
      </w:r>
      <w:r w:rsidR="006E6594">
        <w:t xml:space="preserve"> rights </w:t>
      </w:r>
      <w:r>
        <w:t xml:space="preserve">to </w:t>
      </w:r>
      <w:r w:rsidRPr="00573290">
        <w:t xml:space="preserve">non-premium sports </w:t>
      </w:r>
      <w:r w:rsidR="00283955">
        <w:t xml:space="preserve">because </w:t>
      </w:r>
      <w:r>
        <w:t>these</w:t>
      </w:r>
      <w:r w:rsidR="00283955">
        <w:t xml:space="preserve"> sports usually do not attract large enough audience</w:t>
      </w:r>
      <w:r w:rsidR="006E6594">
        <w:t>s</w:t>
      </w:r>
      <w:r w:rsidR="00283955">
        <w:t xml:space="preserve"> for the FTA broadcasters</w:t>
      </w:r>
      <w:r w:rsidR="006E6594">
        <w:t xml:space="preserve">, as their advertising revenues </w:t>
      </w:r>
      <w:proofErr w:type="gramStart"/>
      <w:r w:rsidR="006E6594">
        <w:t>are based</w:t>
      </w:r>
      <w:proofErr w:type="gramEnd"/>
      <w:r w:rsidR="006E6594">
        <w:t xml:space="preserve"> to a large degree on their ratings performance</w:t>
      </w:r>
      <w:r w:rsidR="00283955">
        <w:t xml:space="preserve">. </w:t>
      </w:r>
      <w:r w:rsidR="006E6594">
        <w:t xml:space="preserve">In contrast, </w:t>
      </w:r>
      <w:r w:rsidR="00283955">
        <w:t xml:space="preserve">Foxtel </w:t>
      </w:r>
      <w:r w:rsidR="006E6594">
        <w:t>raises a large proportion of its revenue through subscriptions</w:t>
      </w:r>
      <w:r w:rsidR="00B615D2">
        <w:t xml:space="preserve">, enabling </w:t>
      </w:r>
      <w:r w:rsidR="00C55E53">
        <w:t>it</w:t>
      </w:r>
      <w:r w:rsidR="00B615D2">
        <w:t xml:space="preserve"> to respond to the intensity of viewer preferences,</w:t>
      </w:r>
      <w:r w:rsidR="006E6594">
        <w:t xml:space="preserve"> and offers a wide range of programming designed to appeal to a diversity of subscribers and to differentiate itself from FTA </w:t>
      </w:r>
      <w:proofErr w:type="gramStart"/>
      <w:r w:rsidR="006E6594">
        <w:t>content which</w:t>
      </w:r>
      <w:proofErr w:type="gramEnd"/>
      <w:r w:rsidR="006E6594">
        <w:t xml:space="preserve"> is available at no charge to viewers. Foxtel therefore has an incentive to acquire a range of sports content, for both premium and less popular sports, </w:t>
      </w:r>
      <w:r w:rsidR="003328D7">
        <w:t>because of its importance in</w:t>
      </w:r>
      <w:r w:rsidR="006E6594">
        <w:t xml:space="preserve"> attracting subscribers</w:t>
      </w:r>
      <w:r w:rsidR="003328D7">
        <w:t xml:space="preserve">. The ACCC </w:t>
      </w:r>
      <w:r w:rsidR="003328D7">
        <w:lastRenderedPageBreak/>
        <w:t>understands that</w:t>
      </w:r>
      <w:r w:rsidR="006E6594">
        <w:t xml:space="preserve"> </w:t>
      </w:r>
      <w:r w:rsidR="003328D7">
        <w:t>Foxtel currently</w:t>
      </w:r>
      <w:r w:rsidR="006E6594">
        <w:t xml:space="preserve"> </w:t>
      </w:r>
      <w:r w:rsidR="003328D7">
        <w:t xml:space="preserve">offers </w:t>
      </w:r>
      <w:r w:rsidR="00283955">
        <w:t>6</w:t>
      </w:r>
      <w:r w:rsidR="00511902">
        <w:t>8</w:t>
      </w:r>
      <w:r w:rsidR="00283955">
        <w:t xml:space="preserve"> channels, </w:t>
      </w:r>
      <w:r w:rsidR="00632835">
        <w:t>nine</w:t>
      </w:r>
      <w:r w:rsidR="00283955">
        <w:t xml:space="preserve"> of which are dedicated to sport. </w:t>
      </w:r>
    </w:p>
    <w:p w:rsidR="00EF6909" w:rsidRDefault="00511902" w:rsidP="00F10777">
      <w:pPr>
        <w:pStyle w:val="Numbered"/>
      </w:pPr>
      <w:r>
        <w:t xml:space="preserve">The ACCC understands that </w:t>
      </w:r>
      <w:r w:rsidR="00283955">
        <w:t>FTA networks</w:t>
      </w:r>
      <w:r>
        <w:t xml:space="preserve"> are likely to compete with Foxtel to</w:t>
      </w:r>
      <w:r w:rsidR="00283955">
        <w:t xml:space="preserve"> acquir</w:t>
      </w:r>
      <w:r>
        <w:t>e</w:t>
      </w:r>
      <w:r w:rsidR="00283955">
        <w:t xml:space="preserve"> the rights to </w:t>
      </w:r>
      <w:r>
        <w:t xml:space="preserve">non-premium </w:t>
      </w:r>
      <w:r w:rsidR="00283955">
        <w:t>sport</w:t>
      </w:r>
      <w:r>
        <w:t>s content</w:t>
      </w:r>
      <w:r w:rsidR="00283955">
        <w:t xml:space="preserve"> </w:t>
      </w:r>
      <w:r w:rsidRPr="00511902">
        <w:t>when the popularity of a sport grows</w:t>
      </w:r>
      <w:r>
        <w:t>.</w:t>
      </w:r>
      <w:r w:rsidRPr="00511902">
        <w:t xml:space="preserve"> </w:t>
      </w:r>
      <w:r>
        <w:t xml:space="preserve">For example, </w:t>
      </w:r>
      <w:r w:rsidR="00283955">
        <w:t xml:space="preserve">in 2012 SBS acquired the rights to some of the A-League soccer </w:t>
      </w:r>
      <w:proofErr w:type="gramStart"/>
      <w:r w:rsidR="00283955">
        <w:t>matches which</w:t>
      </w:r>
      <w:proofErr w:type="gramEnd"/>
      <w:r w:rsidR="00283955">
        <w:t xml:space="preserve"> were previously only aired on Foxtel. FTA networks may also </w:t>
      </w:r>
      <w:r>
        <w:t xml:space="preserve">compete with Foxtel to </w:t>
      </w:r>
      <w:r w:rsidR="00283955">
        <w:t xml:space="preserve">acquire rights to </w:t>
      </w:r>
      <w:r>
        <w:t xml:space="preserve">non-premium </w:t>
      </w:r>
      <w:r w:rsidR="00283955">
        <w:t>sport</w:t>
      </w:r>
      <w:r>
        <w:t>s content when</w:t>
      </w:r>
      <w:r w:rsidR="00283955">
        <w:t xml:space="preserve"> they </w:t>
      </w:r>
      <w:r>
        <w:t xml:space="preserve">consider there is a real potential to build </w:t>
      </w:r>
      <w:r w:rsidR="00283955">
        <w:t>a large</w:t>
      </w:r>
      <w:r>
        <w:t>r</w:t>
      </w:r>
      <w:r w:rsidR="00283955">
        <w:t xml:space="preserve"> </w:t>
      </w:r>
      <w:r w:rsidR="00095BDB">
        <w:t xml:space="preserve">television </w:t>
      </w:r>
      <w:r w:rsidR="00283955">
        <w:t xml:space="preserve">audience </w:t>
      </w:r>
      <w:r>
        <w:t xml:space="preserve">for that sport by promoting it on </w:t>
      </w:r>
      <w:r w:rsidR="0008627D">
        <w:t>an FTA</w:t>
      </w:r>
      <w:r>
        <w:t xml:space="preserve"> channel. For example, </w:t>
      </w:r>
      <w:r w:rsidR="00283955">
        <w:t xml:space="preserve">in 2013 </w:t>
      </w:r>
      <w:proofErr w:type="gramStart"/>
      <w:r w:rsidR="00283955">
        <w:t>Ten</w:t>
      </w:r>
      <w:proofErr w:type="gramEnd"/>
      <w:r w:rsidR="00283955">
        <w:t xml:space="preserve"> acquired the </w:t>
      </w:r>
      <w:r>
        <w:t xml:space="preserve">rights to the </w:t>
      </w:r>
      <w:r w:rsidR="00283955">
        <w:t xml:space="preserve">Big Bash League cricket </w:t>
      </w:r>
      <w:r>
        <w:t xml:space="preserve">tournament </w:t>
      </w:r>
      <w:r w:rsidR="00283955">
        <w:t xml:space="preserve">that had previously been aired exclusively on Foxtel. </w:t>
      </w:r>
      <w:r>
        <w:t>T</w:t>
      </w:r>
      <w:r w:rsidR="00283955">
        <w:t xml:space="preserve">he ACCC is concerned that the proposed acquisitions may </w:t>
      </w:r>
      <w:r w:rsidR="003C3FC3" w:rsidRPr="003C3FC3">
        <w:t>weaken Ten’s incentive to compete aggressively with Foxtel for these</w:t>
      </w:r>
      <w:r w:rsidR="00C55E53">
        <w:t xml:space="preserve"> and similar</w:t>
      </w:r>
      <w:r w:rsidR="003C3FC3" w:rsidRPr="003C3FC3">
        <w:t xml:space="preserve"> rights</w:t>
      </w:r>
      <w:r w:rsidR="003C3FC3">
        <w:t xml:space="preserve">. </w:t>
      </w:r>
    </w:p>
    <w:p w:rsidR="003D6FA1" w:rsidRDefault="009438A4" w:rsidP="00F10777">
      <w:pPr>
        <w:pStyle w:val="Numbered"/>
      </w:pPr>
      <w:r>
        <w:t xml:space="preserve">The ACCC </w:t>
      </w:r>
      <w:r w:rsidR="003D6FA1">
        <w:t xml:space="preserve">is concerned </w:t>
      </w:r>
      <w:r>
        <w:t xml:space="preserve">that </w:t>
      </w:r>
      <w:r w:rsidR="00C55E53">
        <w:t>a</w:t>
      </w:r>
      <w:r>
        <w:t xml:space="preserve"> reduction in competition for the acquisition of sports content </w:t>
      </w:r>
      <w:r w:rsidR="0079582F">
        <w:t>may</w:t>
      </w:r>
      <w:r w:rsidR="00BC5334">
        <w:t xml:space="preserve"> result in some holders of non-premium sports rights receiving less for their rights and having less opportunity to build their </w:t>
      </w:r>
      <w:r w:rsidR="00095BDB">
        <w:t xml:space="preserve">supporter </w:t>
      </w:r>
      <w:r w:rsidR="00BC5334">
        <w:t>base through exposure to the greater audiences potentially available on FTA networks. In turn, this could reduce their ability to raise revenue from other sources, such as memberships and sponsorships.</w:t>
      </w:r>
    </w:p>
    <w:p w:rsidR="009438A4" w:rsidRPr="009D3C10" w:rsidRDefault="009438A4" w:rsidP="00F10777">
      <w:pPr>
        <w:pStyle w:val="Numbered"/>
      </w:pPr>
      <w:r w:rsidRPr="009D3C10">
        <w:t xml:space="preserve">The ACCC invites comments from market participants </w:t>
      </w:r>
      <w:r>
        <w:t>on</w:t>
      </w:r>
      <w:r w:rsidRPr="009D3C10">
        <w:t>:</w:t>
      </w:r>
    </w:p>
    <w:p w:rsidR="009438A4" w:rsidRDefault="009438A4" w:rsidP="00DE3AD7">
      <w:pPr>
        <w:pStyle w:val="commentbox"/>
        <w:numPr>
          <w:ilvl w:val="0"/>
          <w:numId w:val="3"/>
        </w:numPr>
      </w:pPr>
      <w:r>
        <w:t xml:space="preserve">the </w:t>
      </w:r>
      <w:r w:rsidRPr="00790F8B">
        <w:t>importance to</w:t>
      </w:r>
      <w:r>
        <w:t xml:space="preserve"> </w:t>
      </w:r>
      <w:r w:rsidR="0008627D">
        <w:t>an FTA</w:t>
      </w:r>
      <w:r w:rsidRPr="00790F8B">
        <w:t xml:space="preserve"> network </w:t>
      </w:r>
      <w:r>
        <w:t>o</w:t>
      </w:r>
      <w:r w:rsidRPr="00790F8B">
        <w:t xml:space="preserve">f being able to partner with </w:t>
      </w:r>
      <w:r w:rsidR="00F750CB">
        <w:t xml:space="preserve">Fox Sports and/or </w:t>
      </w:r>
      <w:r>
        <w:t xml:space="preserve">Foxtel </w:t>
      </w:r>
      <w:r w:rsidRPr="00790F8B">
        <w:t>in relat</w:t>
      </w:r>
      <w:r>
        <w:t>ion to the acquisition of sports</w:t>
      </w:r>
      <w:r w:rsidRPr="00790F8B">
        <w:t xml:space="preserve"> rights </w:t>
      </w:r>
    </w:p>
    <w:p w:rsidR="009438A4" w:rsidRDefault="009438A4" w:rsidP="00DE3AD7">
      <w:pPr>
        <w:pStyle w:val="commentbox"/>
        <w:numPr>
          <w:ilvl w:val="0"/>
          <w:numId w:val="3"/>
        </w:numPr>
      </w:pPr>
      <w:r>
        <w:t xml:space="preserve">the likelihood of </w:t>
      </w:r>
      <w:r w:rsidR="0008627D">
        <w:t>an FTA</w:t>
      </w:r>
      <w:r>
        <w:t xml:space="preserve"> network being able to partner with a commercially viable alternative to Foxtel when bidding for sports rights</w:t>
      </w:r>
    </w:p>
    <w:p w:rsidR="00EF6909" w:rsidRDefault="00EF6909" w:rsidP="00DE3AD7">
      <w:pPr>
        <w:pStyle w:val="commentbox"/>
        <w:numPr>
          <w:ilvl w:val="0"/>
          <w:numId w:val="3"/>
        </w:numPr>
      </w:pPr>
      <w:r>
        <w:t>whether the proposed acquisitions are likely to lessen competition for the acquisition of non-premium sports</w:t>
      </w:r>
    </w:p>
    <w:p w:rsidR="00A03F5E" w:rsidRDefault="00A03F5E" w:rsidP="00DE3AD7">
      <w:pPr>
        <w:pStyle w:val="commentbox"/>
        <w:numPr>
          <w:ilvl w:val="0"/>
          <w:numId w:val="3"/>
        </w:numPr>
      </w:pPr>
      <w:r>
        <w:t xml:space="preserve">whether the bargaining power of sports rights holders and their incentive to increase reach would prevent a substantial lessening of competition </w:t>
      </w:r>
      <w:r w:rsidR="005D01EF">
        <w:t>in the acquisition of</w:t>
      </w:r>
      <w:r>
        <w:t xml:space="preserve"> sports rights</w:t>
      </w:r>
    </w:p>
    <w:p w:rsidR="0087748F" w:rsidRPr="00867B09" w:rsidRDefault="0087748F" w:rsidP="00DE3AD7">
      <w:pPr>
        <w:pStyle w:val="commentbox"/>
        <w:numPr>
          <w:ilvl w:val="0"/>
          <w:numId w:val="3"/>
        </w:numPr>
      </w:pPr>
      <w:proofErr w:type="gramStart"/>
      <w:r>
        <w:t>the</w:t>
      </w:r>
      <w:proofErr w:type="gramEnd"/>
      <w:r>
        <w:t xml:space="preserve"> effect of the proposed acquisitions on the price paid to rights owners for broadcast rights.</w:t>
      </w:r>
    </w:p>
    <w:p w:rsidR="00ED52CE" w:rsidRPr="00794C03" w:rsidRDefault="00ED52CE" w:rsidP="00794C03">
      <w:pPr>
        <w:pStyle w:val="Numberedparagraph"/>
        <w:keepNext/>
        <w:ind w:left="0" w:firstLine="0"/>
        <w:rPr>
          <w:i/>
        </w:rPr>
      </w:pPr>
      <w:r w:rsidRPr="00794C03">
        <w:rPr>
          <w:i/>
        </w:rPr>
        <w:t xml:space="preserve">The acquisition of </w:t>
      </w:r>
      <w:r w:rsidR="00F750CB" w:rsidRPr="00794C03">
        <w:rPr>
          <w:i/>
        </w:rPr>
        <w:t>non-sport content, including premium Australian original content</w:t>
      </w:r>
    </w:p>
    <w:p w:rsidR="00482050" w:rsidRDefault="00ED52CE" w:rsidP="00F10777">
      <w:pPr>
        <w:pStyle w:val="Numbered"/>
      </w:pPr>
      <w:r>
        <w:t xml:space="preserve">The </w:t>
      </w:r>
      <w:r w:rsidR="00647D2D">
        <w:t xml:space="preserve">ACCC is considering whether the </w:t>
      </w:r>
      <w:r w:rsidR="00573290">
        <w:t xml:space="preserve">alignment of incentives associated with the </w:t>
      </w:r>
      <w:r>
        <w:t xml:space="preserve">proposed acquisitions </w:t>
      </w:r>
      <w:r w:rsidR="00482050">
        <w:t>may</w:t>
      </w:r>
      <w:r>
        <w:t xml:space="preserve"> </w:t>
      </w:r>
      <w:r w:rsidR="00573290">
        <w:t>lead</w:t>
      </w:r>
      <w:r>
        <w:t xml:space="preserve"> Foxtel, Ten and Presto to </w:t>
      </w:r>
      <w:r w:rsidR="00DF0375">
        <w:t xml:space="preserve">enter into commercial agreements to </w:t>
      </w:r>
      <w:r>
        <w:t xml:space="preserve">acquire </w:t>
      </w:r>
      <w:r w:rsidR="00DF0375">
        <w:t xml:space="preserve">the rights to certain </w:t>
      </w:r>
      <w:r>
        <w:t>non-sports content across all platforms (i.e. STV, FTA and SVOD) on an exclusive basis and control release windows</w:t>
      </w:r>
      <w:r w:rsidR="00DF0375" w:rsidRPr="00647D2D">
        <w:rPr>
          <w:sz w:val="24"/>
          <w:szCs w:val="24"/>
          <w:vertAlign w:val="superscript"/>
        </w:rPr>
        <w:footnoteReference w:id="6"/>
      </w:r>
      <w:r>
        <w:t xml:space="preserve"> </w:t>
      </w:r>
      <w:r w:rsidR="00DF0375">
        <w:t>for</w:t>
      </w:r>
      <w:r>
        <w:t xml:space="preserve"> that content to the detriment of their competitors</w:t>
      </w:r>
      <w:r w:rsidR="00DF0375">
        <w:t>.</w:t>
      </w:r>
      <w:r>
        <w:t xml:space="preserve"> </w:t>
      </w:r>
    </w:p>
    <w:p w:rsidR="00D11BF8" w:rsidRDefault="00573290" w:rsidP="00F10777">
      <w:pPr>
        <w:pStyle w:val="Numbered"/>
      </w:pPr>
      <w:r>
        <w:lastRenderedPageBreak/>
        <w:t>T</w:t>
      </w:r>
      <w:r w:rsidR="00D11BF8">
        <w:t xml:space="preserve">he ACCC </w:t>
      </w:r>
      <w:r w:rsidR="00647D2D">
        <w:t xml:space="preserve">understands </w:t>
      </w:r>
      <w:r w:rsidR="00D11BF8">
        <w:t xml:space="preserve">that content </w:t>
      </w:r>
      <w:r w:rsidR="00647D2D" w:rsidRPr="00647D2D">
        <w:t xml:space="preserve">acquirers </w:t>
      </w:r>
      <w:r w:rsidR="00647D2D">
        <w:t xml:space="preserve">already seek to </w:t>
      </w:r>
      <w:r w:rsidR="00D11BF8">
        <w:t xml:space="preserve">control </w:t>
      </w:r>
      <w:r w:rsidR="00647D2D">
        <w:t xml:space="preserve">the </w:t>
      </w:r>
      <w:proofErr w:type="gramStart"/>
      <w:r w:rsidR="00647D2D">
        <w:t>time period</w:t>
      </w:r>
      <w:proofErr w:type="gramEnd"/>
      <w:r w:rsidR="00647D2D">
        <w:t xml:space="preserve"> before the rights to content </w:t>
      </w:r>
      <w:r w:rsidR="00CE2078">
        <w:t xml:space="preserve">are made available for broadcasting </w:t>
      </w:r>
      <w:r w:rsidR="00D11BF8">
        <w:t xml:space="preserve">on other platforms by acquiring </w:t>
      </w:r>
      <w:r w:rsidR="00CE2078">
        <w:t>‘</w:t>
      </w:r>
      <w:r w:rsidR="00D11BF8">
        <w:t>holdback</w:t>
      </w:r>
      <w:r w:rsidR="00CE2078">
        <w:t>’</w:t>
      </w:r>
      <w:r w:rsidR="00D11BF8">
        <w:t xml:space="preserve"> rights </w:t>
      </w:r>
      <w:r w:rsidR="000F57E1">
        <w:t xml:space="preserve">in relation </w:t>
      </w:r>
      <w:r w:rsidR="00D11BF8">
        <w:t xml:space="preserve">to the content. </w:t>
      </w:r>
    </w:p>
    <w:p w:rsidR="00482050" w:rsidRDefault="00482050" w:rsidP="00F10777">
      <w:pPr>
        <w:pStyle w:val="Numbered"/>
      </w:pPr>
      <w:r w:rsidRPr="00482050">
        <w:t>The ACCC’s market inquiries have indicated that</w:t>
      </w:r>
      <w:r>
        <w:t xml:space="preserve"> premium Australian original content is increasingly </w:t>
      </w:r>
      <w:r w:rsidRPr="00482050">
        <w:t>important for a television broadcaster to attract audiences and, in the case of Foxtel, subscri</w:t>
      </w:r>
      <w:r w:rsidR="0036797B">
        <w:t>ber</w:t>
      </w:r>
      <w:r w:rsidRPr="00482050">
        <w:t>s</w:t>
      </w:r>
      <w:r>
        <w:t xml:space="preserve">. </w:t>
      </w:r>
      <w:proofErr w:type="gramStart"/>
      <w:r w:rsidR="008F725E" w:rsidRPr="008F725E">
        <w:t xml:space="preserve">The ACCC is </w:t>
      </w:r>
      <w:r w:rsidR="0095212E">
        <w:t xml:space="preserve">considering market </w:t>
      </w:r>
      <w:r w:rsidR="008F725E" w:rsidRPr="008F725E">
        <w:t>concern</w:t>
      </w:r>
      <w:r w:rsidR="0095212E">
        <w:t>s</w:t>
      </w:r>
      <w:r w:rsidR="008F725E" w:rsidRPr="008F725E">
        <w:t xml:space="preserve"> that as a result of </w:t>
      </w:r>
      <w:r w:rsidR="008A7309">
        <w:t xml:space="preserve">the </w:t>
      </w:r>
      <w:r w:rsidR="008F725E" w:rsidRPr="008F725E">
        <w:t>Murdoch</w:t>
      </w:r>
      <w:r w:rsidR="008A7309">
        <w:t xml:space="preserve"> family</w:t>
      </w:r>
      <w:r w:rsidR="008F725E" w:rsidRPr="008F725E">
        <w:t>’s interests in 21</w:t>
      </w:r>
      <w:r w:rsidR="008F725E" w:rsidRPr="00E43938">
        <w:t>st</w:t>
      </w:r>
      <w:r w:rsidR="008F725E" w:rsidRPr="008F725E">
        <w:t xml:space="preserve"> Century Fox, the proposed acquisitions would be likely to give Ten an advantage in the acquisition of premium prime time original Australian content from Endemol Shine</w:t>
      </w:r>
      <w:r w:rsidR="008F725E">
        <w:t xml:space="preserve">, which is </w:t>
      </w:r>
      <w:r w:rsidR="008F725E" w:rsidRPr="008F725E">
        <w:t xml:space="preserve">Australia’s largest television production house </w:t>
      </w:r>
      <w:r w:rsidR="008F725E">
        <w:t>and owns the rights to the</w:t>
      </w:r>
      <w:r w:rsidR="008F725E" w:rsidRPr="008F725E">
        <w:t xml:space="preserve"> formats</w:t>
      </w:r>
      <w:r w:rsidR="008F725E">
        <w:t xml:space="preserve"> for high-quality, high-rating Australian programming.</w:t>
      </w:r>
      <w:proofErr w:type="gramEnd"/>
    </w:p>
    <w:p w:rsidR="00573290" w:rsidRDefault="003D7BD4" w:rsidP="00F10777">
      <w:pPr>
        <w:pStyle w:val="Numbered"/>
      </w:pPr>
      <w:r>
        <w:t>If</w:t>
      </w:r>
      <w:r w:rsidR="008F725E">
        <w:t xml:space="preserve"> the </w:t>
      </w:r>
      <w:r w:rsidR="008F725E" w:rsidRPr="008F725E">
        <w:t xml:space="preserve">proposed acquisitions </w:t>
      </w:r>
      <w:r w:rsidR="00573290">
        <w:t>have the effect of aligning the incentives of</w:t>
      </w:r>
      <w:r>
        <w:t xml:space="preserve"> Endemol Shine </w:t>
      </w:r>
      <w:r w:rsidR="00933BE6">
        <w:t xml:space="preserve">with Ten </w:t>
      </w:r>
      <w:r>
        <w:t xml:space="preserve">(through the common ownership interests </w:t>
      </w:r>
      <w:r w:rsidR="008A7309">
        <w:t xml:space="preserve">in each of </w:t>
      </w:r>
      <w:r>
        <w:t>News Corp</w:t>
      </w:r>
      <w:r w:rsidR="008A7309">
        <w:t xml:space="preserve"> and 21</w:t>
      </w:r>
      <w:r w:rsidR="008A7309" w:rsidRPr="008A7309">
        <w:rPr>
          <w:vertAlign w:val="superscript"/>
        </w:rPr>
        <w:t>st</w:t>
      </w:r>
      <w:r w:rsidR="008A7309">
        <w:t xml:space="preserve"> Century Fox</w:t>
      </w:r>
      <w:r>
        <w:t xml:space="preserve">), this may </w:t>
      </w:r>
      <w:r w:rsidR="008F725E">
        <w:t xml:space="preserve">result in Ten gaining a position of advantage in acquiring </w:t>
      </w:r>
      <w:r w:rsidR="008F725E" w:rsidRPr="008F725E">
        <w:t xml:space="preserve">premium Australian original content </w:t>
      </w:r>
      <w:r w:rsidR="008F725E">
        <w:t>relative to competing FTA providers</w:t>
      </w:r>
      <w:r>
        <w:t>.</w:t>
      </w:r>
      <w:r w:rsidR="00C60F37">
        <w:t xml:space="preserve"> </w:t>
      </w:r>
    </w:p>
    <w:p w:rsidR="00ED52CE" w:rsidRDefault="003D7BD4" w:rsidP="00F10777">
      <w:pPr>
        <w:pStyle w:val="Numbered"/>
      </w:pPr>
      <w:r w:rsidRPr="00C60F37">
        <w:t>Th</w:t>
      </w:r>
      <w:r w:rsidR="00573290">
        <w:t>e</w:t>
      </w:r>
      <w:r w:rsidRPr="00C60F37">
        <w:t>s</w:t>
      </w:r>
      <w:r w:rsidR="00573290">
        <w:t>e potential effects of the proposed acquisitions</w:t>
      </w:r>
      <w:r w:rsidR="00C60F37" w:rsidRPr="00C60F37">
        <w:t xml:space="preserve"> </w:t>
      </w:r>
      <w:r w:rsidR="00573290">
        <w:t>may</w:t>
      </w:r>
      <w:r w:rsidR="00C60F37" w:rsidRPr="00C60F37">
        <w:t xml:space="preserve"> lessen competition in the </w:t>
      </w:r>
      <w:r w:rsidR="00573290">
        <w:t xml:space="preserve">relevant </w:t>
      </w:r>
      <w:r w:rsidR="00C60F37" w:rsidRPr="00C60F37">
        <w:t>market</w:t>
      </w:r>
      <w:r w:rsidR="00573290">
        <w:t xml:space="preserve"> for the acquisition of non-sport con</w:t>
      </w:r>
      <w:r w:rsidR="0079582F">
        <w:t>t</w:t>
      </w:r>
      <w:r w:rsidR="00573290">
        <w:t>ent</w:t>
      </w:r>
      <w:r w:rsidR="0079582F">
        <w:t>,</w:t>
      </w:r>
      <w:r w:rsidR="00C60F37" w:rsidRPr="00C60F37">
        <w:t xml:space="preserve"> </w:t>
      </w:r>
      <w:r w:rsidR="0079582F" w:rsidRPr="0079582F">
        <w:t xml:space="preserve">result in some </w:t>
      </w:r>
      <w:r w:rsidR="0079582F">
        <w:t>producers</w:t>
      </w:r>
      <w:r w:rsidR="0079582F" w:rsidRPr="0079582F">
        <w:t xml:space="preserve"> of non-sport </w:t>
      </w:r>
      <w:r w:rsidR="0079582F">
        <w:t>content</w:t>
      </w:r>
      <w:r w:rsidR="0079582F" w:rsidRPr="0079582F">
        <w:t xml:space="preserve"> receiving less for their rights</w:t>
      </w:r>
      <w:r w:rsidR="0079582F">
        <w:t>, and</w:t>
      </w:r>
      <w:r w:rsidR="0079582F" w:rsidRPr="0079582F">
        <w:t xml:space="preserve"> </w:t>
      </w:r>
      <w:r w:rsidR="0079582F">
        <w:t xml:space="preserve">lead to a </w:t>
      </w:r>
      <w:r w:rsidR="00C60F37" w:rsidRPr="00C60F37">
        <w:t>reduction in either</w:t>
      </w:r>
      <w:r w:rsidR="00B1782C">
        <w:t xml:space="preserve"> the</w:t>
      </w:r>
      <w:r w:rsidR="00C60F37" w:rsidRPr="00C60F37">
        <w:t xml:space="preserve"> quantity or quality of non-sport programming available to FTA viewers</w:t>
      </w:r>
      <w:r w:rsidR="008F725E">
        <w:t xml:space="preserve">. </w:t>
      </w:r>
    </w:p>
    <w:p w:rsidR="00BF450F" w:rsidRDefault="00BF450F" w:rsidP="00F10777">
      <w:pPr>
        <w:pStyle w:val="Numbered"/>
      </w:pPr>
      <w:r>
        <w:t>Based on the information available to it, the ACCC understands that premium non-sport content differs from premium sports content in several ways:</w:t>
      </w:r>
    </w:p>
    <w:p w:rsidR="00BF450F" w:rsidRDefault="00BF450F" w:rsidP="00DE3AD7">
      <w:pPr>
        <w:pStyle w:val="Numbered"/>
        <w:numPr>
          <w:ilvl w:val="0"/>
          <w:numId w:val="9"/>
        </w:numPr>
      </w:pPr>
      <w:r>
        <w:t>Non-sport content does not have the enduring brand loyalty of p</w:t>
      </w:r>
      <w:r w:rsidRPr="00AF1D19">
        <w:t>remium sports</w:t>
      </w:r>
      <w:r>
        <w:t>, for which</w:t>
      </w:r>
      <w:r w:rsidRPr="00AF1D19">
        <w:t xml:space="preserve"> viewer interest is generally consistent over many years</w:t>
      </w:r>
      <w:r>
        <w:t>.</w:t>
      </w:r>
      <w:r w:rsidRPr="00AF1D19">
        <w:t xml:space="preserve"> </w:t>
      </w:r>
      <w:r>
        <w:t xml:space="preserve">Viewer </w:t>
      </w:r>
      <w:r w:rsidRPr="00AF1D19">
        <w:t xml:space="preserve">interest in </w:t>
      </w:r>
      <w:r>
        <w:t>non-sport</w:t>
      </w:r>
      <w:r w:rsidRPr="00AF1D19">
        <w:t xml:space="preserve"> </w:t>
      </w:r>
      <w:r>
        <w:t>programs and formats</w:t>
      </w:r>
      <w:r w:rsidRPr="00AF1D19">
        <w:t xml:space="preserve"> fluctuates over time</w:t>
      </w:r>
      <w:r>
        <w:t xml:space="preserve"> as tastes in such content change more rapidly. Innovative program ideas and formats can quickly attract significant audiences and ratings from existing programs and formats. </w:t>
      </w:r>
    </w:p>
    <w:p w:rsidR="00BF450F" w:rsidRDefault="00BF450F" w:rsidP="00DE3AD7">
      <w:pPr>
        <w:pStyle w:val="Numbered"/>
        <w:numPr>
          <w:ilvl w:val="0"/>
          <w:numId w:val="9"/>
        </w:numPr>
      </w:pPr>
      <w:r>
        <w:t>There is competiti</w:t>
      </w:r>
      <w:r w:rsidR="003B26B4">
        <w:t>on</w:t>
      </w:r>
      <w:r>
        <w:t xml:space="preserve"> for formats. Popular formats may change hands, by </w:t>
      </w:r>
      <w:proofErr w:type="gramStart"/>
      <w:r>
        <w:t>being acquired</w:t>
      </w:r>
      <w:proofErr w:type="gramEnd"/>
      <w:r>
        <w:t xml:space="preserve"> by another production house or by </w:t>
      </w:r>
      <w:r w:rsidR="0008627D">
        <w:t>an FTA</w:t>
      </w:r>
      <w:r>
        <w:t xml:space="preserve"> network or STV provider.</w:t>
      </w:r>
    </w:p>
    <w:p w:rsidR="00BF450F" w:rsidRDefault="00BF450F" w:rsidP="00DE3AD7">
      <w:pPr>
        <w:pStyle w:val="Numbered"/>
        <w:numPr>
          <w:ilvl w:val="0"/>
          <w:numId w:val="9"/>
        </w:numPr>
      </w:pPr>
      <w:r>
        <w:t xml:space="preserve">Differentiation by STV providers and FTA networks may limit the extent to which they compete for the same non-sport content. In 2014, of the top 20 most popular programs on FTA networks (in the five main capital cities), ten were reality television shows, eight were sports programs and two were episodes of a new-release television mini-series; for STV providers, 18 of the top 20 were sports and the other two were popular recent movies (according to </w:t>
      </w:r>
      <w:proofErr w:type="spellStart"/>
      <w:r>
        <w:t>OzTAM</w:t>
      </w:r>
      <w:proofErr w:type="spellEnd"/>
      <w:r>
        <w:t xml:space="preserve"> figures). </w:t>
      </w:r>
    </w:p>
    <w:p w:rsidR="00FC21F6" w:rsidRDefault="00FC21F6" w:rsidP="00F10777">
      <w:pPr>
        <w:pStyle w:val="Numbered"/>
      </w:pPr>
      <w:r>
        <w:t>The ACCC invites comments from market participants on:</w:t>
      </w:r>
    </w:p>
    <w:p w:rsidR="00FC21F6" w:rsidRDefault="002E4DFD" w:rsidP="00DE3AD7">
      <w:pPr>
        <w:pStyle w:val="commentbox"/>
        <w:numPr>
          <w:ilvl w:val="0"/>
          <w:numId w:val="3"/>
        </w:numPr>
      </w:pPr>
      <w:r w:rsidRPr="002E4DFD">
        <w:t xml:space="preserve">the </w:t>
      </w:r>
      <w:r w:rsidR="00FC21F6">
        <w:t xml:space="preserve">extent to </w:t>
      </w:r>
      <w:r w:rsidR="00FC21F6" w:rsidRPr="00FC21F6">
        <w:t xml:space="preserve">which Ten, Foxtel and Presto will have </w:t>
      </w:r>
      <w:r w:rsidR="0079582F">
        <w:t>aligned</w:t>
      </w:r>
      <w:r w:rsidR="00FC21F6" w:rsidRPr="00FC21F6">
        <w:t xml:space="preserve"> incentive</w:t>
      </w:r>
      <w:r w:rsidR="0079582F">
        <w:t>s</w:t>
      </w:r>
      <w:r w:rsidR="00FC21F6" w:rsidRPr="00FC21F6">
        <w:t xml:space="preserve"> to enter into commercial agreements to acquire the rights to certain non-sports content across STV, FTA and SVOD platforms</w:t>
      </w:r>
    </w:p>
    <w:p w:rsidR="002E4DFD" w:rsidRDefault="002E4DFD" w:rsidP="00DE3AD7">
      <w:pPr>
        <w:pStyle w:val="commentbox"/>
        <w:numPr>
          <w:ilvl w:val="0"/>
          <w:numId w:val="3"/>
        </w:numPr>
      </w:pPr>
      <w:r w:rsidRPr="002E4DFD">
        <w:lastRenderedPageBreak/>
        <w:t xml:space="preserve">the extent to which content acquirers </w:t>
      </w:r>
      <w:r>
        <w:t xml:space="preserve">currently </w:t>
      </w:r>
      <w:r w:rsidRPr="002E4DFD">
        <w:t>acquir</w:t>
      </w:r>
      <w:r>
        <w:t>e</w:t>
      </w:r>
      <w:r w:rsidRPr="002E4DFD">
        <w:t xml:space="preserve"> holdback rights</w:t>
      </w:r>
      <w:r>
        <w:t xml:space="preserve"> to </w:t>
      </w:r>
      <w:r w:rsidR="009E4122" w:rsidRPr="009E4122">
        <w:t>control the time period before the rights to content are made available for broadcasting on other platforms</w:t>
      </w:r>
      <w:r w:rsidR="009E4122">
        <w:t xml:space="preserve"> and the significance of holdback rights for the ability of FTA networks to acquire premium non-sport content</w:t>
      </w:r>
    </w:p>
    <w:p w:rsidR="008F725E" w:rsidRDefault="002E4DFD" w:rsidP="00DE3AD7">
      <w:pPr>
        <w:pStyle w:val="commentbox"/>
        <w:numPr>
          <w:ilvl w:val="0"/>
          <w:numId w:val="3"/>
        </w:numPr>
      </w:pPr>
      <w:r w:rsidRPr="002E4DFD">
        <w:t xml:space="preserve">the </w:t>
      </w:r>
      <w:r w:rsidR="00FC21F6" w:rsidRPr="00FC21F6">
        <w:t xml:space="preserve">likely effect of Ten, Foxtel and Presto </w:t>
      </w:r>
      <w:r w:rsidR="00FC21F6">
        <w:t>acting together</w:t>
      </w:r>
      <w:r w:rsidR="00FC21F6" w:rsidRPr="00FC21F6">
        <w:t xml:space="preserve"> to acquire the rights to certain non-sports content</w:t>
      </w:r>
      <w:r w:rsidR="00FC21F6">
        <w:t xml:space="preserve"> on the ability of other FTA networks to acquire compelling non-sports content </w:t>
      </w:r>
    </w:p>
    <w:p w:rsidR="00D6715A" w:rsidRDefault="002E4DFD" w:rsidP="00DE3AD7">
      <w:pPr>
        <w:pStyle w:val="commentbox"/>
        <w:numPr>
          <w:ilvl w:val="0"/>
          <w:numId w:val="3"/>
        </w:numPr>
      </w:pPr>
      <w:r w:rsidRPr="002E4DFD">
        <w:t xml:space="preserve">the </w:t>
      </w:r>
      <w:r w:rsidR="008F725E" w:rsidRPr="008F725E">
        <w:t>extent to which</w:t>
      </w:r>
      <w:r w:rsidR="008F725E">
        <w:t xml:space="preserve"> </w:t>
      </w:r>
      <w:r w:rsidR="008F725E" w:rsidRPr="008F725E">
        <w:t xml:space="preserve">the proposed acquisitions </w:t>
      </w:r>
      <w:r w:rsidR="00D6715A">
        <w:t xml:space="preserve">would be likely to </w:t>
      </w:r>
      <w:r w:rsidR="008F725E" w:rsidRPr="008F725E">
        <w:t>result in Ten gaining a position of advantage in acquiring premium Australian original content relative to competing FTA providers</w:t>
      </w:r>
    </w:p>
    <w:p w:rsidR="00FC21F6" w:rsidRDefault="0079582F" w:rsidP="00DE3AD7">
      <w:pPr>
        <w:pStyle w:val="commentbox"/>
        <w:numPr>
          <w:ilvl w:val="0"/>
          <w:numId w:val="3"/>
        </w:numPr>
      </w:pPr>
      <w:proofErr w:type="gramStart"/>
      <w:r>
        <w:t>whether</w:t>
      </w:r>
      <w:proofErr w:type="gramEnd"/>
      <w:r>
        <w:t xml:space="preserve"> the proposed acquisitions would be likely to align the incentives of </w:t>
      </w:r>
      <w:r w:rsidR="009E4122">
        <w:t xml:space="preserve">Endemol Shine </w:t>
      </w:r>
      <w:r>
        <w:t>and</w:t>
      </w:r>
      <w:r w:rsidR="009E4122">
        <w:t xml:space="preserve"> Ten</w:t>
      </w:r>
      <w:r>
        <w:t>, which would</w:t>
      </w:r>
      <w:r w:rsidR="009E4122">
        <w:t xml:space="preserve"> </w:t>
      </w:r>
      <w:r>
        <w:t xml:space="preserve">place </w:t>
      </w:r>
      <w:r w:rsidR="008F725E" w:rsidRPr="0079582F">
        <w:t xml:space="preserve">Ten </w:t>
      </w:r>
      <w:r>
        <w:t>in</w:t>
      </w:r>
      <w:r w:rsidR="008F725E" w:rsidRPr="0079582F">
        <w:t xml:space="preserve"> a position of advantage in acquiring premium Australian original content relative to competing FTA providers</w:t>
      </w:r>
      <w:r w:rsidR="00FC21F6">
        <w:t>.</w:t>
      </w:r>
    </w:p>
    <w:p w:rsidR="00BF450F" w:rsidRDefault="00BF450F" w:rsidP="00DE3AD7">
      <w:pPr>
        <w:pStyle w:val="commentbox"/>
        <w:numPr>
          <w:ilvl w:val="0"/>
          <w:numId w:val="3"/>
        </w:numPr>
      </w:pPr>
      <w:r>
        <w:t>the ability of FTA and STV providers to acquire or produce compelling non-sport content, including innovative programs and formats</w:t>
      </w:r>
    </w:p>
    <w:p w:rsidR="005D2C52" w:rsidRDefault="00BF450F" w:rsidP="00DE3AD7">
      <w:pPr>
        <w:pStyle w:val="commentbox"/>
        <w:numPr>
          <w:ilvl w:val="0"/>
          <w:numId w:val="3"/>
        </w:numPr>
      </w:pPr>
      <w:r>
        <w:t xml:space="preserve">the extent </w:t>
      </w:r>
      <w:r w:rsidR="005D01EF">
        <w:t xml:space="preserve">to </w:t>
      </w:r>
      <w:r>
        <w:t>which STV providers and FTA networks compete for the same types of premium non-sport content</w:t>
      </w:r>
    </w:p>
    <w:p w:rsidR="0007076B" w:rsidRPr="00794C03" w:rsidRDefault="0007076B" w:rsidP="0007076B">
      <w:pPr>
        <w:pStyle w:val="Heading6"/>
        <w:keepNext/>
        <w:spacing w:after="240"/>
        <w:rPr>
          <w:rFonts w:ascii="Arial" w:hAnsi="Arial" w:cs="Arial"/>
        </w:rPr>
      </w:pPr>
      <w:r>
        <w:rPr>
          <w:rFonts w:ascii="Arial" w:hAnsi="Arial" w:cs="Arial"/>
        </w:rPr>
        <w:t>S</w:t>
      </w:r>
      <w:r w:rsidRPr="00794C03">
        <w:rPr>
          <w:rFonts w:ascii="Arial" w:hAnsi="Arial" w:cs="Arial"/>
        </w:rPr>
        <w:t xml:space="preserve">upply of FTA </w:t>
      </w:r>
      <w:r>
        <w:rPr>
          <w:rFonts w:ascii="Arial" w:hAnsi="Arial" w:cs="Arial"/>
        </w:rPr>
        <w:t xml:space="preserve">television </w:t>
      </w:r>
      <w:r w:rsidRPr="00794C03">
        <w:rPr>
          <w:rFonts w:ascii="Arial" w:hAnsi="Arial" w:cs="Arial"/>
        </w:rPr>
        <w:t>services</w:t>
      </w:r>
      <w:r>
        <w:rPr>
          <w:rFonts w:ascii="Arial" w:hAnsi="Arial" w:cs="Arial"/>
        </w:rPr>
        <w:t xml:space="preserve"> and supply of television viewing services encompassing both FTA and STV services</w:t>
      </w:r>
    </w:p>
    <w:p w:rsidR="0007076B" w:rsidRDefault="0007076B" w:rsidP="00F10777">
      <w:pPr>
        <w:pStyle w:val="Numbered"/>
      </w:pPr>
      <w:r w:rsidRPr="00ED52CE">
        <w:t xml:space="preserve">The ACCC’s preliminary view is </w:t>
      </w:r>
      <w:r w:rsidRPr="00867B09">
        <w:t xml:space="preserve">that the proposed acquisitions </w:t>
      </w:r>
      <w:r>
        <w:t>may</w:t>
      </w:r>
      <w:r w:rsidRPr="00867B09">
        <w:t xml:space="preserve"> </w:t>
      </w:r>
      <w:r>
        <w:t xml:space="preserve">substantially </w:t>
      </w:r>
      <w:r w:rsidRPr="00867B09">
        <w:t>lessen c</w:t>
      </w:r>
      <w:r>
        <w:t xml:space="preserve">ompetition in the supply of FTA </w:t>
      </w:r>
      <w:r w:rsidRPr="00867B09">
        <w:t>services to consumers</w:t>
      </w:r>
      <w:r w:rsidR="00B1454C">
        <w:t xml:space="preserve"> and in a broader market for the supply of television viewing services encompassing both FTA and STV</w:t>
      </w:r>
      <w:r>
        <w:t xml:space="preserve">. </w:t>
      </w:r>
    </w:p>
    <w:p w:rsidR="0007076B" w:rsidRDefault="0007076B" w:rsidP="00F10777">
      <w:pPr>
        <w:pStyle w:val="Numbered"/>
      </w:pPr>
      <w:r>
        <w:t>The ACCC is concerned that Ten’s FTA competitors may be less able to engage in direct competition with Ten for viewers and advertisers following the proposed acquisitions, potentially leading to a reduction in the quality or choice of FTA television programming available to viewers.</w:t>
      </w:r>
    </w:p>
    <w:p w:rsidR="008A5137" w:rsidRDefault="008A5137" w:rsidP="00F10777">
      <w:pPr>
        <w:pStyle w:val="Numbered"/>
      </w:pPr>
      <w:r>
        <w:t xml:space="preserve">Based on the information available to it, the ACCC considers that premium sports are an extremely important part of </w:t>
      </w:r>
      <w:r w:rsidR="0008627D">
        <w:t>an FTA</w:t>
      </w:r>
      <w:r>
        <w:t xml:space="preserve"> network’s program offering. Premium sports provide </w:t>
      </w:r>
      <w:r w:rsidR="0008627D">
        <w:t>an FTA</w:t>
      </w:r>
      <w:r>
        <w:t xml:space="preserve"> network with a high degree of ratings certainty, as viewer interest in major sports is generally consistent over many years, whereas interest in other programs or formats fluctuates more rapidly over time. The consistent ratings of major sports enable FTA networks to implement cross promotion and lead in strategies around sporting events, leading to a ratings ‘halo’ effect whereby broadcasting premium sports increases the network’s ratings overall. These benefits cause FTA networks to spend a significant proportion of their programming budgets on the acquisition of premium sports rights.</w:t>
      </w:r>
    </w:p>
    <w:p w:rsidR="00291853" w:rsidRPr="00291853" w:rsidRDefault="00291853" w:rsidP="00F10777">
      <w:pPr>
        <w:pStyle w:val="Numbered"/>
      </w:pPr>
      <w:r w:rsidRPr="00291853">
        <w:t>Sports content is also very important to Foxtel for attracting subscribers. As noted above, the ACCC understands that Fox Sports acquires a large volume of sports content, which is broadcast on Foxtel’s sports channels and Foxtel also acquires sports rights in its own right.</w:t>
      </w:r>
    </w:p>
    <w:p w:rsidR="008A5137" w:rsidRDefault="008A5137" w:rsidP="00F10777">
      <w:pPr>
        <w:pStyle w:val="Numbered"/>
      </w:pPr>
      <w:r>
        <w:lastRenderedPageBreak/>
        <w:t>The ACCC considers that the benefits to FTA networks</w:t>
      </w:r>
      <w:r w:rsidR="00291853">
        <w:t xml:space="preserve"> and STV providers</w:t>
      </w:r>
      <w:r>
        <w:t xml:space="preserve"> of having the rights to premium sporting events are unlikely to decrease in the foreseeable future. In fact, the ACCC considers that these benefits are likely to continue as ratings for live sporting events are unlikely to be affected by other forms of audio-visual distribution such as ‘on demand’ viewing over the internet. The ACCC notes that five of the top ten FTA programs in 2014 were sports content (based on </w:t>
      </w:r>
      <w:proofErr w:type="spellStart"/>
      <w:r>
        <w:t>Oz</w:t>
      </w:r>
      <w:r w:rsidR="009B3937">
        <w:t>TAM</w:t>
      </w:r>
      <w:proofErr w:type="spellEnd"/>
      <w:r>
        <w:t xml:space="preserve"> figures).</w:t>
      </w:r>
    </w:p>
    <w:p w:rsidR="00731D4D" w:rsidRDefault="00731D4D" w:rsidP="00F10777">
      <w:pPr>
        <w:pStyle w:val="Numbered"/>
      </w:pPr>
      <w:r w:rsidRPr="00593757">
        <w:t xml:space="preserve">Given the importance of premium sports content to </w:t>
      </w:r>
      <w:r w:rsidR="0008627D">
        <w:t>an FTA</w:t>
      </w:r>
      <w:r w:rsidRPr="00593757">
        <w:t xml:space="preserve"> network’s ability to compete strongly with other FTA networks</w:t>
      </w:r>
      <w:r w:rsidR="00291853">
        <w:t xml:space="preserve"> and with STV providers for viewers and advertisers</w:t>
      </w:r>
      <w:r w:rsidRPr="00593757">
        <w:t>, the ACCC is concerned that the advantage Ten could gain in acquiring sporting content</w:t>
      </w:r>
      <w:r w:rsidR="008A5137">
        <w:t xml:space="preserve"> (discussed above) </w:t>
      </w:r>
      <w:r w:rsidRPr="00593757">
        <w:t xml:space="preserve">may lead to a substantial lessening of competition in </w:t>
      </w:r>
      <w:r w:rsidR="00291853">
        <w:t xml:space="preserve">a broad market for television </w:t>
      </w:r>
      <w:r w:rsidR="00A51BD6">
        <w:t xml:space="preserve">viewing </w:t>
      </w:r>
      <w:r w:rsidR="00291853">
        <w:t xml:space="preserve">services that includes (at least) </w:t>
      </w:r>
      <w:r w:rsidRPr="00593757">
        <w:t xml:space="preserve">FTA </w:t>
      </w:r>
      <w:r w:rsidR="00291853">
        <w:t>and STV</w:t>
      </w:r>
      <w:r w:rsidRPr="00593757">
        <w:t xml:space="preserve"> </w:t>
      </w:r>
      <w:r w:rsidR="00291853">
        <w:t>services</w:t>
      </w:r>
      <w:r w:rsidRPr="00593757">
        <w:t>.</w:t>
      </w:r>
    </w:p>
    <w:p w:rsidR="00B1454C" w:rsidRDefault="00B1454C" w:rsidP="00F10777">
      <w:pPr>
        <w:pStyle w:val="Numbered"/>
      </w:pPr>
      <w:r>
        <w:t xml:space="preserve">Foxtel </w:t>
      </w:r>
      <w:r w:rsidR="00C72891">
        <w:t xml:space="preserve">competes </w:t>
      </w:r>
      <w:r w:rsidR="00C72891" w:rsidRPr="00C72891">
        <w:t xml:space="preserve">for viewers </w:t>
      </w:r>
      <w:r w:rsidR="00C72891">
        <w:t>with the</w:t>
      </w:r>
      <w:r>
        <w:t xml:space="preserve"> FTA networks</w:t>
      </w:r>
      <w:r w:rsidR="00C72891">
        <w:t xml:space="preserve">, and the FTA networks compete </w:t>
      </w:r>
      <w:r w:rsidR="00291853">
        <w:t>with each other and with Foxtel</w:t>
      </w:r>
      <w:r w:rsidR="00C72891">
        <w:t xml:space="preserve">, by offering compelling content that cannot be seen on their competitors’ platforms (or cannot be seen without a delay that reduces its value to viewers). </w:t>
      </w:r>
      <w:proofErr w:type="gramStart"/>
      <w:r w:rsidR="00C72891">
        <w:t>Sport is a key element of this competition, because of viewers’ high and consistent interest in the major sports and because the value of sports content is greatest when shown live</w:t>
      </w:r>
      <w:proofErr w:type="gramEnd"/>
      <w:r w:rsidR="00C72891">
        <w:t>. Exclusive rights to sports content, and rights to broadcast an entire sporting series or season, are particularly important to Foxtel, in building and maintaining its subscriber base as many viewers are willing to pay to see all games or events live for the sports they follow.</w:t>
      </w:r>
    </w:p>
    <w:p w:rsidR="00573290" w:rsidRDefault="00573290" w:rsidP="00F10777">
      <w:pPr>
        <w:pStyle w:val="Numbered"/>
      </w:pPr>
      <w:r>
        <w:t xml:space="preserve">Bidding partners for any sporting rights are also rivals at the margin, both wishing to optimise their share of the rights (for example, </w:t>
      </w:r>
      <w:r w:rsidR="008343D8">
        <w:t xml:space="preserve">an </w:t>
      </w:r>
      <w:r>
        <w:t xml:space="preserve">FTA broadcaster will wish to show more and better live games, whereas Foxtel will wish to maximise its level of exclusive rights). Market inquiries raised concerns that </w:t>
      </w:r>
      <w:r w:rsidR="00A51BD6">
        <w:t>if there is an</w:t>
      </w:r>
      <w:r>
        <w:t xml:space="preserve"> </w:t>
      </w:r>
      <w:r w:rsidR="008A5137">
        <w:t>alignment of Foxtel, Fox Sports and Ten’s incentives flowing from</w:t>
      </w:r>
      <w:r>
        <w:t xml:space="preserve"> the proposed acquisitions, the outcome of any joint bid between Ten and Foxtel</w:t>
      </w:r>
      <w:r w:rsidR="008A5137">
        <w:t xml:space="preserve"> (or Fox Sports)</w:t>
      </w:r>
      <w:r>
        <w:t xml:space="preserve"> may be more and/or better games being shown exclusively on Foxtel compared to </w:t>
      </w:r>
      <w:r w:rsidR="00A51BD6">
        <w:t xml:space="preserve">the outcome of </w:t>
      </w:r>
      <w:r>
        <w:t xml:space="preserve">a joint bid or arrangement between Foxtel and </w:t>
      </w:r>
      <w:r w:rsidR="0008627D">
        <w:t>an FTA</w:t>
      </w:r>
      <w:r>
        <w:t xml:space="preserve"> broadcaster in which it did not hold a significant shareholding. This strengthening of Foxtel’s sports rights position would</w:t>
      </w:r>
      <w:r w:rsidR="009D3BC0">
        <w:t xml:space="preserve"> reduce the competitive constraint imposed on Foxtel by FTA services and</w:t>
      </w:r>
      <w:r>
        <w:t xml:space="preserve"> increase its ability to attract subscribers and to charge higher subscription rates, and would also serve to further entrench Foxtel’s dominance in STV broadcasting.</w:t>
      </w:r>
    </w:p>
    <w:p w:rsidR="00D96E91" w:rsidRDefault="00D96E91" w:rsidP="00F10777">
      <w:pPr>
        <w:pStyle w:val="Numbered"/>
      </w:pPr>
      <w:r>
        <w:t>It has been argued that the relatively low level of penetration of STV in Australia compared to, for example, the UK and the US, is in part due to the anti-siphoning regime and that a tie up between Foxtel and Ten could significantly alter the competitive landscape.</w:t>
      </w:r>
    </w:p>
    <w:p w:rsidR="008A5137" w:rsidRDefault="00573290" w:rsidP="00F10777">
      <w:pPr>
        <w:pStyle w:val="Numbered"/>
      </w:pPr>
      <w:r w:rsidRPr="00BC5334">
        <w:t>The ACCC is considering whether</w:t>
      </w:r>
      <w:r w:rsidR="008A5137">
        <w:t xml:space="preserve">, </w:t>
      </w:r>
      <w:proofErr w:type="gramStart"/>
      <w:r w:rsidR="008A5137">
        <w:t>as a result</w:t>
      </w:r>
      <w:proofErr w:type="gramEnd"/>
      <w:r w:rsidR="008A5137">
        <w:t xml:space="preserve"> of the proposed acquisitions,</w:t>
      </w:r>
      <w:r w:rsidRPr="00BC5334">
        <w:t xml:space="preserve"> </w:t>
      </w:r>
      <w:r w:rsidR="008A5137">
        <w:t xml:space="preserve">the alignment of incentives would lead to </w:t>
      </w:r>
      <w:r>
        <w:t xml:space="preserve">Ten </w:t>
      </w:r>
      <w:r w:rsidR="008A5137">
        <w:t>granting</w:t>
      </w:r>
      <w:r>
        <w:t xml:space="preserve"> Foxtel exclusive rights to broadcast more high-rating games or events live on Foxtel. </w:t>
      </w:r>
      <w:r w:rsidR="00CF2871">
        <w:t>This may be likely to occur where Foxtel and Ten benefit from such arrangements to the detriment of Ten’s FTA competitors.</w:t>
      </w:r>
    </w:p>
    <w:p w:rsidR="007C1DFB" w:rsidRDefault="00680E3C" w:rsidP="00F10777">
      <w:pPr>
        <w:pStyle w:val="Numbered"/>
      </w:pPr>
      <w:r>
        <w:t>Given the importance of premium sports content to Foxtel’s ability to compete strongly with the FTA networks</w:t>
      </w:r>
      <w:r w:rsidR="00A51BD6">
        <w:t xml:space="preserve"> (and vice versa)</w:t>
      </w:r>
      <w:r>
        <w:t xml:space="preserve">, the ACCC is concerned that if such arrangements were put in place, it may lead to a substantial lessening of </w:t>
      </w:r>
      <w:r>
        <w:lastRenderedPageBreak/>
        <w:t>competition in a broader market for the supply of television services that includes FTA and STV services.</w:t>
      </w:r>
    </w:p>
    <w:p w:rsidR="005D2C52" w:rsidRDefault="00BF450F" w:rsidP="00F10777">
      <w:pPr>
        <w:pStyle w:val="Numbered"/>
      </w:pPr>
      <w:r>
        <w:t>However, the ACCC is also considering the alternative view, put by some market participants, that such arrangements may strengthen Ten’s ability to compete with other FTA networks, particularly Seven and Nine</w:t>
      </w:r>
      <w:r w:rsidR="00A51BD6">
        <w:t>,</w:t>
      </w:r>
      <w:r>
        <w:t xml:space="preserve"> which recently obtained rights to AFL and NRL games respectively, in the narrow</w:t>
      </w:r>
      <w:r w:rsidR="00A51BD6">
        <w:t>er</w:t>
      </w:r>
      <w:r>
        <w:t xml:space="preserve"> market for the supply of FTA television services.</w:t>
      </w:r>
    </w:p>
    <w:p w:rsidR="00BF450F" w:rsidRDefault="00BF450F" w:rsidP="00F10777">
      <w:pPr>
        <w:pStyle w:val="Numbered"/>
      </w:pPr>
      <w:r w:rsidRPr="00B1183E">
        <w:t xml:space="preserve">The ACCC </w:t>
      </w:r>
      <w:r>
        <w:t xml:space="preserve">is also considering whether </w:t>
      </w:r>
      <w:r w:rsidR="00E15F82">
        <w:t xml:space="preserve">some </w:t>
      </w:r>
      <w:r>
        <w:t xml:space="preserve">sporting rights holders may seek to prevent arrangements between Foxtel and Ten that </w:t>
      </w:r>
      <w:r w:rsidRPr="00B1183E">
        <w:t>grant</w:t>
      </w:r>
      <w:r>
        <w:t>ed</w:t>
      </w:r>
      <w:r w:rsidRPr="00B1183E">
        <w:t xml:space="preserve"> Foxtel exclusive rights to broadcast more high-rating games or events live on Foxtel</w:t>
      </w:r>
      <w:r>
        <w:t xml:space="preserve"> and fewer, or less popular, games or events live on FTA television. </w:t>
      </w:r>
    </w:p>
    <w:p w:rsidR="00BF450F" w:rsidRPr="00B1183E" w:rsidRDefault="0083067D" w:rsidP="00F10777">
      <w:pPr>
        <w:pStyle w:val="Numbered"/>
      </w:pPr>
      <w:r>
        <w:t>As noted above in the context of sports rights, t</w:t>
      </w:r>
      <w:r w:rsidR="00BF450F">
        <w:t>he ACCC</w:t>
      </w:r>
      <w:r w:rsidR="00BF450F" w:rsidRPr="00B1183E">
        <w:t xml:space="preserve"> understands that some sporting rights holders may have significant bargaining power because of the importance of premium sports content to both Foxtel and the FTA networks</w:t>
      </w:r>
      <w:r>
        <w:t xml:space="preserve">, and </w:t>
      </w:r>
      <w:r w:rsidR="00BF450F" w:rsidRPr="00B1183E">
        <w:t xml:space="preserve">that sporting rights holders typically seek to </w:t>
      </w:r>
      <w:r>
        <w:t xml:space="preserve">use this power to </w:t>
      </w:r>
      <w:r w:rsidR="00BF450F" w:rsidRPr="00B1183E">
        <w:t xml:space="preserve">optimise the overall benefits </w:t>
      </w:r>
      <w:r>
        <w:t xml:space="preserve">of audience reach </w:t>
      </w:r>
      <w:r w:rsidR="00A51BD6">
        <w:t>and</w:t>
      </w:r>
      <w:r>
        <w:t xml:space="preserve"> revenue</w:t>
      </w:r>
      <w:r w:rsidR="00BF450F" w:rsidRPr="00B1183E">
        <w:t xml:space="preserve">. </w:t>
      </w:r>
    </w:p>
    <w:p w:rsidR="00680E3C" w:rsidRDefault="00680E3C" w:rsidP="00F10777">
      <w:pPr>
        <w:pStyle w:val="Numbered"/>
      </w:pPr>
      <w:r>
        <w:t xml:space="preserve">In relation to non-premium sports content, the ACCC is concerned </w:t>
      </w:r>
      <w:r w:rsidRPr="00680E3C">
        <w:t>that</w:t>
      </w:r>
      <w:r>
        <w:t xml:space="preserve">, where </w:t>
      </w:r>
      <w:r w:rsidRPr="00680E3C">
        <w:t xml:space="preserve">FTA networks compete with Foxtel to acquire the rights to </w:t>
      </w:r>
      <w:r>
        <w:t>this</w:t>
      </w:r>
      <w:r w:rsidRPr="00680E3C">
        <w:t xml:space="preserve"> sports content</w:t>
      </w:r>
      <w:r>
        <w:t>,</w:t>
      </w:r>
      <w:r w:rsidRPr="00680E3C">
        <w:t xml:space="preserve"> the proposed acquisitions may weaken Ten’s incentive to compete aggressively with Foxtel for these rights.</w:t>
      </w:r>
      <w:r>
        <w:t xml:space="preserve"> This could result in</w:t>
      </w:r>
      <w:r w:rsidRPr="00680E3C">
        <w:t xml:space="preserve"> a reduction in competition for the acquisition of this content</w:t>
      </w:r>
      <w:r>
        <w:t xml:space="preserve"> by FTA networks</w:t>
      </w:r>
      <w:r w:rsidR="006D7C6A">
        <w:t xml:space="preserve"> (as previously discussed)</w:t>
      </w:r>
      <w:r w:rsidRPr="00680E3C">
        <w:t xml:space="preserve"> </w:t>
      </w:r>
      <w:r>
        <w:t>and</w:t>
      </w:r>
      <w:r w:rsidRPr="00680E3C">
        <w:t xml:space="preserve"> lead to FTA consumers receiving a lower quality or quantity of games or events compared to the likely scenario absent the acquisition</w:t>
      </w:r>
      <w:r w:rsidR="00344CF8">
        <w:t>s</w:t>
      </w:r>
      <w:r w:rsidRPr="00680E3C">
        <w:t xml:space="preserve">. </w:t>
      </w:r>
      <w:r w:rsidR="009C1BA5">
        <w:t>On the other hand, the ACCC is considering whether any such coordination by Ten/Foxtel could provide an incentive for Seven and Nine to acquire such content</w:t>
      </w:r>
      <w:r w:rsidR="00E15F82">
        <w:t xml:space="preserve">, including whether </w:t>
      </w:r>
      <w:r w:rsidR="00654CED">
        <w:t xml:space="preserve">the expansion of FTA to </w:t>
      </w:r>
      <w:r w:rsidR="00E15F82">
        <w:t>multi-channels has increased their incentive to acquire, and ability to broadcast, a wider range of sports content</w:t>
      </w:r>
      <w:r w:rsidR="009C1BA5">
        <w:t>.</w:t>
      </w:r>
    </w:p>
    <w:p w:rsidR="00573290" w:rsidRDefault="00573290" w:rsidP="00F10777">
      <w:pPr>
        <w:pStyle w:val="Numbered"/>
      </w:pPr>
      <w:r>
        <w:t xml:space="preserve">The ACCC is </w:t>
      </w:r>
      <w:r w:rsidR="00CF2871">
        <w:t xml:space="preserve">also </w:t>
      </w:r>
      <w:r>
        <w:t xml:space="preserve">concerned that the proposed acquisitions may further weaken competition for the supply of FTA services through their effect on the acquisition of non-sport content, particularly in relation to premium (that is, high rating) original Australian content. </w:t>
      </w:r>
    </w:p>
    <w:p w:rsidR="00573290" w:rsidRDefault="00573290" w:rsidP="00F10777">
      <w:pPr>
        <w:pStyle w:val="Numbered"/>
      </w:pPr>
      <w:r>
        <w:t>Ten’s likely advantage in acquiring premium sports content post-acquisition could allow it to leverage that advantage into the market for the acquisition of non-sport content</w:t>
      </w:r>
      <w:r w:rsidR="003B42E5">
        <w:t xml:space="preserve"> (though the ‘halo’ effect)</w:t>
      </w:r>
      <w:r>
        <w:t>—a strategy that may be denied to other FTA networks as a result of the proposed acquisitions.</w:t>
      </w:r>
    </w:p>
    <w:p w:rsidR="00573290" w:rsidRDefault="00573290" w:rsidP="00F10777">
      <w:pPr>
        <w:pStyle w:val="Numbered"/>
      </w:pPr>
      <w:r>
        <w:t xml:space="preserve">Such an advantage for </w:t>
      </w:r>
      <w:proofErr w:type="gramStart"/>
      <w:r>
        <w:t>Ten</w:t>
      </w:r>
      <w:proofErr w:type="gramEnd"/>
      <w:r>
        <w:t xml:space="preserve"> would be likely to result in lower ratings for the other FTA networks, which would reduce their ability to attract advertising revenues. Lower advertising revenues would reduce their capacity to compete in acquiring compelling non-sport content</w:t>
      </w:r>
      <w:r w:rsidR="003B42E5">
        <w:t>,</w:t>
      </w:r>
      <w:r>
        <w:t xml:space="preserve"> further lessen competition in the television </w:t>
      </w:r>
      <w:r w:rsidR="00E532AA">
        <w:t xml:space="preserve">viewing </w:t>
      </w:r>
      <w:r>
        <w:t xml:space="preserve">market and lead to a reduction in either </w:t>
      </w:r>
      <w:r w:rsidR="0044420C">
        <w:t xml:space="preserve">the </w:t>
      </w:r>
      <w:r>
        <w:t>quantity or quality of non-sport programming available to FTA viewers.</w:t>
      </w:r>
    </w:p>
    <w:p w:rsidR="005D2C52" w:rsidRDefault="00680E3C" w:rsidP="00F10777">
      <w:pPr>
        <w:pStyle w:val="Numbered"/>
      </w:pPr>
      <w:r>
        <w:t>Similar to the situation for sports content, the proposed acquisitions could, by aligning</w:t>
      </w:r>
      <w:r w:rsidR="00D56D82">
        <w:t xml:space="preserve"> Foxtel’s and Ten’s incentives</w:t>
      </w:r>
      <w:r>
        <w:t xml:space="preserve">, </w:t>
      </w:r>
      <w:r w:rsidR="00D56D82">
        <w:t xml:space="preserve">result in arrangements for the coordinated acquisition of non-sport content result in more compelling content being acquired by Foxtel to the detriment of FTA networks other than Ten. </w:t>
      </w:r>
      <w:r w:rsidR="00E15F82">
        <w:t xml:space="preserve">However, the ACCC is also considering whether </w:t>
      </w:r>
      <w:r w:rsidR="007D631E">
        <w:t>any such coordination</w:t>
      </w:r>
      <w:r w:rsidR="00E15F82">
        <w:t xml:space="preserve"> may give the other FTA networks a</w:t>
      </w:r>
      <w:r w:rsidR="007D631E">
        <w:t>n incentive</w:t>
      </w:r>
      <w:r w:rsidR="00E15F82">
        <w:t xml:space="preserve"> </w:t>
      </w:r>
      <w:r w:rsidR="007D631E">
        <w:t xml:space="preserve">(and whether they would have the </w:t>
      </w:r>
      <w:r w:rsidR="007D631E">
        <w:lastRenderedPageBreak/>
        <w:t xml:space="preserve">ability) </w:t>
      </w:r>
      <w:r w:rsidR="00E15F82">
        <w:t xml:space="preserve">to acquire or produce compelling non-sport content </w:t>
      </w:r>
      <w:r w:rsidR="007D631E">
        <w:t>to</w:t>
      </w:r>
      <w:r w:rsidR="00E15F82">
        <w:t xml:space="preserve"> offset any attempt to damage their capacity to attract </w:t>
      </w:r>
      <w:r w:rsidR="007D631E">
        <w:t>viewers</w:t>
      </w:r>
      <w:r w:rsidR="00E15F82">
        <w:t>.</w:t>
      </w:r>
    </w:p>
    <w:p w:rsidR="00573290" w:rsidRPr="00573290" w:rsidRDefault="00573290" w:rsidP="00DE3AD7">
      <w:pPr>
        <w:numPr>
          <w:ilvl w:val="0"/>
          <w:numId w:val="10"/>
        </w:numPr>
        <w:tabs>
          <w:tab w:val="num" w:pos="360"/>
        </w:tabs>
        <w:spacing w:after="240"/>
        <w:ind w:left="567" w:hanging="567"/>
        <w:rPr>
          <w:rFonts w:ascii="Arial" w:hAnsi="Arial" w:cs="Arial"/>
          <w:sz w:val="22"/>
          <w:szCs w:val="22"/>
        </w:rPr>
      </w:pPr>
      <w:r w:rsidRPr="00573290">
        <w:rPr>
          <w:rFonts w:ascii="Arial" w:hAnsi="Arial" w:cs="Arial"/>
          <w:sz w:val="22"/>
          <w:szCs w:val="22"/>
        </w:rPr>
        <w:t>The ACCC invites comments from market participants on:</w:t>
      </w:r>
    </w:p>
    <w:p w:rsidR="00573290" w:rsidRDefault="00573290" w:rsidP="00DE3AD7">
      <w:pPr>
        <w:numPr>
          <w:ilvl w:val="0"/>
          <w:numId w:val="3"/>
        </w:numPr>
        <w:shd w:val="clear" w:color="auto" w:fill="D9D9D9"/>
        <w:spacing w:before="240" w:after="240"/>
        <w:rPr>
          <w:rFonts w:ascii="Arial" w:hAnsi="Arial" w:cs="Arial"/>
          <w:sz w:val="22"/>
          <w:szCs w:val="22"/>
        </w:rPr>
      </w:pPr>
      <w:r w:rsidRPr="00573290">
        <w:rPr>
          <w:rFonts w:ascii="Arial" w:hAnsi="Arial" w:cs="Arial"/>
          <w:sz w:val="22"/>
          <w:szCs w:val="22"/>
        </w:rPr>
        <w:t>the importance of sports content to FTA networks and Foxtel, including the significance of any ‘halo’ effect on overall ratings</w:t>
      </w:r>
    </w:p>
    <w:p w:rsidR="005125C5" w:rsidRPr="00573290" w:rsidRDefault="005125C5" w:rsidP="00DE3AD7">
      <w:pPr>
        <w:numPr>
          <w:ilvl w:val="0"/>
          <w:numId w:val="3"/>
        </w:numPr>
        <w:shd w:val="clear" w:color="auto" w:fill="D9D9D9"/>
        <w:spacing w:before="240" w:after="240"/>
        <w:rPr>
          <w:rFonts w:ascii="Arial" w:hAnsi="Arial" w:cs="Arial"/>
          <w:sz w:val="22"/>
          <w:szCs w:val="22"/>
        </w:rPr>
      </w:pPr>
      <w:r>
        <w:rPr>
          <w:rFonts w:ascii="Arial" w:hAnsi="Arial" w:cs="Arial"/>
          <w:sz w:val="22"/>
          <w:szCs w:val="22"/>
        </w:rPr>
        <w:t>the likely effect of the proposed acquisitions on competition between Foxtel and FTA networks, and among FTA networks, for viewers based on their ability to obtain premium sports content</w:t>
      </w:r>
    </w:p>
    <w:p w:rsidR="00573290" w:rsidRPr="00573290" w:rsidRDefault="00573290" w:rsidP="00DE3AD7">
      <w:pPr>
        <w:numPr>
          <w:ilvl w:val="0"/>
          <w:numId w:val="3"/>
        </w:numPr>
        <w:shd w:val="clear" w:color="auto" w:fill="D9D9D9"/>
        <w:spacing w:before="240" w:after="240"/>
        <w:rPr>
          <w:rFonts w:ascii="Arial" w:hAnsi="Arial" w:cs="Arial"/>
          <w:sz w:val="22"/>
          <w:szCs w:val="22"/>
        </w:rPr>
      </w:pPr>
      <w:r w:rsidRPr="00573290">
        <w:rPr>
          <w:rFonts w:ascii="Arial" w:hAnsi="Arial" w:cs="Arial"/>
          <w:sz w:val="22"/>
          <w:szCs w:val="22"/>
        </w:rPr>
        <w:t xml:space="preserve">the extent to which sporting bodies are able to determine when and where their games or events are broadcast on FTA and STV networks, including any views on the significance of the recent NRL and AFL broadcasting deals for competition for the acquisition of sports content and in the supply of FTA </w:t>
      </w:r>
      <w:r w:rsidR="00A51BD6">
        <w:rPr>
          <w:rFonts w:ascii="Arial" w:hAnsi="Arial" w:cs="Arial"/>
          <w:sz w:val="22"/>
          <w:szCs w:val="22"/>
        </w:rPr>
        <w:t xml:space="preserve">and STV </w:t>
      </w:r>
      <w:r w:rsidRPr="00573290">
        <w:rPr>
          <w:rFonts w:ascii="Arial" w:hAnsi="Arial" w:cs="Arial"/>
          <w:sz w:val="22"/>
          <w:szCs w:val="22"/>
        </w:rPr>
        <w:t xml:space="preserve">services </w:t>
      </w:r>
    </w:p>
    <w:p w:rsidR="00573290" w:rsidRPr="00573290" w:rsidRDefault="00573290" w:rsidP="00DE3AD7">
      <w:pPr>
        <w:numPr>
          <w:ilvl w:val="0"/>
          <w:numId w:val="3"/>
        </w:numPr>
        <w:shd w:val="clear" w:color="auto" w:fill="D9D9D9"/>
        <w:spacing w:before="240" w:after="240"/>
        <w:rPr>
          <w:rFonts w:ascii="Arial" w:hAnsi="Arial" w:cs="Arial"/>
          <w:sz w:val="22"/>
          <w:szCs w:val="22"/>
        </w:rPr>
      </w:pPr>
      <w:r w:rsidRPr="00573290">
        <w:rPr>
          <w:rFonts w:ascii="Arial" w:hAnsi="Arial" w:cs="Arial"/>
          <w:sz w:val="22"/>
          <w:szCs w:val="22"/>
        </w:rPr>
        <w:t>the effect of the proposed acquisitions on the scheduling of sporting content, the quantity of sporting content shown on FTA television and the impact on the quality of FTA television for viewers</w:t>
      </w:r>
    </w:p>
    <w:p w:rsidR="005125C5" w:rsidRDefault="003B42E5" w:rsidP="00DE3AD7">
      <w:pPr>
        <w:numPr>
          <w:ilvl w:val="0"/>
          <w:numId w:val="3"/>
        </w:numPr>
        <w:shd w:val="clear" w:color="auto" w:fill="D9D9D9"/>
        <w:spacing w:before="240" w:after="240"/>
        <w:rPr>
          <w:rFonts w:ascii="Arial" w:hAnsi="Arial" w:cs="Arial"/>
          <w:sz w:val="22"/>
          <w:szCs w:val="22"/>
        </w:rPr>
      </w:pPr>
      <w:r>
        <w:rPr>
          <w:rFonts w:ascii="Arial" w:hAnsi="Arial" w:cs="Arial"/>
          <w:sz w:val="22"/>
          <w:szCs w:val="22"/>
        </w:rPr>
        <w:t>the effect of the proposed acquisitions on the ability of Foxtel’s and Ten’s FTA competitors to acquire compelling non-sport content and compete for television viewers</w:t>
      </w:r>
    </w:p>
    <w:p w:rsidR="00573290" w:rsidRPr="005125C5" w:rsidRDefault="005125C5" w:rsidP="00DE3AD7">
      <w:pPr>
        <w:numPr>
          <w:ilvl w:val="0"/>
          <w:numId w:val="3"/>
        </w:numPr>
        <w:shd w:val="clear" w:color="auto" w:fill="D9D9D9"/>
        <w:spacing w:before="240" w:after="240"/>
        <w:rPr>
          <w:rFonts w:ascii="Arial" w:hAnsi="Arial" w:cs="Arial"/>
          <w:sz w:val="22"/>
          <w:szCs w:val="22"/>
        </w:rPr>
      </w:pPr>
      <w:proofErr w:type="gramStart"/>
      <w:r w:rsidRPr="005125C5">
        <w:rPr>
          <w:rFonts w:ascii="Arial" w:hAnsi="Arial" w:cs="Arial"/>
          <w:sz w:val="22"/>
          <w:szCs w:val="22"/>
        </w:rPr>
        <w:t>the</w:t>
      </w:r>
      <w:proofErr w:type="gramEnd"/>
      <w:r w:rsidRPr="005125C5">
        <w:rPr>
          <w:rFonts w:ascii="Arial" w:hAnsi="Arial" w:cs="Arial"/>
          <w:sz w:val="22"/>
          <w:szCs w:val="22"/>
        </w:rPr>
        <w:t xml:space="preserve"> likely effect of the proposed acquisitions on competition between Foxtel and FTA networks, and among FTA networks, for viewers based on their ability to obtain premium </w:t>
      </w:r>
      <w:r>
        <w:rPr>
          <w:rFonts w:ascii="Arial" w:hAnsi="Arial" w:cs="Arial"/>
          <w:sz w:val="22"/>
          <w:szCs w:val="22"/>
        </w:rPr>
        <w:t>non-</w:t>
      </w:r>
      <w:r w:rsidRPr="005125C5">
        <w:rPr>
          <w:rFonts w:ascii="Arial" w:hAnsi="Arial" w:cs="Arial"/>
          <w:sz w:val="22"/>
          <w:szCs w:val="22"/>
        </w:rPr>
        <w:t>sport content</w:t>
      </w:r>
      <w:r w:rsidR="00573290" w:rsidRPr="005125C5">
        <w:rPr>
          <w:rFonts w:ascii="Arial" w:hAnsi="Arial" w:cs="Arial"/>
          <w:sz w:val="22"/>
          <w:szCs w:val="22"/>
        </w:rPr>
        <w:t>.</w:t>
      </w:r>
    </w:p>
    <w:p w:rsidR="00F750CB" w:rsidRPr="00794C03" w:rsidRDefault="0087748F" w:rsidP="00794C03">
      <w:pPr>
        <w:pStyle w:val="Heading6"/>
        <w:keepNext/>
        <w:spacing w:after="240"/>
        <w:rPr>
          <w:rFonts w:ascii="Arial" w:hAnsi="Arial" w:cs="Arial"/>
        </w:rPr>
      </w:pPr>
      <w:r w:rsidRPr="00794C03">
        <w:rPr>
          <w:rFonts w:ascii="Arial" w:hAnsi="Arial" w:cs="Arial"/>
        </w:rPr>
        <w:t>Reduced competition for t</w:t>
      </w:r>
      <w:r w:rsidR="009E1FDD" w:rsidRPr="00794C03">
        <w:rPr>
          <w:rFonts w:ascii="Arial" w:hAnsi="Arial" w:cs="Arial"/>
        </w:rPr>
        <w:t xml:space="preserve">he supply of television advertising </w:t>
      </w:r>
      <w:r w:rsidR="00B1782C">
        <w:rPr>
          <w:rFonts w:ascii="Arial" w:hAnsi="Arial" w:cs="Arial"/>
        </w:rPr>
        <w:t>services</w:t>
      </w:r>
    </w:p>
    <w:p w:rsidR="00155AA2" w:rsidRDefault="00693545" w:rsidP="00F10777">
      <w:pPr>
        <w:pStyle w:val="Numbered"/>
      </w:pPr>
      <w:r>
        <w:t xml:space="preserve">As noted above, </w:t>
      </w:r>
      <w:r w:rsidRPr="00693545">
        <w:t xml:space="preserve">the proposed acquisitions may reduce </w:t>
      </w:r>
      <w:r>
        <w:t xml:space="preserve">the </w:t>
      </w:r>
      <w:r w:rsidRPr="00693545">
        <w:t xml:space="preserve">competing FTA networks’ ability to acquire the compelling </w:t>
      </w:r>
      <w:r>
        <w:t xml:space="preserve">sports and non-sport </w:t>
      </w:r>
      <w:r w:rsidRPr="00693545">
        <w:t xml:space="preserve">content needed to attract audiences and </w:t>
      </w:r>
      <w:r>
        <w:t>maintain or increase their ratings. This would reduce their ability to attract</w:t>
      </w:r>
      <w:r w:rsidRPr="00693545">
        <w:t xml:space="preserve"> advertis</w:t>
      </w:r>
      <w:r>
        <w:t>ing</w:t>
      </w:r>
      <w:r w:rsidRPr="00693545">
        <w:t xml:space="preserve">. Over time, </w:t>
      </w:r>
      <w:r>
        <w:t>this</w:t>
      </w:r>
      <w:r w:rsidRPr="00693545">
        <w:t xml:space="preserve"> may weaken the competitive pressure exerted by the other FTA networks and lead to higher prices for advertisers.</w:t>
      </w:r>
    </w:p>
    <w:p w:rsidR="00501C2A" w:rsidRDefault="00501C2A" w:rsidP="00F10777">
      <w:pPr>
        <w:pStyle w:val="Numbered"/>
      </w:pPr>
      <w:r>
        <w:t xml:space="preserve">The ACCC is </w:t>
      </w:r>
      <w:r w:rsidR="004649C6">
        <w:t xml:space="preserve">also </w:t>
      </w:r>
      <w:r>
        <w:t xml:space="preserve">concerned that the acquisitions </w:t>
      </w:r>
      <w:r w:rsidR="004649C6">
        <w:t>may</w:t>
      </w:r>
      <w:r>
        <w:t xml:space="preserve"> give Foxtel and Ten an incentive to coordinate</w:t>
      </w:r>
      <w:r w:rsidR="00333F97">
        <w:t xml:space="preserve"> (through MCN)</w:t>
      </w:r>
      <w:r>
        <w:t xml:space="preserve"> their </w:t>
      </w:r>
      <w:r w:rsidR="00CF0704">
        <w:t xml:space="preserve">offers </w:t>
      </w:r>
      <w:r>
        <w:t xml:space="preserve">to advertisers and that this may </w:t>
      </w:r>
      <w:r w:rsidR="007137FA">
        <w:t xml:space="preserve">lessen competition in the supply of television advertising </w:t>
      </w:r>
      <w:r w:rsidR="00B1782C">
        <w:t>services</w:t>
      </w:r>
      <w:r w:rsidR="007137FA">
        <w:t>, including by reducing the number of independent competitors available to advertisers.</w:t>
      </w:r>
      <w:r w:rsidRPr="00ED52CE">
        <w:t xml:space="preserve"> </w:t>
      </w:r>
      <w:r w:rsidR="00C46EDC">
        <w:t>This may result in increased prices to advertisers.</w:t>
      </w:r>
    </w:p>
    <w:p w:rsidR="00C46EDC" w:rsidRDefault="00C46EDC" w:rsidP="00F10777">
      <w:pPr>
        <w:pStyle w:val="Numbered"/>
      </w:pPr>
      <w:r>
        <w:t xml:space="preserve">Currently Seven and Nine are Ten’s closest competitors for the sale of advertising, and they each have larger shares of FTA advertising revenues than </w:t>
      </w:r>
      <w:proofErr w:type="gramStart"/>
      <w:r>
        <w:t>Ten</w:t>
      </w:r>
      <w:proofErr w:type="gramEnd"/>
      <w:r>
        <w:t xml:space="preserve">. Although less direct, there is also competition between FTA advertising and </w:t>
      </w:r>
      <w:proofErr w:type="gramStart"/>
      <w:r>
        <w:t>STV advertising</w:t>
      </w:r>
      <w:proofErr w:type="gramEnd"/>
      <w:r>
        <w:t xml:space="preserve"> </w:t>
      </w:r>
      <w:r w:rsidR="00B1782C">
        <w:t>services</w:t>
      </w:r>
      <w:r>
        <w:t xml:space="preserve">. MCN accounts for the vast majority of STV advertising revenue. </w:t>
      </w:r>
    </w:p>
    <w:p w:rsidR="00C46EDC" w:rsidRPr="00ED52CE" w:rsidRDefault="005C6878" w:rsidP="00F10777">
      <w:pPr>
        <w:pStyle w:val="Numbered"/>
      </w:pPr>
      <w:r>
        <w:t>To the extent that they</w:t>
      </w:r>
      <w:r w:rsidR="00C46EDC">
        <w:t xml:space="preserve"> align the advertising offers of Ten and Foxtel, the proposed acquisitions will reduce the options available to television advertisers. </w:t>
      </w:r>
    </w:p>
    <w:p w:rsidR="003C09DD" w:rsidRPr="00E43938" w:rsidRDefault="00C46EDC" w:rsidP="00F10777">
      <w:pPr>
        <w:pStyle w:val="Numbered"/>
      </w:pPr>
      <w:r>
        <w:lastRenderedPageBreak/>
        <w:t xml:space="preserve">In addition, </w:t>
      </w:r>
      <w:r w:rsidR="004649C6">
        <w:t xml:space="preserve">the ACCC understands that </w:t>
      </w:r>
      <w:r w:rsidR="00FC21F6">
        <w:t>Foxtel obtains detailed information about the viewing habits of its subscribers via information obtained from the Foxtel box</w:t>
      </w:r>
      <w:r w:rsidR="003C09DD">
        <w:t xml:space="preserve"> in its subscribers’ homes. The ACCC understands that the information collected in this way includes details of which channels and programs its subscribers watch on Foxtel and FTA networks, including FTA providers that compete with </w:t>
      </w:r>
      <w:proofErr w:type="gramStart"/>
      <w:r w:rsidR="003C09DD">
        <w:t>Ten</w:t>
      </w:r>
      <w:proofErr w:type="gramEnd"/>
      <w:r w:rsidR="003C09DD">
        <w:t xml:space="preserve">, where the subscriber watches FTA programs through the Foxtel </w:t>
      </w:r>
      <w:r w:rsidR="00D6715A">
        <w:t xml:space="preserve">set-top </w:t>
      </w:r>
      <w:r w:rsidR="003C09DD">
        <w:t xml:space="preserve">box. </w:t>
      </w:r>
      <w:r w:rsidR="004649C6">
        <w:t xml:space="preserve">Market inquiries have indicated </w:t>
      </w:r>
      <w:r w:rsidR="005C6878">
        <w:t xml:space="preserve">concerns </w:t>
      </w:r>
      <w:r w:rsidR="003C09DD">
        <w:t>that this detailed</w:t>
      </w:r>
      <w:r w:rsidR="00FC21F6">
        <w:t xml:space="preserve"> information</w:t>
      </w:r>
      <w:r w:rsidR="00FC21F6" w:rsidRPr="00FC21F6">
        <w:t xml:space="preserve"> </w:t>
      </w:r>
      <w:r w:rsidR="003C09DD">
        <w:t xml:space="preserve">about FTA viewing habits could be used to give </w:t>
      </w:r>
      <w:proofErr w:type="gramStart"/>
      <w:r w:rsidR="003C09DD">
        <w:t>Ten</w:t>
      </w:r>
      <w:proofErr w:type="gramEnd"/>
      <w:r w:rsidR="003C09DD">
        <w:t xml:space="preserve"> information about its competitors’ viewers that is not</w:t>
      </w:r>
      <w:r w:rsidR="00654CED">
        <w:t xml:space="preserve"> currently</w:t>
      </w:r>
      <w:r w:rsidR="003C09DD">
        <w:t xml:space="preserve"> available to those competitors, because they have no hardware equivalent to the Foxtel </w:t>
      </w:r>
      <w:r w:rsidR="00D6715A">
        <w:t xml:space="preserve">set-top </w:t>
      </w:r>
      <w:r w:rsidR="003C09DD">
        <w:t xml:space="preserve">box. </w:t>
      </w:r>
    </w:p>
    <w:p w:rsidR="00F750CB" w:rsidRPr="00E43938" w:rsidRDefault="003C09DD" w:rsidP="00F10777">
      <w:pPr>
        <w:pStyle w:val="Numbered"/>
      </w:pPr>
      <w:r>
        <w:t xml:space="preserve">The ACCC is further </w:t>
      </w:r>
      <w:r w:rsidR="00583C55">
        <w:t xml:space="preserve">considering </w:t>
      </w:r>
      <w:r w:rsidR="005C6878">
        <w:t xml:space="preserve">what information </w:t>
      </w:r>
      <w:proofErr w:type="gramStart"/>
      <w:r w:rsidR="005C6878">
        <w:t>Ten</w:t>
      </w:r>
      <w:proofErr w:type="gramEnd"/>
      <w:r w:rsidR="005C6878">
        <w:t xml:space="preserve"> will be able to access and </w:t>
      </w:r>
      <w:r w:rsidR="00583C55">
        <w:t xml:space="preserve">whether access to </w:t>
      </w:r>
      <w:r>
        <w:t xml:space="preserve">such information in conjunction with </w:t>
      </w:r>
      <w:r w:rsidR="00FC21F6" w:rsidRPr="00FC21F6">
        <w:t xml:space="preserve">programmatic </w:t>
      </w:r>
      <w:r>
        <w:t xml:space="preserve">advertising </w:t>
      </w:r>
      <w:r w:rsidR="00FC21F6" w:rsidRPr="00FC21F6">
        <w:t xml:space="preserve">techniques </w:t>
      </w:r>
      <w:r w:rsidR="00C46EDC">
        <w:t>c</w:t>
      </w:r>
      <w:r>
        <w:t xml:space="preserve">ould reduce the ability of </w:t>
      </w:r>
      <w:r w:rsidR="005C6878">
        <w:t>other</w:t>
      </w:r>
      <w:r>
        <w:t xml:space="preserve"> FTA competitors </w:t>
      </w:r>
      <w:r w:rsidR="00FC21F6" w:rsidRPr="00FC21F6">
        <w:t xml:space="preserve">to </w:t>
      </w:r>
      <w:r w:rsidR="00C46EDC">
        <w:t>offer a close competitive alternative to Foxtel and Ten</w:t>
      </w:r>
      <w:r>
        <w:t xml:space="preserve"> in the supply of advertising </w:t>
      </w:r>
      <w:r w:rsidR="00B1782C">
        <w:t>services</w:t>
      </w:r>
      <w:r>
        <w:t>.</w:t>
      </w:r>
    </w:p>
    <w:p w:rsidR="00930293" w:rsidRPr="00A61050" w:rsidRDefault="00930293" w:rsidP="00F10777">
      <w:pPr>
        <w:pStyle w:val="Numbered"/>
      </w:pPr>
      <w:r>
        <w:t>A substantial lessening</w:t>
      </w:r>
      <w:r w:rsidRPr="00A61050">
        <w:t xml:space="preserve"> of competition </w:t>
      </w:r>
      <w:r>
        <w:t xml:space="preserve">in the market for television advertising </w:t>
      </w:r>
      <w:r w:rsidRPr="00A61050">
        <w:t xml:space="preserve">could </w:t>
      </w:r>
      <w:r>
        <w:t xml:space="preserve">result in </w:t>
      </w:r>
      <w:r w:rsidRPr="00A61050">
        <w:t>MCN</w:t>
      </w:r>
      <w:r>
        <w:t xml:space="preserve"> </w:t>
      </w:r>
      <w:r w:rsidRPr="00A61050">
        <w:t>increas</w:t>
      </w:r>
      <w:r>
        <w:t>ing the</w:t>
      </w:r>
      <w:r w:rsidRPr="00A61050">
        <w:t xml:space="preserve"> prices</w:t>
      </w:r>
      <w:r>
        <w:t xml:space="preserve"> it can charge </w:t>
      </w:r>
      <w:r w:rsidRPr="00A61050">
        <w:t>advertisers.</w:t>
      </w:r>
    </w:p>
    <w:p w:rsidR="00930293" w:rsidRPr="00867B09" w:rsidRDefault="00930293" w:rsidP="00F10777">
      <w:pPr>
        <w:pStyle w:val="Numbered"/>
      </w:pPr>
      <w:r w:rsidRPr="00867B09">
        <w:t>The ACCC invites comments from market participants on</w:t>
      </w:r>
      <w:r>
        <w:t>:</w:t>
      </w:r>
    </w:p>
    <w:p w:rsidR="00930293" w:rsidRPr="00A61050" w:rsidRDefault="00930293" w:rsidP="00DE3AD7">
      <w:pPr>
        <w:pStyle w:val="commentbox"/>
        <w:numPr>
          <w:ilvl w:val="0"/>
          <w:numId w:val="3"/>
        </w:numPr>
      </w:pPr>
      <w:r w:rsidRPr="00A61050">
        <w:t xml:space="preserve">the ability and incentive for </w:t>
      </w:r>
      <w:r>
        <w:t xml:space="preserve">Ten to coordinate with and influence </w:t>
      </w:r>
      <w:r w:rsidR="00583C55">
        <w:t xml:space="preserve">MCN </w:t>
      </w:r>
      <w:r>
        <w:t xml:space="preserve">in relation to the advertising strategies adopted for the different channels represented by MCN </w:t>
      </w:r>
    </w:p>
    <w:p w:rsidR="00930293" w:rsidRPr="00A61050" w:rsidRDefault="00930293" w:rsidP="00DE3AD7">
      <w:pPr>
        <w:pStyle w:val="commentbox"/>
        <w:numPr>
          <w:ilvl w:val="0"/>
          <w:numId w:val="3"/>
        </w:numPr>
      </w:pPr>
      <w:proofErr w:type="gramStart"/>
      <w:r w:rsidRPr="00A61050">
        <w:t>the</w:t>
      </w:r>
      <w:proofErr w:type="gramEnd"/>
      <w:r w:rsidRPr="00A61050">
        <w:t xml:space="preserve"> </w:t>
      </w:r>
      <w:r>
        <w:t xml:space="preserve">effect of the proposed acquisitions on </w:t>
      </w:r>
      <w:r w:rsidRPr="00EB0640">
        <w:t xml:space="preserve">the ability </w:t>
      </w:r>
      <w:r>
        <w:t xml:space="preserve">of other FTA networks to </w:t>
      </w:r>
      <w:r w:rsidRPr="00EB0640">
        <w:t>compete with the advertising offerings of Ten</w:t>
      </w:r>
      <w:r>
        <w:t xml:space="preserve"> and </w:t>
      </w:r>
      <w:r w:rsidR="005C6878">
        <w:t xml:space="preserve">Foxtel, and </w:t>
      </w:r>
      <w:r>
        <w:t xml:space="preserve">the impact of this on </w:t>
      </w:r>
      <w:r w:rsidRPr="00EB0640">
        <w:t>competition in the market for television advertising</w:t>
      </w:r>
      <w:r w:rsidRPr="00A61050">
        <w:t xml:space="preserve">. </w:t>
      </w:r>
    </w:p>
    <w:p w:rsidR="00977E53" w:rsidRPr="00867B09" w:rsidRDefault="00977E53" w:rsidP="00977E53">
      <w:pPr>
        <w:pStyle w:val="Heading3"/>
      </w:pPr>
      <w:r w:rsidRPr="00867B09">
        <w:t xml:space="preserve">Issues </w:t>
      </w:r>
      <w:r w:rsidR="00930293">
        <w:t>unlikely to</w:t>
      </w:r>
      <w:r>
        <w:t xml:space="preserve"> raise</w:t>
      </w:r>
      <w:r w:rsidRPr="00867B09">
        <w:t xml:space="preserve"> concern</w:t>
      </w:r>
      <w:r>
        <w:t>s</w:t>
      </w:r>
      <w:r w:rsidRPr="00867B09">
        <w:t xml:space="preserve">: </w:t>
      </w:r>
    </w:p>
    <w:p w:rsidR="00614BCC" w:rsidRPr="00794C03" w:rsidRDefault="0087748F" w:rsidP="00794C03">
      <w:pPr>
        <w:pStyle w:val="Heading6"/>
        <w:keepNext/>
        <w:spacing w:after="240"/>
        <w:rPr>
          <w:rFonts w:ascii="Arial" w:hAnsi="Arial" w:cs="Arial"/>
        </w:rPr>
      </w:pPr>
      <w:r w:rsidRPr="00794C03">
        <w:rPr>
          <w:rFonts w:ascii="Arial" w:hAnsi="Arial" w:cs="Arial"/>
        </w:rPr>
        <w:t>Reduced competition in t</w:t>
      </w:r>
      <w:r w:rsidR="00614BCC" w:rsidRPr="00794C03">
        <w:rPr>
          <w:rFonts w:ascii="Arial" w:hAnsi="Arial" w:cs="Arial"/>
        </w:rPr>
        <w:t>he national market for the supply of SVOD services</w:t>
      </w:r>
    </w:p>
    <w:p w:rsidR="00930293" w:rsidRDefault="00614BCC" w:rsidP="00F10777">
      <w:pPr>
        <w:pStyle w:val="Numbered"/>
      </w:pPr>
      <w:r>
        <w:t>The ACCC</w:t>
      </w:r>
      <w:r w:rsidR="00930293">
        <w:t xml:space="preserve">’s preliminary view is that </w:t>
      </w:r>
      <w:r>
        <w:t xml:space="preserve">the proposed acquisitions </w:t>
      </w:r>
      <w:r w:rsidR="00E43938">
        <w:t xml:space="preserve">are </w:t>
      </w:r>
      <w:r w:rsidR="00930293">
        <w:t>not likely to lead to</w:t>
      </w:r>
      <w:r>
        <w:t xml:space="preserve"> a </w:t>
      </w:r>
      <w:r w:rsidR="00930293">
        <w:t xml:space="preserve">substantial </w:t>
      </w:r>
      <w:r>
        <w:t>lessening of competition in the supply of SVOD services to consumers</w:t>
      </w:r>
      <w:r w:rsidR="00930293">
        <w:t>.</w:t>
      </w:r>
    </w:p>
    <w:p w:rsidR="0040229C" w:rsidRDefault="00930293" w:rsidP="00F10777">
      <w:pPr>
        <w:pStyle w:val="Numbered"/>
      </w:pPr>
      <w:r>
        <w:t>The ACCC considered the potential for the</w:t>
      </w:r>
      <w:r w:rsidR="00583C55">
        <w:t xml:space="preserve"> proposed</w:t>
      </w:r>
      <w:r>
        <w:t xml:space="preserve"> acquisition</w:t>
      </w:r>
      <w:r w:rsidR="00583C55">
        <w:t>s</w:t>
      </w:r>
      <w:r>
        <w:t xml:space="preserve"> to raise such concerns</w:t>
      </w:r>
      <w:r w:rsidR="00614BCC">
        <w:t xml:space="preserve"> by limiting the ability of </w:t>
      </w:r>
      <w:r w:rsidR="00CF1E70">
        <w:t xml:space="preserve">alternative </w:t>
      </w:r>
      <w:r w:rsidR="00614BCC">
        <w:t>SVOD providers to compete with Presto, acting in partnership with Foxtel and Ten</w:t>
      </w:r>
      <w:r w:rsidR="0040229C">
        <w:t xml:space="preserve">, in the acquisition of </w:t>
      </w:r>
      <w:r w:rsidR="00E46C19">
        <w:t xml:space="preserve">non-sports </w:t>
      </w:r>
      <w:r w:rsidR="0040229C">
        <w:t>content</w:t>
      </w:r>
      <w:r w:rsidR="00614BCC">
        <w:t xml:space="preserve">. </w:t>
      </w:r>
    </w:p>
    <w:p w:rsidR="009B3937" w:rsidRDefault="00C54D85" w:rsidP="00F10777">
      <w:pPr>
        <w:pStyle w:val="Numbered"/>
      </w:pPr>
      <w:r w:rsidRPr="00C54D85">
        <w:t>A number of new entrants commenced supply of SVOD services in Australia in 2015, and the ACCC considers there is a low risk that the proposed acquisitions would create such a barrier to expansion and to any other potential entrants as to amount to a substantial lessening of competition</w:t>
      </w:r>
      <w:r w:rsidR="00B1782C">
        <w:t xml:space="preserve"> in the supply of SVOD services</w:t>
      </w:r>
      <w:r w:rsidRPr="00C54D85">
        <w:t>. In particular, the acquisition is unlikely to prevent Presto’s competitors from being able to acquire enough attractive non-sport content required to attract a sufficient subscriber base to be commercially viable.</w:t>
      </w:r>
      <w:r w:rsidR="009C1BA5">
        <w:t xml:space="preserve"> </w:t>
      </w:r>
    </w:p>
    <w:p w:rsidR="00C54D85" w:rsidRPr="00C54D85" w:rsidRDefault="009B3937" w:rsidP="00F10777">
      <w:pPr>
        <w:pStyle w:val="Numbered"/>
      </w:pPr>
      <w:r>
        <w:t xml:space="preserve">This is because currently there is limited competition between SVOD providers and STV and FTA broadcasters for the acquisition of certain types of content. SVOD services broadcast some types of content, such as TV programs and </w:t>
      </w:r>
      <w:r>
        <w:lastRenderedPageBreak/>
        <w:t>movies, that are also broadcast by STV and FTA but tend not to offer programs that are of most value when viewed live, such as sport and reality televisions shows. SVOD providers, such as Netflix and Stan, also produce or commission some of their own non-sport content.</w:t>
      </w:r>
      <w:r w:rsidR="00C54D85" w:rsidRPr="00C54D85">
        <w:t xml:space="preserve"> </w:t>
      </w:r>
    </w:p>
    <w:p w:rsidR="00E46C19" w:rsidRPr="00E46C19" w:rsidRDefault="00E46C19" w:rsidP="00F10777">
      <w:pPr>
        <w:pStyle w:val="Numbered"/>
      </w:pPr>
      <w:r w:rsidRPr="00E46C19">
        <w:t xml:space="preserve">The ACCC </w:t>
      </w:r>
      <w:r w:rsidR="00930293">
        <w:t xml:space="preserve">also </w:t>
      </w:r>
      <w:r w:rsidRPr="00E46C19">
        <w:t>consider</w:t>
      </w:r>
      <w:r w:rsidR="00930293">
        <w:t>s it unlikely</w:t>
      </w:r>
      <w:r w:rsidRPr="00E46C19">
        <w:t xml:space="preserve">, at this stage, </w:t>
      </w:r>
      <w:r w:rsidR="00930293">
        <w:t>that</w:t>
      </w:r>
      <w:r w:rsidR="00930293" w:rsidRPr="00E46C19">
        <w:t xml:space="preserve"> </w:t>
      </w:r>
      <w:r w:rsidRPr="00E46C19">
        <w:t xml:space="preserve">the proposed acquisitions </w:t>
      </w:r>
      <w:r w:rsidR="00930293">
        <w:t>would substantially</w:t>
      </w:r>
      <w:r w:rsidRPr="00E46C19">
        <w:t xml:space="preserve"> lessen competition in the supply of SVOD services to consumers by limiting the ability of </w:t>
      </w:r>
      <w:r w:rsidR="00022ADF">
        <w:t>alternative</w:t>
      </w:r>
      <w:r w:rsidR="00022ADF" w:rsidRPr="00E46C19">
        <w:t xml:space="preserve"> </w:t>
      </w:r>
      <w:r w:rsidRPr="00E46C19">
        <w:t>SVOD providers to compete with Presto, acting in partnership with Foxtel and Ten, in the acquisition of sports content. As noted above under ‘The acquisition of sports content’, the ACCC’s market inquiries have indicated that while SVOD providers may enter the markets for the acquisition of sports rights in future, they are not likely to acquire a significant amount of premium sporting rights in the foreseeable future.</w:t>
      </w:r>
    </w:p>
    <w:p w:rsidR="00614BCC" w:rsidRPr="00867B09" w:rsidRDefault="00614BCC" w:rsidP="00F10777">
      <w:pPr>
        <w:pStyle w:val="Numbered"/>
      </w:pPr>
      <w:r w:rsidRPr="00867B09">
        <w:t>ACCC invites comments from market participants on:</w:t>
      </w:r>
    </w:p>
    <w:p w:rsidR="00614BCC" w:rsidRDefault="00614BCC" w:rsidP="00DE3AD7">
      <w:pPr>
        <w:pStyle w:val="commentbox"/>
        <w:numPr>
          <w:ilvl w:val="0"/>
          <w:numId w:val="3"/>
        </w:numPr>
      </w:pPr>
      <w:r w:rsidRPr="00867B09">
        <w:t>the extent to which</w:t>
      </w:r>
      <w:r>
        <w:t xml:space="preserve"> SVOD services compete with FTA and STV for the acquisition of content </w:t>
      </w:r>
    </w:p>
    <w:p w:rsidR="00614BCC" w:rsidRDefault="00614BCC" w:rsidP="00DE3AD7">
      <w:pPr>
        <w:pStyle w:val="commentbox"/>
        <w:numPr>
          <w:ilvl w:val="0"/>
          <w:numId w:val="3"/>
        </w:numPr>
      </w:pPr>
      <w:proofErr w:type="gramStart"/>
      <w:r>
        <w:t>whether</w:t>
      </w:r>
      <w:proofErr w:type="gramEnd"/>
      <w:r>
        <w:t xml:space="preserve"> the proposed acquisitions are likely to limit the ability of competing SVOD services</w:t>
      </w:r>
      <w:r w:rsidR="0022723C">
        <w:t xml:space="preserve">, and potential new entrants, </w:t>
      </w:r>
      <w:r w:rsidR="001B063C">
        <w:t>to</w:t>
      </w:r>
      <w:r>
        <w:t xml:space="preserve"> acquir</w:t>
      </w:r>
      <w:r w:rsidR="001B063C">
        <w:t>e</w:t>
      </w:r>
      <w:r w:rsidR="0022723C">
        <w:t xml:space="preserve"> sufficient attractive</w:t>
      </w:r>
      <w:r>
        <w:t xml:space="preserve"> content </w:t>
      </w:r>
      <w:r w:rsidR="0022723C">
        <w:t>to</w:t>
      </w:r>
      <w:r>
        <w:t xml:space="preserve"> </w:t>
      </w:r>
      <w:r w:rsidR="0022723C">
        <w:t>build and maintain a commercially viable</w:t>
      </w:r>
      <w:r>
        <w:t xml:space="preserve"> subscriber base. </w:t>
      </w:r>
    </w:p>
    <w:p w:rsidR="00FB30A0" w:rsidRPr="00867B09" w:rsidRDefault="00FB30A0" w:rsidP="00A26C2D">
      <w:pPr>
        <w:pStyle w:val="Heading3"/>
      </w:pPr>
      <w:r w:rsidRPr="00867B09">
        <w:t>ACCC's future steps</w:t>
      </w:r>
    </w:p>
    <w:p w:rsidR="00FB30A0" w:rsidRPr="00867B09" w:rsidRDefault="00FB30A0" w:rsidP="00F10777">
      <w:pPr>
        <w:pStyle w:val="Numbered"/>
      </w:pPr>
      <w:r w:rsidRPr="00867B09">
        <w:t>The ACCC will finalise its view</w:t>
      </w:r>
      <w:r w:rsidR="00C50686">
        <w:t>s</w:t>
      </w:r>
      <w:r w:rsidRPr="00867B09">
        <w:t xml:space="preserve"> on this matter after it considers </w:t>
      </w:r>
      <w:r w:rsidR="001C42C7" w:rsidRPr="00867B09">
        <w:t>submissions</w:t>
      </w:r>
      <w:r w:rsidRPr="00867B09">
        <w:t xml:space="preserve"> </w:t>
      </w:r>
      <w:r w:rsidR="00C50686">
        <w:t>received in response to</w:t>
      </w:r>
      <w:r w:rsidRPr="00867B09">
        <w:t xml:space="preserve"> this Statement of Issues.</w:t>
      </w:r>
    </w:p>
    <w:p w:rsidR="00FB30A0" w:rsidRPr="00867B09" w:rsidRDefault="00C50686" w:rsidP="00F10777">
      <w:pPr>
        <w:pStyle w:val="Numbered"/>
      </w:pPr>
      <w:r>
        <w:t>T</w:t>
      </w:r>
      <w:r w:rsidR="00FB30A0" w:rsidRPr="00867B09">
        <w:t>he ACCC now seeks submissions from market participants on each of the issues identified in this Statement of Issues and on any other issue</w:t>
      </w:r>
      <w:r>
        <w:t>s</w:t>
      </w:r>
      <w:r w:rsidR="00FB30A0" w:rsidRPr="00867B09">
        <w:t xml:space="preserve"> that may be relevant to the ACCC's assessment of this matter.</w:t>
      </w:r>
      <w:r w:rsidR="00F835E1" w:rsidRPr="00867B09">
        <w:t xml:space="preserve"> Submissions are to be received by the ACCC no later than </w:t>
      </w:r>
      <w:r w:rsidR="004D1A6C">
        <w:t>28 September</w:t>
      </w:r>
      <w:r w:rsidR="003E32B1" w:rsidRPr="008A7CD8">
        <w:t xml:space="preserve"> 2015</w:t>
      </w:r>
      <w:r w:rsidR="003E32B1" w:rsidRPr="00867B09">
        <w:t xml:space="preserve"> </w:t>
      </w:r>
      <w:r w:rsidR="00F835E1" w:rsidRPr="00867B09">
        <w:t xml:space="preserve">and should be emailed to </w:t>
      </w:r>
      <w:hyperlink r:id="rId13" w:history="1">
        <w:r w:rsidR="00E43938" w:rsidRPr="00F508A3">
          <w:rPr>
            <w:rStyle w:val="Hyperlink"/>
          </w:rPr>
          <w:t>mergers@accc.gov.au</w:t>
        </w:r>
      </w:hyperlink>
      <w:r w:rsidR="00E43938">
        <w:t xml:space="preserve"> </w:t>
      </w:r>
    </w:p>
    <w:p w:rsidR="00FA1C8B" w:rsidRPr="00867B09" w:rsidRDefault="00FB30A0" w:rsidP="00F10777">
      <w:pPr>
        <w:pStyle w:val="Numbered"/>
      </w:pPr>
      <w:r w:rsidRPr="00867B09">
        <w:t>The ACCC intends to publicly announce its final view by</w:t>
      </w:r>
      <w:r w:rsidR="00624F39" w:rsidRPr="00867B09">
        <w:t xml:space="preserve"> </w:t>
      </w:r>
      <w:r w:rsidR="008A7CD8">
        <w:t>2</w:t>
      </w:r>
      <w:r w:rsidR="007C2ADB">
        <w:t>2</w:t>
      </w:r>
      <w:r w:rsidR="00A83193" w:rsidRPr="008A7CD8">
        <w:t xml:space="preserve"> </w:t>
      </w:r>
      <w:r w:rsidR="00624F39" w:rsidRPr="008A7CD8">
        <w:t>October</w:t>
      </w:r>
      <w:r w:rsidR="003E32B1" w:rsidRPr="008A7CD8">
        <w:t xml:space="preserve"> 2015</w:t>
      </w:r>
      <w:r w:rsidRPr="00867B09">
        <w:t xml:space="preserve">. </w:t>
      </w:r>
      <w:bookmarkStart w:id="3" w:name="_GoBack"/>
      <w:bookmarkEnd w:id="3"/>
      <w:r w:rsidRPr="00867B09">
        <w:t xml:space="preserve">However the anticipated timeline may change in line with the Merger Review Process Guidelines. A </w:t>
      </w:r>
      <w:r w:rsidR="005F1F0B" w:rsidRPr="00867B09">
        <w:t>P</w:t>
      </w:r>
      <w:r w:rsidRPr="00867B09">
        <w:t>ublic Competition Assessment for the purpose of explaining the ACCC's final view may be published following the ACCC's public announcement.</w:t>
      </w:r>
    </w:p>
    <w:sectPr w:rsidR="00FA1C8B" w:rsidRPr="00867B09">
      <w:headerReference w:type="even" r:id="rId14"/>
      <w:headerReference w:type="default" r:id="rId15"/>
      <w:footerReference w:type="even" r:id="rId16"/>
      <w:footerReference w:type="default" r:id="rId17"/>
      <w:headerReference w:type="first" r:id="rId18"/>
      <w:footerReference w:type="first" r:id="rId19"/>
      <w:pgSz w:w="11906" w:h="16838" w:code="9"/>
      <w:pgMar w:top="1440" w:right="1729" w:bottom="1582" w:left="1729" w:header="709" w:footer="10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E79" w:rsidRDefault="00D45E79">
      <w:r>
        <w:separator/>
      </w:r>
    </w:p>
    <w:p w:rsidR="00D45E79" w:rsidRDefault="00D45E79"/>
  </w:endnote>
  <w:endnote w:type="continuationSeparator" w:id="0">
    <w:p w:rsidR="00D45E79" w:rsidRDefault="00D45E79">
      <w:r>
        <w:continuationSeparator/>
      </w:r>
    </w:p>
    <w:p w:rsidR="00D45E79" w:rsidRDefault="00D45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C4" w:rsidRDefault="00AA7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37" w:rsidRPr="00796FEC" w:rsidRDefault="008A5137">
    <w:pPr>
      <w:pStyle w:val="Footer"/>
      <w:jc w:val="right"/>
      <w:rPr>
        <w:rFonts w:ascii="Arial" w:hAnsi="Arial" w:cs="Arial"/>
      </w:rPr>
    </w:pPr>
    <w:r w:rsidRPr="00796FEC">
      <w:rPr>
        <w:rFonts w:ascii="Arial" w:hAnsi="Arial" w:cs="Arial"/>
      </w:rPr>
      <w:fldChar w:fldCharType="begin"/>
    </w:r>
    <w:r w:rsidRPr="00796FEC">
      <w:rPr>
        <w:rFonts w:ascii="Arial" w:hAnsi="Arial" w:cs="Arial"/>
      </w:rPr>
      <w:instrText xml:space="preserve"> PAGE   \* MERGEFORMAT </w:instrText>
    </w:r>
    <w:r w:rsidRPr="00796FEC">
      <w:rPr>
        <w:rFonts w:ascii="Arial" w:hAnsi="Arial" w:cs="Arial"/>
      </w:rPr>
      <w:fldChar w:fldCharType="separate"/>
    </w:r>
    <w:r w:rsidR="008130BA">
      <w:rPr>
        <w:rFonts w:ascii="Arial" w:hAnsi="Arial" w:cs="Arial"/>
        <w:noProof/>
      </w:rPr>
      <w:t>22</w:t>
    </w:r>
    <w:r w:rsidRPr="00796FEC">
      <w:rPr>
        <w:rFonts w:ascii="Arial" w:hAnsi="Arial" w:cs="Arial"/>
        <w:noProof/>
      </w:rPr>
      <w:fldChar w:fldCharType="end"/>
    </w:r>
  </w:p>
  <w:p w:rsidR="008A5137" w:rsidRPr="00C86DBC" w:rsidRDefault="008A5137" w:rsidP="00C86D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C4" w:rsidRDefault="00AA7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E79" w:rsidRDefault="00D45E79">
      <w:r>
        <w:separator/>
      </w:r>
    </w:p>
    <w:p w:rsidR="00D45E79" w:rsidRDefault="00D45E79"/>
  </w:footnote>
  <w:footnote w:type="continuationSeparator" w:id="0">
    <w:p w:rsidR="00D45E79" w:rsidRDefault="00D45E79">
      <w:r>
        <w:continuationSeparator/>
      </w:r>
    </w:p>
    <w:p w:rsidR="00D45E79" w:rsidRDefault="00D45E79"/>
  </w:footnote>
  <w:footnote w:id="1">
    <w:p w:rsidR="008A5137" w:rsidRDefault="008A5137">
      <w:pPr>
        <w:pStyle w:val="FootnoteText"/>
      </w:pPr>
      <w:r>
        <w:rPr>
          <w:rStyle w:val="FootnoteReference"/>
        </w:rPr>
        <w:footnoteRef/>
      </w:r>
      <w:r>
        <w:t xml:space="preserve"> </w:t>
      </w:r>
      <w:r w:rsidRPr="00E03F02">
        <w:rPr>
          <w:rFonts w:ascii="Arial" w:hAnsi="Arial" w:cs="Arial"/>
        </w:rPr>
        <w:t>Source</w:t>
      </w:r>
      <w:r>
        <w:rPr>
          <w:rFonts w:ascii="Arial" w:hAnsi="Arial" w:cs="Arial"/>
        </w:rPr>
        <w:t>:</w:t>
      </w:r>
      <w:r w:rsidRPr="00E03F02">
        <w:rPr>
          <w:rFonts w:ascii="Arial" w:hAnsi="Arial" w:cs="Arial"/>
        </w:rPr>
        <w:t xml:space="preserve"> Ten 2014 Annual </w:t>
      </w:r>
      <w:proofErr w:type="gramStart"/>
      <w:r w:rsidRPr="00E03F02">
        <w:rPr>
          <w:rFonts w:ascii="Arial" w:hAnsi="Arial" w:cs="Arial"/>
        </w:rPr>
        <w:t>Review</w:t>
      </w:r>
      <w:proofErr w:type="gramEnd"/>
      <w:r>
        <w:rPr>
          <w:rFonts w:ascii="Arial" w:hAnsi="Arial" w:cs="Arial"/>
        </w:rPr>
        <w:t xml:space="preserve">. </w:t>
      </w:r>
      <w:r w:rsidRPr="00652E15">
        <w:rPr>
          <w:rFonts w:ascii="Arial" w:hAnsi="Arial" w:cs="Arial"/>
        </w:rPr>
        <w:t>A notice of change of interests of a substantial holder filed on 22 May 2015 indicates that Lazard Asset Management Pacific Co had an interest of 8.83% as at that date.</w:t>
      </w:r>
    </w:p>
  </w:footnote>
  <w:footnote w:id="2">
    <w:p w:rsidR="008A5137" w:rsidRDefault="008A5137">
      <w:pPr>
        <w:pStyle w:val="FootnoteText"/>
      </w:pPr>
      <w:r>
        <w:rPr>
          <w:rStyle w:val="FootnoteReference"/>
        </w:rPr>
        <w:footnoteRef/>
      </w:r>
      <w:r>
        <w:t xml:space="preserve"> </w:t>
      </w:r>
      <w:proofErr w:type="gramStart"/>
      <w:r w:rsidRPr="000124F1">
        <w:rPr>
          <w:rFonts w:ascii="Arial" w:hAnsi="Arial" w:cs="Arial"/>
        </w:rPr>
        <w:t>News Corp 2015 Proxy Statement</w:t>
      </w:r>
      <w:r>
        <w:rPr>
          <w:rFonts w:ascii="Arial" w:hAnsi="Arial" w:cs="Arial"/>
        </w:rPr>
        <w:t>.</w:t>
      </w:r>
      <w:proofErr w:type="gramEnd"/>
    </w:p>
  </w:footnote>
  <w:footnote w:id="3">
    <w:p w:rsidR="008A5137" w:rsidRDefault="008A5137" w:rsidP="00E915B7">
      <w:pPr>
        <w:pStyle w:val="FootnoteText"/>
      </w:pPr>
      <w:r>
        <w:rPr>
          <w:rStyle w:val="FootnoteReference"/>
        </w:rPr>
        <w:footnoteRef/>
      </w:r>
      <w:r>
        <w:t xml:space="preserve"> </w:t>
      </w:r>
      <w:r w:rsidRPr="00116511">
        <w:rPr>
          <w:rFonts w:ascii="Arial" w:hAnsi="Arial" w:cs="Arial"/>
        </w:rPr>
        <w:t>‘Format’ refers to the</w:t>
      </w:r>
      <w:r>
        <w:t xml:space="preserve"> </w:t>
      </w:r>
      <w:r>
        <w:rPr>
          <w:rStyle w:val="tgc"/>
          <w:rFonts w:ascii="Arial" w:hAnsi="Arial" w:cs="Arial"/>
          <w:color w:val="222222"/>
        </w:rPr>
        <w:t xml:space="preserve">overall concept and branding of a copyrighted </w:t>
      </w:r>
      <w:r w:rsidRPr="003965B4">
        <w:rPr>
          <w:rStyle w:val="tgc"/>
          <w:rFonts w:ascii="Arial" w:hAnsi="Arial" w:cs="Arial"/>
          <w:bCs/>
          <w:color w:val="222222"/>
        </w:rPr>
        <w:t>television</w:t>
      </w:r>
      <w:r>
        <w:rPr>
          <w:rStyle w:val="tgc"/>
          <w:rFonts w:ascii="Arial" w:hAnsi="Arial" w:cs="Arial"/>
          <w:color w:val="222222"/>
        </w:rPr>
        <w:t xml:space="preserve"> program</w:t>
      </w:r>
      <w:r>
        <w:t>.</w:t>
      </w:r>
    </w:p>
  </w:footnote>
  <w:footnote w:id="4">
    <w:p w:rsidR="008A5137" w:rsidRDefault="008A5137">
      <w:pPr>
        <w:pStyle w:val="FootnoteText"/>
      </w:pPr>
      <w:r>
        <w:rPr>
          <w:rStyle w:val="FootnoteReference"/>
        </w:rPr>
        <w:footnoteRef/>
      </w:r>
      <w:r>
        <w:t xml:space="preserve"> </w:t>
      </w:r>
      <w:r>
        <w:rPr>
          <w:rFonts w:ascii="Arial" w:hAnsi="Arial" w:cs="Arial"/>
        </w:rPr>
        <w:t>21</w:t>
      </w:r>
      <w:r w:rsidRPr="00F85496">
        <w:rPr>
          <w:rFonts w:ascii="Arial" w:hAnsi="Arial" w:cs="Arial"/>
          <w:vertAlign w:val="superscript"/>
        </w:rPr>
        <w:t>St</w:t>
      </w:r>
      <w:r>
        <w:rPr>
          <w:rFonts w:ascii="Arial" w:hAnsi="Arial" w:cs="Arial"/>
        </w:rPr>
        <w:t xml:space="preserve"> Century Fox SEC filing - Schedule 13G/A filed by </w:t>
      </w:r>
      <w:proofErr w:type="spellStart"/>
      <w:r w:rsidRPr="00F85496">
        <w:rPr>
          <w:rFonts w:ascii="Arial" w:hAnsi="Arial" w:cs="Arial"/>
        </w:rPr>
        <w:t>Cruden</w:t>
      </w:r>
      <w:proofErr w:type="spellEnd"/>
      <w:r w:rsidRPr="00F85496">
        <w:rPr>
          <w:rFonts w:ascii="Arial" w:hAnsi="Arial" w:cs="Arial"/>
        </w:rPr>
        <w:t xml:space="preserve"> Financial Services LLC </w:t>
      </w:r>
      <w:r>
        <w:rPr>
          <w:rFonts w:ascii="Arial" w:hAnsi="Arial" w:cs="Arial"/>
        </w:rPr>
        <w:t>on</w:t>
      </w:r>
      <w:r w:rsidRPr="00F85496">
        <w:rPr>
          <w:rFonts w:ascii="Arial" w:hAnsi="Arial" w:cs="Arial"/>
        </w:rPr>
        <w:t xml:space="preserve"> </w:t>
      </w:r>
      <w:r>
        <w:rPr>
          <w:rFonts w:ascii="Arial" w:hAnsi="Arial" w:cs="Arial"/>
        </w:rPr>
        <w:t>13 February 2015</w:t>
      </w:r>
      <w:r w:rsidRPr="000124F1">
        <w:rPr>
          <w:rFonts w:ascii="Arial" w:hAnsi="Arial" w:cs="Arial"/>
        </w:rPr>
        <w:t>.</w:t>
      </w:r>
    </w:p>
  </w:footnote>
  <w:footnote w:id="5">
    <w:p w:rsidR="002D4904" w:rsidRDefault="002D4904">
      <w:pPr>
        <w:pStyle w:val="FootnoteText"/>
      </w:pPr>
      <w:r>
        <w:rPr>
          <w:rStyle w:val="FootnoteReference"/>
        </w:rPr>
        <w:footnoteRef/>
      </w:r>
      <w:r>
        <w:t xml:space="preserve"> </w:t>
      </w:r>
      <w:r w:rsidR="006E4CFD">
        <w:rPr>
          <w:rFonts w:ascii="Arial" w:hAnsi="Arial" w:cs="Arial"/>
        </w:rPr>
        <w:t>For example, S</w:t>
      </w:r>
      <w:r w:rsidRPr="006E4CFD">
        <w:rPr>
          <w:rFonts w:ascii="Arial" w:hAnsi="Arial" w:cs="Arial"/>
        </w:rPr>
        <w:t>VOD providers and Foxtel have different subscription charging models (with Foxtel also carrying some advertising), whereas FTA providers do not charge viewers a subscription fee but effectively ‘charge’ viewers by providing programming content bundled with advertising.</w:t>
      </w:r>
    </w:p>
  </w:footnote>
  <w:footnote w:id="6">
    <w:p w:rsidR="008A5137" w:rsidRPr="00C26132" w:rsidRDefault="008A5137">
      <w:pPr>
        <w:pStyle w:val="FootnoteText"/>
        <w:rPr>
          <w:rFonts w:ascii="Arial" w:hAnsi="Arial" w:cs="Arial"/>
        </w:rPr>
      </w:pPr>
      <w:r w:rsidRPr="00C26132">
        <w:rPr>
          <w:rStyle w:val="FootnoteReference"/>
          <w:rFonts w:ascii="Arial" w:hAnsi="Arial" w:cs="Arial"/>
        </w:rPr>
        <w:footnoteRef/>
      </w:r>
      <w:r w:rsidRPr="00C26132">
        <w:rPr>
          <w:rFonts w:ascii="Arial" w:hAnsi="Arial" w:cs="Arial"/>
        </w:rPr>
        <w:t xml:space="preserve"> </w:t>
      </w:r>
      <w:proofErr w:type="gramStart"/>
      <w:r w:rsidRPr="00C26132">
        <w:rPr>
          <w:rFonts w:ascii="Arial" w:hAnsi="Arial" w:cs="Arial"/>
        </w:rPr>
        <w:t>‘Release windows’ – the time period in which content is shown on a particular platform, such as first-run rights, second-run rights, and so on.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C4" w:rsidRDefault="00AA7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37" w:rsidRDefault="008A5137" w:rsidP="00EE6BBE">
    <w:pPr>
      <w:pStyle w:val="Header"/>
      <w:jc w:val="right"/>
    </w:pPr>
  </w:p>
  <w:p w:rsidR="008A5137" w:rsidRDefault="008A51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37" w:rsidRDefault="008A5137" w:rsidP="003B26B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4214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3E73B6"/>
    <w:multiLevelType w:val="hybridMultilevel"/>
    <w:tmpl w:val="80220B84"/>
    <w:lvl w:ilvl="0" w:tplc="F5987420">
      <w:start w:val="1"/>
      <w:numFmt w:val="decimal"/>
      <w:pStyle w:val="Numberedlist"/>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2">
    <w:nsid w:val="2B6E4EE4"/>
    <w:multiLevelType w:val="hybridMultilevel"/>
    <w:tmpl w:val="77208576"/>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nsid w:val="2B82689E"/>
    <w:multiLevelType w:val="hybridMultilevel"/>
    <w:tmpl w:val="A79ED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E3521C"/>
    <w:multiLevelType w:val="hybridMultilevel"/>
    <w:tmpl w:val="47A4DE40"/>
    <w:lvl w:ilvl="0" w:tplc="F71A32B2">
      <w:start w:val="1"/>
      <w:numFmt w:val="decimal"/>
      <w:pStyle w:val="Numbered"/>
      <w:lvlText w:val="%1."/>
      <w:lvlJc w:val="left"/>
      <w:pPr>
        <w:ind w:left="64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BE509FD"/>
    <w:multiLevelType w:val="hybridMultilevel"/>
    <w:tmpl w:val="A9107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CB420AF"/>
    <w:multiLevelType w:val="hybridMultilevel"/>
    <w:tmpl w:val="306CF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7DB1A4D"/>
    <w:multiLevelType w:val="multilevel"/>
    <w:tmpl w:val="71EC0AC4"/>
    <w:lvl w:ilvl="0">
      <w:start w:val="1"/>
      <w:numFmt w:val="decimal"/>
      <w:pStyle w:val="N1"/>
      <w:lvlText w:val="%1."/>
      <w:lvlJc w:val="left"/>
      <w:pPr>
        <w:ind w:left="567" w:hanging="567"/>
      </w:pPr>
      <w:rPr>
        <w:rFonts w:hint="default"/>
      </w:rPr>
    </w:lvl>
    <w:lvl w:ilvl="1">
      <w:start w:val="1"/>
      <w:numFmt w:val="lowerLetter"/>
      <w:pStyle w:val="N2"/>
      <w:lvlText w:val="%2."/>
      <w:lvlJc w:val="left"/>
      <w:pPr>
        <w:ind w:left="1134" w:hanging="567"/>
      </w:pPr>
      <w:rPr>
        <w:rFonts w:hint="default"/>
      </w:rPr>
    </w:lvl>
    <w:lvl w:ilvl="2">
      <w:start w:val="1"/>
      <w:numFmt w:val="lowerRoman"/>
      <w:pStyle w:val="N3"/>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nsid w:val="7B857E07"/>
    <w:multiLevelType w:val="hybridMultilevel"/>
    <w:tmpl w:val="66DA36E0"/>
    <w:lvl w:ilvl="0" w:tplc="0C090001">
      <w:start w:val="1"/>
      <w:numFmt w:val="bullet"/>
      <w:lvlText w:val=""/>
      <w:lvlJc w:val="left"/>
      <w:pPr>
        <w:tabs>
          <w:tab w:val="num" w:pos="1134"/>
        </w:tabs>
        <w:ind w:left="1134" w:hanging="567"/>
      </w:pPr>
      <w:rPr>
        <w:rFonts w:ascii="Symbol" w:hAnsi="Symbol" w:hint="default"/>
      </w:rPr>
    </w:lvl>
    <w:lvl w:ilvl="1" w:tplc="0C090019">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9">
    <w:nsid w:val="7DA31AB2"/>
    <w:multiLevelType w:val="hybridMultilevel"/>
    <w:tmpl w:val="C5D4E028"/>
    <w:lvl w:ilvl="0" w:tplc="008E7FDE">
      <w:start w:val="1"/>
      <w:numFmt w:val="lowerLetter"/>
      <w:pStyle w:val="ABCList"/>
      <w:lvlText w:val="%1."/>
      <w:lvlJc w:val="left"/>
      <w:pPr>
        <w:ind w:left="19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FE2650D"/>
    <w:multiLevelType w:val="hybridMultilevel"/>
    <w:tmpl w:val="E57E959A"/>
    <w:lvl w:ilvl="0" w:tplc="0C090001">
      <w:start w:val="1"/>
      <w:numFmt w:val="bullet"/>
      <w:lvlText w:val=""/>
      <w:lvlJc w:val="left"/>
      <w:pPr>
        <w:tabs>
          <w:tab w:val="num" w:pos="1014"/>
        </w:tabs>
        <w:ind w:left="1014" w:hanging="567"/>
      </w:pPr>
      <w:rPr>
        <w:rFonts w:ascii="Symbol" w:hAnsi="Symbol" w:hint="default"/>
      </w:rPr>
    </w:lvl>
    <w:lvl w:ilvl="1" w:tplc="0C090019">
      <w:start w:val="1"/>
      <w:numFmt w:val="lowerLetter"/>
      <w:lvlText w:val="%2."/>
      <w:lvlJc w:val="left"/>
      <w:pPr>
        <w:tabs>
          <w:tab w:val="num" w:pos="1887"/>
        </w:tabs>
        <w:ind w:left="1887" w:hanging="360"/>
      </w:pPr>
    </w:lvl>
    <w:lvl w:ilvl="2" w:tplc="0C09001B" w:tentative="1">
      <w:start w:val="1"/>
      <w:numFmt w:val="lowerRoman"/>
      <w:lvlText w:val="%3."/>
      <w:lvlJc w:val="right"/>
      <w:pPr>
        <w:tabs>
          <w:tab w:val="num" w:pos="2607"/>
        </w:tabs>
        <w:ind w:left="2607" w:hanging="180"/>
      </w:pPr>
    </w:lvl>
    <w:lvl w:ilvl="3" w:tplc="0C09000F" w:tentative="1">
      <w:start w:val="1"/>
      <w:numFmt w:val="decimal"/>
      <w:lvlText w:val="%4."/>
      <w:lvlJc w:val="left"/>
      <w:pPr>
        <w:tabs>
          <w:tab w:val="num" w:pos="3327"/>
        </w:tabs>
        <w:ind w:left="3327" w:hanging="360"/>
      </w:pPr>
    </w:lvl>
    <w:lvl w:ilvl="4" w:tplc="0C090019" w:tentative="1">
      <w:start w:val="1"/>
      <w:numFmt w:val="lowerLetter"/>
      <w:lvlText w:val="%5."/>
      <w:lvlJc w:val="left"/>
      <w:pPr>
        <w:tabs>
          <w:tab w:val="num" w:pos="4047"/>
        </w:tabs>
        <w:ind w:left="4047" w:hanging="360"/>
      </w:pPr>
    </w:lvl>
    <w:lvl w:ilvl="5" w:tplc="0C09001B" w:tentative="1">
      <w:start w:val="1"/>
      <w:numFmt w:val="lowerRoman"/>
      <w:lvlText w:val="%6."/>
      <w:lvlJc w:val="right"/>
      <w:pPr>
        <w:tabs>
          <w:tab w:val="num" w:pos="4767"/>
        </w:tabs>
        <w:ind w:left="4767" w:hanging="180"/>
      </w:pPr>
    </w:lvl>
    <w:lvl w:ilvl="6" w:tplc="0C09000F" w:tentative="1">
      <w:start w:val="1"/>
      <w:numFmt w:val="decimal"/>
      <w:lvlText w:val="%7."/>
      <w:lvlJc w:val="left"/>
      <w:pPr>
        <w:tabs>
          <w:tab w:val="num" w:pos="5487"/>
        </w:tabs>
        <w:ind w:left="5487" w:hanging="360"/>
      </w:pPr>
    </w:lvl>
    <w:lvl w:ilvl="7" w:tplc="0C090019" w:tentative="1">
      <w:start w:val="1"/>
      <w:numFmt w:val="lowerLetter"/>
      <w:lvlText w:val="%8."/>
      <w:lvlJc w:val="left"/>
      <w:pPr>
        <w:tabs>
          <w:tab w:val="num" w:pos="6207"/>
        </w:tabs>
        <w:ind w:left="6207" w:hanging="360"/>
      </w:pPr>
    </w:lvl>
    <w:lvl w:ilvl="8" w:tplc="0C09001B" w:tentative="1">
      <w:start w:val="1"/>
      <w:numFmt w:val="lowerRoman"/>
      <w:lvlText w:val="%9."/>
      <w:lvlJc w:val="right"/>
      <w:pPr>
        <w:tabs>
          <w:tab w:val="num" w:pos="6927"/>
        </w:tabs>
        <w:ind w:left="6927" w:hanging="180"/>
      </w:pPr>
    </w:lvl>
  </w:abstractNum>
  <w:num w:numId="1">
    <w:abstractNumId w:val="0"/>
  </w:num>
  <w:num w:numId="2">
    <w:abstractNumId w:val="9"/>
  </w:num>
  <w:num w:numId="3">
    <w:abstractNumId w:val="5"/>
  </w:num>
  <w:num w:numId="4">
    <w:abstractNumId w:val="8"/>
  </w:num>
  <w:num w:numId="5">
    <w:abstractNumId w:val="1"/>
  </w:num>
  <w:num w:numId="6">
    <w:abstractNumId w:val="10"/>
  </w:num>
  <w:num w:numId="7">
    <w:abstractNumId w:val="11"/>
  </w:num>
  <w:num w:numId="8">
    <w:abstractNumId w:val="7"/>
  </w:num>
  <w:num w:numId="9">
    <w:abstractNumId w:val="6"/>
  </w:num>
  <w:num w:numId="10">
    <w:abstractNumId w:val="4"/>
  </w:num>
  <w:num w:numId="11">
    <w:abstractNumId w:val="2"/>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NotTrackFormatting/>
  <w:defaultTabStop w:val="720"/>
  <w:noPunctuationKerning/>
  <w:characterSpacingControl w:val="doNotCompress"/>
  <w:hdrShapeDefaults>
    <o:shapedefaults v:ext="edit" spidmax="2662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dchnas-evs02\home$\RNEIL\Desktop\For publication - Foxtel Ten Statement of Issues\FOXTEL Ten Statment of Issues final 14 September.docx"/>
  </w:docVars>
  <w:rsids>
    <w:rsidRoot w:val="002A6DE2"/>
    <w:rsid w:val="000001A9"/>
    <w:rsid w:val="00000309"/>
    <w:rsid w:val="000010A7"/>
    <w:rsid w:val="000028A1"/>
    <w:rsid w:val="00003683"/>
    <w:rsid w:val="00003DBE"/>
    <w:rsid w:val="00004651"/>
    <w:rsid w:val="0000563E"/>
    <w:rsid w:val="00005E8C"/>
    <w:rsid w:val="000107A1"/>
    <w:rsid w:val="000113A1"/>
    <w:rsid w:val="00011812"/>
    <w:rsid w:val="00011816"/>
    <w:rsid w:val="00012DD1"/>
    <w:rsid w:val="00016892"/>
    <w:rsid w:val="000171A0"/>
    <w:rsid w:val="00021752"/>
    <w:rsid w:val="0002220A"/>
    <w:rsid w:val="00022ADF"/>
    <w:rsid w:val="0002412F"/>
    <w:rsid w:val="00024AFF"/>
    <w:rsid w:val="000262C5"/>
    <w:rsid w:val="00027338"/>
    <w:rsid w:val="00031379"/>
    <w:rsid w:val="00032AA8"/>
    <w:rsid w:val="00033890"/>
    <w:rsid w:val="00033C3A"/>
    <w:rsid w:val="000361DB"/>
    <w:rsid w:val="000367AE"/>
    <w:rsid w:val="00043EFD"/>
    <w:rsid w:val="0004651D"/>
    <w:rsid w:val="00047182"/>
    <w:rsid w:val="00047439"/>
    <w:rsid w:val="000510D4"/>
    <w:rsid w:val="000526C9"/>
    <w:rsid w:val="00052B6B"/>
    <w:rsid w:val="00052C54"/>
    <w:rsid w:val="000557CC"/>
    <w:rsid w:val="00056281"/>
    <w:rsid w:val="00056933"/>
    <w:rsid w:val="000570AF"/>
    <w:rsid w:val="000577ED"/>
    <w:rsid w:val="00057984"/>
    <w:rsid w:val="00061804"/>
    <w:rsid w:val="00061D45"/>
    <w:rsid w:val="00063E11"/>
    <w:rsid w:val="00064CC7"/>
    <w:rsid w:val="00065BEF"/>
    <w:rsid w:val="0007076B"/>
    <w:rsid w:val="00072E29"/>
    <w:rsid w:val="000761BD"/>
    <w:rsid w:val="0007658B"/>
    <w:rsid w:val="00076C4E"/>
    <w:rsid w:val="00081A7F"/>
    <w:rsid w:val="00082C3B"/>
    <w:rsid w:val="000843BC"/>
    <w:rsid w:val="0008445B"/>
    <w:rsid w:val="000861B4"/>
    <w:rsid w:val="0008627D"/>
    <w:rsid w:val="00087CD6"/>
    <w:rsid w:val="000945B7"/>
    <w:rsid w:val="00095BDB"/>
    <w:rsid w:val="000A1688"/>
    <w:rsid w:val="000A39D7"/>
    <w:rsid w:val="000B7065"/>
    <w:rsid w:val="000B7848"/>
    <w:rsid w:val="000B7B7D"/>
    <w:rsid w:val="000C047F"/>
    <w:rsid w:val="000C4FBE"/>
    <w:rsid w:val="000C6F49"/>
    <w:rsid w:val="000C79D5"/>
    <w:rsid w:val="000D12C0"/>
    <w:rsid w:val="000D7F27"/>
    <w:rsid w:val="000E0735"/>
    <w:rsid w:val="000E14B9"/>
    <w:rsid w:val="000E5475"/>
    <w:rsid w:val="000E58C8"/>
    <w:rsid w:val="000F0919"/>
    <w:rsid w:val="000F09D5"/>
    <w:rsid w:val="000F1353"/>
    <w:rsid w:val="000F207C"/>
    <w:rsid w:val="000F24E8"/>
    <w:rsid w:val="000F535C"/>
    <w:rsid w:val="000F57E1"/>
    <w:rsid w:val="000F6D42"/>
    <w:rsid w:val="00102468"/>
    <w:rsid w:val="00102E7B"/>
    <w:rsid w:val="00103DB7"/>
    <w:rsid w:val="001040A1"/>
    <w:rsid w:val="001050F3"/>
    <w:rsid w:val="001057BD"/>
    <w:rsid w:val="00106536"/>
    <w:rsid w:val="0010745D"/>
    <w:rsid w:val="001104CC"/>
    <w:rsid w:val="001122B3"/>
    <w:rsid w:val="00112FED"/>
    <w:rsid w:val="0011391C"/>
    <w:rsid w:val="0011530A"/>
    <w:rsid w:val="00116511"/>
    <w:rsid w:val="00124F04"/>
    <w:rsid w:val="001254D2"/>
    <w:rsid w:val="00127FF0"/>
    <w:rsid w:val="0013097E"/>
    <w:rsid w:val="001315C5"/>
    <w:rsid w:val="00132A55"/>
    <w:rsid w:val="0013421F"/>
    <w:rsid w:val="00134AD5"/>
    <w:rsid w:val="00134DFD"/>
    <w:rsid w:val="00135D2B"/>
    <w:rsid w:val="001373B3"/>
    <w:rsid w:val="00144622"/>
    <w:rsid w:val="00144AA2"/>
    <w:rsid w:val="001461A7"/>
    <w:rsid w:val="0015014F"/>
    <w:rsid w:val="001502A5"/>
    <w:rsid w:val="00150E91"/>
    <w:rsid w:val="00152741"/>
    <w:rsid w:val="00153098"/>
    <w:rsid w:val="00155AA2"/>
    <w:rsid w:val="0016069D"/>
    <w:rsid w:val="0016274A"/>
    <w:rsid w:val="001641B5"/>
    <w:rsid w:val="0017017D"/>
    <w:rsid w:val="00170ECD"/>
    <w:rsid w:val="001720D8"/>
    <w:rsid w:val="001736AB"/>
    <w:rsid w:val="001759CD"/>
    <w:rsid w:val="00175A26"/>
    <w:rsid w:val="001762EC"/>
    <w:rsid w:val="001773A6"/>
    <w:rsid w:val="001802FD"/>
    <w:rsid w:val="00182FA6"/>
    <w:rsid w:val="00183105"/>
    <w:rsid w:val="00183A5C"/>
    <w:rsid w:val="00183AD4"/>
    <w:rsid w:val="0018455C"/>
    <w:rsid w:val="00184863"/>
    <w:rsid w:val="00190030"/>
    <w:rsid w:val="0019013F"/>
    <w:rsid w:val="00190A92"/>
    <w:rsid w:val="00191599"/>
    <w:rsid w:val="00192385"/>
    <w:rsid w:val="001931AF"/>
    <w:rsid w:val="0019334E"/>
    <w:rsid w:val="00193EA2"/>
    <w:rsid w:val="001942B1"/>
    <w:rsid w:val="00194633"/>
    <w:rsid w:val="00194B34"/>
    <w:rsid w:val="00194D5D"/>
    <w:rsid w:val="00194EFF"/>
    <w:rsid w:val="00195086"/>
    <w:rsid w:val="001A0758"/>
    <w:rsid w:val="001A2965"/>
    <w:rsid w:val="001A2B35"/>
    <w:rsid w:val="001A2DCF"/>
    <w:rsid w:val="001A2F74"/>
    <w:rsid w:val="001A4C29"/>
    <w:rsid w:val="001A616B"/>
    <w:rsid w:val="001A68F4"/>
    <w:rsid w:val="001B042F"/>
    <w:rsid w:val="001B063C"/>
    <w:rsid w:val="001B07BE"/>
    <w:rsid w:val="001B0B69"/>
    <w:rsid w:val="001B12F4"/>
    <w:rsid w:val="001B252A"/>
    <w:rsid w:val="001B3433"/>
    <w:rsid w:val="001B4418"/>
    <w:rsid w:val="001B6279"/>
    <w:rsid w:val="001C0D35"/>
    <w:rsid w:val="001C1695"/>
    <w:rsid w:val="001C42C7"/>
    <w:rsid w:val="001C583A"/>
    <w:rsid w:val="001C6DB4"/>
    <w:rsid w:val="001C72F3"/>
    <w:rsid w:val="001D0EE4"/>
    <w:rsid w:val="001D1DA4"/>
    <w:rsid w:val="001D69C8"/>
    <w:rsid w:val="001D71D1"/>
    <w:rsid w:val="001D7279"/>
    <w:rsid w:val="001D7BFD"/>
    <w:rsid w:val="001E2229"/>
    <w:rsid w:val="001E2717"/>
    <w:rsid w:val="001E3722"/>
    <w:rsid w:val="001E54B7"/>
    <w:rsid w:val="001E654E"/>
    <w:rsid w:val="001E69E9"/>
    <w:rsid w:val="001E7CB1"/>
    <w:rsid w:val="001F241A"/>
    <w:rsid w:val="001F33F8"/>
    <w:rsid w:val="001F558E"/>
    <w:rsid w:val="001F618A"/>
    <w:rsid w:val="001F7558"/>
    <w:rsid w:val="001F7867"/>
    <w:rsid w:val="001F7AED"/>
    <w:rsid w:val="001F7F04"/>
    <w:rsid w:val="00206986"/>
    <w:rsid w:val="0020741A"/>
    <w:rsid w:val="00207425"/>
    <w:rsid w:val="0021005E"/>
    <w:rsid w:val="00210704"/>
    <w:rsid w:val="00214DE9"/>
    <w:rsid w:val="00221E71"/>
    <w:rsid w:val="0022220A"/>
    <w:rsid w:val="00222DCF"/>
    <w:rsid w:val="00226791"/>
    <w:rsid w:val="0022697A"/>
    <w:rsid w:val="0022723C"/>
    <w:rsid w:val="002305AA"/>
    <w:rsid w:val="00231036"/>
    <w:rsid w:val="002314C6"/>
    <w:rsid w:val="00232372"/>
    <w:rsid w:val="00236452"/>
    <w:rsid w:val="00237E0D"/>
    <w:rsid w:val="00240DAA"/>
    <w:rsid w:val="00245B49"/>
    <w:rsid w:val="00245E8B"/>
    <w:rsid w:val="00251203"/>
    <w:rsid w:val="0026181C"/>
    <w:rsid w:val="00266A48"/>
    <w:rsid w:val="00270826"/>
    <w:rsid w:val="00270946"/>
    <w:rsid w:val="00270B18"/>
    <w:rsid w:val="00270BF1"/>
    <w:rsid w:val="00271E78"/>
    <w:rsid w:val="0027302D"/>
    <w:rsid w:val="00276444"/>
    <w:rsid w:val="00276E57"/>
    <w:rsid w:val="00276F78"/>
    <w:rsid w:val="0027700C"/>
    <w:rsid w:val="00280935"/>
    <w:rsid w:val="00281FBA"/>
    <w:rsid w:val="00282F44"/>
    <w:rsid w:val="00283955"/>
    <w:rsid w:val="0028492D"/>
    <w:rsid w:val="00290B3E"/>
    <w:rsid w:val="00291853"/>
    <w:rsid w:val="00294EA4"/>
    <w:rsid w:val="002958C8"/>
    <w:rsid w:val="00295E0C"/>
    <w:rsid w:val="00296943"/>
    <w:rsid w:val="00296EE9"/>
    <w:rsid w:val="00297719"/>
    <w:rsid w:val="002A08C2"/>
    <w:rsid w:val="002A1744"/>
    <w:rsid w:val="002A1B54"/>
    <w:rsid w:val="002A1EB3"/>
    <w:rsid w:val="002A2ABF"/>
    <w:rsid w:val="002A3AF5"/>
    <w:rsid w:val="002A3C3A"/>
    <w:rsid w:val="002A6B4D"/>
    <w:rsid w:val="002A6DE2"/>
    <w:rsid w:val="002A729B"/>
    <w:rsid w:val="002A75A4"/>
    <w:rsid w:val="002B27E3"/>
    <w:rsid w:val="002B33D8"/>
    <w:rsid w:val="002B3F0E"/>
    <w:rsid w:val="002B4523"/>
    <w:rsid w:val="002B505B"/>
    <w:rsid w:val="002B61E7"/>
    <w:rsid w:val="002B6FEA"/>
    <w:rsid w:val="002B788B"/>
    <w:rsid w:val="002B7B5A"/>
    <w:rsid w:val="002B7B7F"/>
    <w:rsid w:val="002C0DF1"/>
    <w:rsid w:val="002C1157"/>
    <w:rsid w:val="002C4AB7"/>
    <w:rsid w:val="002C55A1"/>
    <w:rsid w:val="002C584A"/>
    <w:rsid w:val="002C7733"/>
    <w:rsid w:val="002D2A26"/>
    <w:rsid w:val="002D4904"/>
    <w:rsid w:val="002D4F20"/>
    <w:rsid w:val="002D514C"/>
    <w:rsid w:val="002E1103"/>
    <w:rsid w:val="002E153A"/>
    <w:rsid w:val="002E227E"/>
    <w:rsid w:val="002E3A87"/>
    <w:rsid w:val="002E4DFD"/>
    <w:rsid w:val="002E5550"/>
    <w:rsid w:val="002F0E33"/>
    <w:rsid w:val="002F1BBF"/>
    <w:rsid w:val="002F241B"/>
    <w:rsid w:val="003005D6"/>
    <w:rsid w:val="00302D57"/>
    <w:rsid w:val="00304038"/>
    <w:rsid w:val="00304689"/>
    <w:rsid w:val="00306451"/>
    <w:rsid w:val="003077C8"/>
    <w:rsid w:val="003122AB"/>
    <w:rsid w:val="00313C88"/>
    <w:rsid w:val="00313F22"/>
    <w:rsid w:val="0031488C"/>
    <w:rsid w:val="003148F9"/>
    <w:rsid w:val="00315BA0"/>
    <w:rsid w:val="003204D6"/>
    <w:rsid w:val="003207AF"/>
    <w:rsid w:val="0032111C"/>
    <w:rsid w:val="00321B3C"/>
    <w:rsid w:val="00321ED9"/>
    <w:rsid w:val="00322E73"/>
    <w:rsid w:val="003230FD"/>
    <w:rsid w:val="00323C56"/>
    <w:rsid w:val="0032702A"/>
    <w:rsid w:val="003312E6"/>
    <w:rsid w:val="00331918"/>
    <w:rsid w:val="003328D7"/>
    <w:rsid w:val="00333167"/>
    <w:rsid w:val="00333F97"/>
    <w:rsid w:val="00334314"/>
    <w:rsid w:val="0033648E"/>
    <w:rsid w:val="00337E4F"/>
    <w:rsid w:val="003413D6"/>
    <w:rsid w:val="003427F4"/>
    <w:rsid w:val="00344CF8"/>
    <w:rsid w:val="00346285"/>
    <w:rsid w:val="00346461"/>
    <w:rsid w:val="0035083C"/>
    <w:rsid w:val="0035142C"/>
    <w:rsid w:val="00351C4B"/>
    <w:rsid w:val="00351E2B"/>
    <w:rsid w:val="003531AE"/>
    <w:rsid w:val="00356473"/>
    <w:rsid w:val="00356FEB"/>
    <w:rsid w:val="00360119"/>
    <w:rsid w:val="003667B5"/>
    <w:rsid w:val="0036797B"/>
    <w:rsid w:val="00367ED4"/>
    <w:rsid w:val="00370C20"/>
    <w:rsid w:val="00370F96"/>
    <w:rsid w:val="003736C1"/>
    <w:rsid w:val="00373725"/>
    <w:rsid w:val="003738C5"/>
    <w:rsid w:val="0037401E"/>
    <w:rsid w:val="00374B7D"/>
    <w:rsid w:val="0037569D"/>
    <w:rsid w:val="00375B71"/>
    <w:rsid w:val="0038117B"/>
    <w:rsid w:val="00385133"/>
    <w:rsid w:val="00385910"/>
    <w:rsid w:val="0038753A"/>
    <w:rsid w:val="00393DD8"/>
    <w:rsid w:val="00394243"/>
    <w:rsid w:val="00396243"/>
    <w:rsid w:val="00396432"/>
    <w:rsid w:val="0039771F"/>
    <w:rsid w:val="00397BB4"/>
    <w:rsid w:val="003A2297"/>
    <w:rsid w:val="003A287C"/>
    <w:rsid w:val="003A2DA5"/>
    <w:rsid w:val="003A4A16"/>
    <w:rsid w:val="003A61D9"/>
    <w:rsid w:val="003B26B4"/>
    <w:rsid w:val="003B2AAE"/>
    <w:rsid w:val="003B42E5"/>
    <w:rsid w:val="003C09DD"/>
    <w:rsid w:val="003C1A7A"/>
    <w:rsid w:val="003C21F9"/>
    <w:rsid w:val="003C3FC3"/>
    <w:rsid w:val="003C4500"/>
    <w:rsid w:val="003C4A55"/>
    <w:rsid w:val="003C550E"/>
    <w:rsid w:val="003C5DDA"/>
    <w:rsid w:val="003C6139"/>
    <w:rsid w:val="003D1C4A"/>
    <w:rsid w:val="003D28D7"/>
    <w:rsid w:val="003D5639"/>
    <w:rsid w:val="003D6FA1"/>
    <w:rsid w:val="003D7BD4"/>
    <w:rsid w:val="003E23A4"/>
    <w:rsid w:val="003E2C0A"/>
    <w:rsid w:val="003E2C5A"/>
    <w:rsid w:val="003E32B1"/>
    <w:rsid w:val="003E517C"/>
    <w:rsid w:val="003E5208"/>
    <w:rsid w:val="003E5700"/>
    <w:rsid w:val="003E66AA"/>
    <w:rsid w:val="003E6724"/>
    <w:rsid w:val="003E70D7"/>
    <w:rsid w:val="003F09B6"/>
    <w:rsid w:val="003F1C82"/>
    <w:rsid w:val="003F208C"/>
    <w:rsid w:val="003F2A3A"/>
    <w:rsid w:val="003F5100"/>
    <w:rsid w:val="003F78F4"/>
    <w:rsid w:val="004016E7"/>
    <w:rsid w:val="00401AC3"/>
    <w:rsid w:val="0040229C"/>
    <w:rsid w:val="00414813"/>
    <w:rsid w:val="00415A17"/>
    <w:rsid w:val="0042146A"/>
    <w:rsid w:val="00424FDD"/>
    <w:rsid w:val="004250EF"/>
    <w:rsid w:val="004257D6"/>
    <w:rsid w:val="00425E3F"/>
    <w:rsid w:val="0042636D"/>
    <w:rsid w:val="00431CD6"/>
    <w:rsid w:val="004320B0"/>
    <w:rsid w:val="00433F91"/>
    <w:rsid w:val="00435D8B"/>
    <w:rsid w:val="00435F4F"/>
    <w:rsid w:val="00440A2D"/>
    <w:rsid w:val="00441ABC"/>
    <w:rsid w:val="0044420C"/>
    <w:rsid w:val="00447BDF"/>
    <w:rsid w:val="004500BB"/>
    <w:rsid w:val="00450BCC"/>
    <w:rsid w:val="00450F25"/>
    <w:rsid w:val="00453030"/>
    <w:rsid w:val="00455226"/>
    <w:rsid w:val="00455554"/>
    <w:rsid w:val="004577BB"/>
    <w:rsid w:val="004618DD"/>
    <w:rsid w:val="00461A12"/>
    <w:rsid w:val="00461B0A"/>
    <w:rsid w:val="00461FA1"/>
    <w:rsid w:val="00463836"/>
    <w:rsid w:val="004647F7"/>
    <w:rsid w:val="004649C6"/>
    <w:rsid w:val="00464BE7"/>
    <w:rsid w:val="00466AED"/>
    <w:rsid w:val="0047032C"/>
    <w:rsid w:val="004734D7"/>
    <w:rsid w:val="004737F9"/>
    <w:rsid w:val="00475811"/>
    <w:rsid w:val="00475D50"/>
    <w:rsid w:val="00476F76"/>
    <w:rsid w:val="00481D7B"/>
    <w:rsid w:val="00482050"/>
    <w:rsid w:val="0048607D"/>
    <w:rsid w:val="00490D08"/>
    <w:rsid w:val="00491672"/>
    <w:rsid w:val="0049171E"/>
    <w:rsid w:val="0049194A"/>
    <w:rsid w:val="00491B6F"/>
    <w:rsid w:val="00491E4B"/>
    <w:rsid w:val="00495EB1"/>
    <w:rsid w:val="00496C2D"/>
    <w:rsid w:val="0049740A"/>
    <w:rsid w:val="00497688"/>
    <w:rsid w:val="004979AC"/>
    <w:rsid w:val="004A0007"/>
    <w:rsid w:val="004A096A"/>
    <w:rsid w:val="004A2428"/>
    <w:rsid w:val="004A532B"/>
    <w:rsid w:val="004A574A"/>
    <w:rsid w:val="004A6F8A"/>
    <w:rsid w:val="004B0044"/>
    <w:rsid w:val="004B1554"/>
    <w:rsid w:val="004B1DAE"/>
    <w:rsid w:val="004B5955"/>
    <w:rsid w:val="004C060F"/>
    <w:rsid w:val="004C087F"/>
    <w:rsid w:val="004C2E05"/>
    <w:rsid w:val="004C4AAF"/>
    <w:rsid w:val="004C65F5"/>
    <w:rsid w:val="004C6B2F"/>
    <w:rsid w:val="004D1A6C"/>
    <w:rsid w:val="004D1B12"/>
    <w:rsid w:val="004D3271"/>
    <w:rsid w:val="004D38AD"/>
    <w:rsid w:val="004D3C22"/>
    <w:rsid w:val="004D425B"/>
    <w:rsid w:val="004E0FD8"/>
    <w:rsid w:val="004E1124"/>
    <w:rsid w:val="004E34C1"/>
    <w:rsid w:val="004F26D2"/>
    <w:rsid w:val="004F2B2B"/>
    <w:rsid w:val="004F486A"/>
    <w:rsid w:val="004F5380"/>
    <w:rsid w:val="004F6639"/>
    <w:rsid w:val="004F6F14"/>
    <w:rsid w:val="004F6F68"/>
    <w:rsid w:val="004F72E0"/>
    <w:rsid w:val="004F7AFB"/>
    <w:rsid w:val="004F7BA0"/>
    <w:rsid w:val="00501306"/>
    <w:rsid w:val="00501C2A"/>
    <w:rsid w:val="00502A17"/>
    <w:rsid w:val="00502E5B"/>
    <w:rsid w:val="0050581A"/>
    <w:rsid w:val="005059ED"/>
    <w:rsid w:val="00507229"/>
    <w:rsid w:val="00507D8E"/>
    <w:rsid w:val="00511186"/>
    <w:rsid w:val="00511895"/>
    <w:rsid w:val="00511902"/>
    <w:rsid w:val="00511CFB"/>
    <w:rsid w:val="005125C5"/>
    <w:rsid w:val="005138BF"/>
    <w:rsid w:val="00514575"/>
    <w:rsid w:val="00520D61"/>
    <w:rsid w:val="0052265F"/>
    <w:rsid w:val="00526413"/>
    <w:rsid w:val="00526A01"/>
    <w:rsid w:val="00533A15"/>
    <w:rsid w:val="00534783"/>
    <w:rsid w:val="005353FA"/>
    <w:rsid w:val="00537D3B"/>
    <w:rsid w:val="0054195F"/>
    <w:rsid w:val="00542181"/>
    <w:rsid w:val="00543023"/>
    <w:rsid w:val="00544B75"/>
    <w:rsid w:val="005451D0"/>
    <w:rsid w:val="00545512"/>
    <w:rsid w:val="0054720F"/>
    <w:rsid w:val="00550FC8"/>
    <w:rsid w:val="00552451"/>
    <w:rsid w:val="00552F43"/>
    <w:rsid w:val="00553DB8"/>
    <w:rsid w:val="00554877"/>
    <w:rsid w:val="00556797"/>
    <w:rsid w:val="00556F05"/>
    <w:rsid w:val="005608C1"/>
    <w:rsid w:val="00560CB1"/>
    <w:rsid w:val="00560D7F"/>
    <w:rsid w:val="005618AE"/>
    <w:rsid w:val="00561F79"/>
    <w:rsid w:val="00563235"/>
    <w:rsid w:val="005639E5"/>
    <w:rsid w:val="0056474D"/>
    <w:rsid w:val="00564C36"/>
    <w:rsid w:val="00567683"/>
    <w:rsid w:val="00573290"/>
    <w:rsid w:val="00574D21"/>
    <w:rsid w:val="0057748C"/>
    <w:rsid w:val="005827E7"/>
    <w:rsid w:val="00583C55"/>
    <w:rsid w:val="00584ED6"/>
    <w:rsid w:val="0058603E"/>
    <w:rsid w:val="00587387"/>
    <w:rsid w:val="0059045F"/>
    <w:rsid w:val="00591637"/>
    <w:rsid w:val="00591D45"/>
    <w:rsid w:val="00592CB4"/>
    <w:rsid w:val="005930AC"/>
    <w:rsid w:val="00593757"/>
    <w:rsid w:val="00595411"/>
    <w:rsid w:val="005961DC"/>
    <w:rsid w:val="0059643D"/>
    <w:rsid w:val="0059690A"/>
    <w:rsid w:val="00596CCF"/>
    <w:rsid w:val="00597082"/>
    <w:rsid w:val="005A0433"/>
    <w:rsid w:val="005A2657"/>
    <w:rsid w:val="005A29C4"/>
    <w:rsid w:val="005A3D63"/>
    <w:rsid w:val="005A5ECD"/>
    <w:rsid w:val="005A7553"/>
    <w:rsid w:val="005A7779"/>
    <w:rsid w:val="005B4709"/>
    <w:rsid w:val="005B6081"/>
    <w:rsid w:val="005B6A56"/>
    <w:rsid w:val="005C0FAD"/>
    <w:rsid w:val="005C18CD"/>
    <w:rsid w:val="005C1C13"/>
    <w:rsid w:val="005C2A3B"/>
    <w:rsid w:val="005C2F0F"/>
    <w:rsid w:val="005C3803"/>
    <w:rsid w:val="005C41CD"/>
    <w:rsid w:val="005C4DDF"/>
    <w:rsid w:val="005C680D"/>
    <w:rsid w:val="005C6878"/>
    <w:rsid w:val="005C6A67"/>
    <w:rsid w:val="005C7F04"/>
    <w:rsid w:val="005D01EF"/>
    <w:rsid w:val="005D065B"/>
    <w:rsid w:val="005D2142"/>
    <w:rsid w:val="005D2C52"/>
    <w:rsid w:val="005D2FC3"/>
    <w:rsid w:val="005D37B3"/>
    <w:rsid w:val="005D3EB2"/>
    <w:rsid w:val="005D5BD5"/>
    <w:rsid w:val="005E2EBB"/>
    <w:rsid w:val="005E42DF"/>
    <w:rsid w:val="005E7869"/>
    <w:rsid w:val="005F0035"/>
    <w:rsid w:val="005F1F0B"/>
    <w:rsid w:val="005F52CB"/>
    <w:rsid w:val="005F586D"/>
    <w:rsid w:val="005F5B1A"/>
    <w:rsid w:val="0060385B"/>
    <w:rsid w:val="00603D16"/>
    <w:rsid w:val="00604DD2"/>
    <w:rsid w:val="0060525F"/>
    <w:rsid w:val="00611255"/>
    <w:rsid w:val="00611BBD"/>
    <w:rsid w:val="006134B8"/>
    <w:rsid w:val="00614BCC"/>
    <w:rsid w:val="00614E0B"/>
    <w:rsid w:val="006226AD"/>
    <w:rsid w:val="00623D6C"/>
    <w:rsid w:val="00624B5C"/>
    <w:rsid w:val="00624F39"/>
    <w:rsid w:val="00626BD1"/>
    <w:rsid w:val="006275C8"/>
    <w:rsid w:val="00627A6A"/>
    <w:rsid w:val="006308FB"/>
    <w:rsid w:val="00632835"/>
    <w:rsid w:val="0063308D"/>
    <w:rsid w:val="00634317"/>
    <w:rsid w:val="006377DC"/>
    <w:rsid w:val="00642321"/>
    <w:rsid w:val="006466C1"/>
    <w:rsid w:val="00647C61"/>
    <w:rsid w:val="00647D2D"/>
    <w:rsid w:val="00652C15"/>
    <w:rsid w:val="00652E15"/>
    <w:rsid w:val="00654CED"/>
    <w:rsid w:val="00655CD2"/>
    <w:rsid w:val="00656472"/>
    <w:rsid w:val="006617A9"/>
    <w:rsid w:val="006617D6"/>
    <w:rsid w:val="00661932"/>
    <w:rsid w:val="00663453"/>
    <w:rsid w:val="00663D57"/>
    <w:rsid w:val="006648A4"/>
    <w:rsid w:val="00672287"/>
    <w:rsid w:val="0067399B"/>
    <w:rsid w:val="00676043"/>
    <w:rsid w:val="0067704A"/>
    <w:rsid w:val="006770EA"/>
    <w:rsid w:val="00680E3C"/>
    <w:rsid w:val="00680FBA"/>
    <w:rsid w:val="00682171"/>
    <w:rsid w:val="00682694"/>
    <w:rsid w:val="00683122"/>
    <w:rsid w:val="00685DB0"/>
    <w:rsid w:val="006866B9"/>
    <w:rsid w:val="00690D24"/>
    <w:rsid w:val="00692C62"/>
    <w:rsid w:val="00693545"/>
    <w:rsid w:val="00694EFE"/>
    <w:rsid w:val="00695788"/>
    <w:rsid w:val="006962C6"/>
    <w:rsid w:val="00697F9D"/>
    <w:rsid w:val="006A1715"/>
    <w:rsid w:val="006A2184"/>
    <w:rsid w:val="006A4785"/>
    <w:rsid w:val="006A5CFA"/>
    <w:rsid w:val="006B0621"/>
    <w:rsid w:val="006B12D5"/>
    <w:rsid w:val="006B4693"/>
    <w:rsid w:val="006B6356"/>
    <w:rsid w:val="006C3073"/>
    <w:rsid w:val="006C4041"/>
    <w:rsid w:val="006C5F4C"/>
    <w:rsid w:val="006D02E7"/>
    <w:rsid w:val="006D0B27"/>
    <w:rsid w:val="006D4D14"/>
    <w:rsid w:val="006D7C6A"/>
    <w:rsid w:val="006E28A3"/>
    <w:rsid w:val="006E2F2E"/>
    <w:rsid w:val="006E43A2"/>
    <w:rsid w:val="006E4CFD"/>
    <w:rsid w:val="006E6594"/>
    <w:rsid w:val="006E6F8E"/>
    <w:rsid w:val="006E7BEF"/>
    <w:rsid w:val="006E7DDB"/>
    <w:rsid w:val="006F12CE"/>
    <w:rsid w:val="006F264D"/>
    <w:rsid w:val="006F2F4E"/>
    <w:rsid w:val="006F4482"/>
    <w:rsid w:val="00702332"/>
    <w:rsid w:val="007032AE"/>
    <w:rsid w:val="00703BD1"/>
    <w:rsid w:val="00704AA0"/>
    <w:rsid w:val="00704B84"/>
    <w:rsid w:val="0070500C"/>
    <w:rsid w:val="00710876"/>
    <w:rsid w:val="00712320"/>
    <w:rsid w:val="00712AF2"/>
    <w:rsid w:val="00712CC9"/>
    <w:rsid w:val="007137FA"/>
    <w:rsid w:val="00717125"/>
    <w:rsid w:val="00723C3B"/>
    <w:rsid w:val="0072482E"/>
    <w:rsid w:val="00724BAD"/>
    <w:rsid w:val="00725599"/>
    <w:rsid w:val="0072759E"/>
    <w:rsid w:val="00727D07"/>
    <w:rsid w:val="00731D4D"/>
    <w:rsid w:val="007321A8"/>
    <w:rsid w:val="00736930"/>
    <w:rsid w:val="00737326"/>
    <w:rsid w:val="007436A7"/>
    <w:rsid w:val="00743A24"/>
    <w:rsid w:val="00745151"/>
    <w:rsid w:val="0074686C"/>
    <w:rsid w:val="007472F6"/>
    <w:rsid w:val="00750909"/>
    <w:rsid w:val="00753DCB"/>
    <w:rsid w:val="00754E5C"/>
    <w:rsid w:val="00755478"/>
    <w:rsid w:val="00755B91"/>
    <w:rsid w:val="00757190"/>
    <w:rsid w:val="00761BE9"/>
    <w:rsid w:val="00763CD1"/>
    <w:rsid w:val="00764495"/>
    <w:rsid w:val="00765892"/>
    <w:rsid w:val="00770154"/>
    <w:rsid w:val="00771551"/>
    <w:rsid w:val="00773116"/>
    <w:rsid w:val="007733AC"/>
    <w:rsid w:val="00774B2D"/>
    <w:rsid w:val="007758AA"/>
    <w:rsid w:val="00775B38"/>
    <w:rsid w:val="00777040"/>
    <w:rsid w:val="00780084"/>
    <w:rsid w:val="0078189F"/>
    <w:rsid w:val="007837DE"/>
    <w:rsid w:val="007837F7"/>
    <w:rsid w:val="007842DB"/>
    <w:rsid w:val="007847D7"/>
    <w:rsid w:val="00784DD9"/>
    <w:rsid w:val="00785941"/>
    <w:rsid w:val="00787169"/>
    <w:rsid w:val="007900C7"/>
    <w:rsid w:val="00794BBF"/>
    <w:rsid w:val="00794C03"/>
    <w:rsid w:val="00794D4F"/>
    <w:rsid w:val="0079582F"/>
    <w:rsid w:val="00796FEC"/>
    <w:rsid w:val="00797BA5"/>
    <w:rsid w:val="007A384C"/>
    <w:rsid w:val="007A4512"/>
    <w:rsid w:val="007A4C1D"/>
    <w:rsid w:val="007A58AE"/>
    <w:rsid w:val="007A642A"/>
    <w:rsid w:val="007B5A30"/>
    <w:rsid w:val="007B7190"/>
    <w:rsid w:val="007B7393"/>
    <w:rsid w:val="007C1152"/>
    <w:rsid w:val="007C1DFB"/>
    <w:rsid w:val="007C2ADB"/>
    <w:rsid w:val="007C4975"/>
    <w:rsid w:val="007C68D8"/>
    <w:rsid w:val="007C7207"/>
    <w:rsid w:val="007C7C1E"/>
    <w:rsid w:val="007C7CC9"/>
    <w:rsid w:val="007D28EA"/>
    <w:rsid w:val="007D32D7"/>
    <w:rsid w:val="007D42CF"/>
    <w:rsid w:val="007D631E"/>
    <w:rsid w:val="007D778A"/>
    <w:rsid w:val="007E209A"/>
    <w:rsid w:val="007E37C3"/>
    <w:rsid w:val="007E6692"/>
    <w:rsid w:val="007E723E"/>
    <w:rsid w:val="007E795F"/>
    <w:rsid w:val="007F358A"/>
    <w:rsid w:val="007F563D"/>
    <w:rsid w:val="007F6104"/>
    <w:rsid w:val="007F75F1"/>
    <w:rsid w:val="008013B2"/>
    <w:rsid w:val="00803F71"/>
    <w:rsid w:val="00803F86"/>
    <w:rsid w:val="008042A5"/>
    <w:rsid w:val="00805186"/>
    <w:rsid w:val="0081112E"/>
    <w:rsid w:val="008130BA"/>
    <w:rsid w:val="00814C22"/>
    <w:rsid w:val="0081739B"/>
    <w:rsid w:val="008179A3"/>
    <w:rsid w:val="00821B59"/>
    <w:rsid w:val="008220F5"/>
    <w:rsid w:val="008223D6"/>
    <w:rsid w:val="00823A1E"/>
    <w:rsid w:val="0082426A"/>
    <w:rsid w:val="00824884"/>
    <w:rsid w:val="00824E4F"/>
    <w:rsid w:val="00824E62"/>
    <w:rsid w:val="00826FF7"/>
    <w:rsid w:val="00827D6B"/>
    <w:rsid w:val="0083067D"/>
    <w:rsid w:val="008329FE"/>
    <w:rsid w:val="008343D8"/>
    <w:rsid w:val="00835498"/>
    <w:rsid w:val="00837088"/>
    <w:rsid w:val="008379A2"/>
    <w:rsid w:val="00840FE2"/>
    <w:rsid w:val="008428FD"/>
    <w:rsid w:val="00843D50"/>
    <w:rsid w:val="00843D5D"/>
    <w:rsid w:val="0085014E"/>
    <w:rsid w:val="008522AE"/>
    <w:rsid w:val="008529CC"/>
    <w:rsid w:val="008529D6"/>
    <w:rsid w:val="00855653"/>
    <w:rsid w:val="0085660E"/>
    <w:rsid w:val="008618FC"/>
    <w:rsid w:val="008656F3"/>
    <w:rsid w:val="00867B09"/>
    <w:rsid w:val="00867F6B"/>
    <w:rsid w:val="00871A1B"/>
    <w:rsid w:val="0087339D"/>
    <w:rsid w:val="00873526"/>
    <w:rsid w:val="00874AFC"/>
    <w:rsid w:val="00876337"/>
    <w:rsid w:val="0087748F"/>
    <w:rsid w:val="008813AD"/>
    <w:rsid w:val="00881EB5"/>
    <w:rsid w:val="00881F6C"/>
    <w:rsid w:val="0088316A"/>
    <w:rsid w:val="00884803"/>
    <w:rsid w:val="00887006"/>
    <w:rsid w:val="00895866"/>
    <w:rsid w:val="00896C1F"/>
    <w:rsid w:val="00897432"/>
    <w:rsid w:val="008974FD"/>
    <w:rsid w:val="008977A9"/>
    <w:rsid w:val="00897A7A"/>
    <w:rsid w:val="00897F1A"/>
    <w:rsid w:val="008A2A74"/>
    <w:rsid w:val="008A5137"/>
    <w:rsid w:val="008A53AD"/>
    <w:rsid w:val="008A5458"/>
    <w:rsid w:val="008A5BF6"/>
    <w:rsid w:val="008A6234"/>
    <w:rsid w:val="008A71D1"/>
    <w:rsid w:val="008A72FD"/>
    <w:rsid w:val="008A7309"/>
    <w:rsid w:val="008A7CD8"/>
    <w:rsid w:val="008B17E5"/>
    <w:rsid w:val="008B183B"/>
    <w:rsid w:val="008B1D1E"/>
    <w:rsid w:val="008B2967"/>
    <w:rsid w:val="008B3317"/>
    <w:rsid w:val="008B3773"/>
    <w:rsid w:val="008B3BE5"/>
    <w:rsid w:val="008B59BD"/>
    <w:rsid w:val="008C08A1"/>
    <w:rsid w:val="008C22AA"/>
    <w:rsid w:val="008C2B10"/>
    <w:rsid w:val="008C4AFA"/>
    <w:rsid w:val="008C66B1"/>
    <w:rsid w:val="008C7576"/>
    <w:rsid w:val="008C7E8E"/>
    <w:rsid w:val="008D40C5"/>
    <w:rsid w:val="008D4C98"/>
    <w:rsid w:val="008D6C68"/>
    <w:rsid w:val="008D6D5C"/>
    <w:rsid w:val="008D7C6D"/>
    <w:rsid w:val="008E0A9D"/>
    <w:rsid w:val="008E197C"/>
    <w:rsid w:val="008E34E4"/>
    <w:rsid w:val="008E5F13"/>
    <w:rsid w:val="008E7B8E"/>
    <w:rsid w:val="008F276F"/>
    <w:rsid w:val="008F2B03"/>
    <w:rsid w:val="008F42B7"/>
    <w:rsid w:val="008F725E"/>
    <w:rsid w:val="00900346"/>
    <w:rsid w:val="009010A3"/>
    <w:rsid w:val="00901BA6"/>
    <w:rsid w:val="00902735"/>
    <w:rsid w:val="009030B4"/>
    <w:rsid w:val="00903FC9"/>
    <w:rsid w:val="009052AD"/>
    <w:rsid w:val="00905569"/>
    <w:rsid w:val="009057A6"/>
    <w:rsid w:val="009059C0"/>
    <w:rsid w:val="00907890"/>
    <w:rsid w:val="009102BC"/>
    <w:rsid w:val="0091166E"/>
    <w:rsid w:val="00912375"/>
    <w:rsid w:val="0091403D"/>
    <w:rsid w:val="00916F5A"/>
    <w:rsid w:val="00921CB4"/>
    <w:rsid w:val="00923C34"/>
    <w:rsid w:val="0092565F"/>
    <w:rsid w:val="009259E9"/>
    <w:rsid w:val="00930293"/>
    <w:rsid w:val="00930B50"/>
    <w:rsid w:val="009313E8"/>
    <w:rsid w:val="00932683"/>
    <w:rsid w:val="00932BEF"/>
    <w:rsid w:val="00933077"/>
    <w:rsid w:val="009335E0"/>
    <w:rsid w:val="00933BE6"/>
    <w:rsid w:val="0093406B"/>
    <w:rsid w:val="0093418E"/>
    <w:rsid w:val="0093490C"/>
    <w:rsid w:val="00935D9D"/>
    <w:rsid w:val="009368E6"/>
    <w:rsid w:val="009416B9"/>
    <w:rsid w:val="00942AAA"/>
    <w:rsid w:val="009434F5"/>
    <w:rsid w:val="009438A4"/>
    <w:rsid w:val="00946734"/>
    <w:rsid w:val="00946E30"/>
    <w:rsid w:val="009474EB"/>
    <w:rsid w:val="009503DC"/>
    <w:rsid w:val="00951B21"/>
    <w:rsid w:val="0095212E"/>
    <w:rsid w:val="009552F5"/>
    <w:rsid w:val="00955698"/>
    <w:rsid w:val="00962D0E"/>
    <w:rsid w:val="00962FAB"/>
    <w:rsid w:val="00965DC5"/>
    <w:rsid w:val="00965E43"/>
    <w:rsid w:val="009666FD"/>
    <w:rsid w:val="00970FC1"/>
    <w:rsid w:val="0097428E"/>
    <w:rsid w:val="0097536C"/>
    <w:rsid w:val="00976A9C"/>
    <w:rsid w:val="00976F97"/>
    <w:rsid w:val="00977B9E"/>
    <w:rsid w:val="00977E53"/>
    <w:rsid w:val="00980AC8"/>
    <w:rsid w:val="00981F41"/>
    <w:rsid w:val="00984687"/>
    <w:rsid w:val="00984CB0"/>
    <w:rsid w:val="009862E0"/>
    <w:rsid w:val="00987BCF"/>
    <w:rsid w:val="00992B2E"/>
    <w:rsid w:val="00993C13"/>
    <w:rsid w:val="00996E02"/>
    <w:rsid w:val="00997AF9"/>
    <w:rsid w:val="00997E21"/>
    <w:rsid w:val="009A200B"/>
    <w:rsid w:val="009A2D51"/>
    <w:rsid w:val="009A48C4"/>
    <w:rsid w:val="009A6101"/>
    <w:rsid w:val="009B09ED"/>
    <w:rsid w:val="009B0B34"/>
    <w:rsid w:val="009B164F"/>
    <w:rsid w:val="009B26E9"/>
    <w:rsid w:val="009B374D"/>
    <w:rsid w:val="009B3937"/>
    <w:rsid w:val="009B569C"/>
    <w:rsid w:val="009C0658"/>
    <w:rsid w:val="009C19CD"/>
    <w:rsid w:val="009C1B8E"/>
    <w:rsid w:val="009C1BA5"/>
    <w:rsid w:val="009C1CA7"/>
    <w:rsid w:val="009C2D59"/>
    <w:rsid w:val="009C5A0D"/>
    <w:rsid w:val="009C5DEA"/>
    <w:rsid w:val="009C7021"/>
    <w:rsid w:val="009D0B47"/>
    <w:rsid w:val="009D0F5F"/>
    <w:rsid w:val="009D1890"/>
    <w:rsid w:val="009D3BC0"/>
    <w:rsid w:val="009D3C10"/>
    <w:rsid w:val="009D54FD"/>
    <w:rsid w:val="009D57E7"/>
    <w:rsid w:val="009D5E7B"/>
    <w:rsid w:val="009D7EED"/>
    <w:rsid w:val="009E077E"/>
    <w:rsid w:val="009E1E10"/>
    <w:rsid w:val="009E1FDD"/>
    <w:rsid w:val="009E288F"/>
    <w:rsid w:val="009E31D2"/>
    <w:rsid w:val="009E35CE"/>
    <w:rsid w:val="009E4122"/>
    <w:rsid w:val="009E5406"/>
    <w:rsid w:val="009E5EB0"/>
    <w:rsid w:val="009F0509"/>
    <w:rsid w:val="009F0753"/>
    <w:rsid w:val="009F2642"/>
    <w:rsid w:val="009F3A8A"/>
    <w:rsid w:val="009F5901"/>
    <w:rsid w:val="00A01840"/>
    <w:rsid w:val="00A01DDD"/>
    <w:rsid w:val="00A01DE3"/>
    <w:rsid w:val="00A0342A"/>
    <w:rsid w:val="00A03F5E"/>
    <w:rsid w:val="00A07E2B"/>
    <w:rsid w:val="00A13640"/>
    <w:rsid w:val="00A137DC"/>
    <w:rsid w:val="00A1544D"/>
    <w:rsid w:val="00A16B8E"/>
    <w:rsid w:val="00A17E5E"/>
    <w:rsid w:val="00A20811"/>
    <w:rsid w:val="00A22F99"/>
    <w:rsid w:val="00A231F9"/>
    <w:rsid w:val="00A25B41"/>
    <w:rsid w:val="00A25B55"/>
    <w:rsid w:val="00A267A9"/>
    <w:rsid w:val="00A26C2D"/>
    <w:rsid w:val="00A27468"/>
    <w:rsid w:val="00A31270"/>
    <w:rsid w:val="00A31300"/>
    <w:rsid w:val="00A34ACE"/>
    <w:rsid w:val="00A36E0D"/>
    <w:rsid w:val="00A37A4D"/>
    <w:rsid w:val="00A40D0E"/>
    <w:rsid w:val="00A42D93"/>
    <w:rsid w:val="00A477DE"/>
    <w:rsid w:val="00A47B9A"/>
    <w:rsid w:val="00A5050D"/>
    <w:rsid w:val="00A50F3C"/>
    <w:rsid w:val="00A51BD6"/>
    <w:rsid w:val="00A51F0A"/>
    <w:rsid w:val="00A55787"/>
    <w:rsid w:val="00A55896"/>
    <w:rsid w:val="00A5674D"/>
    <w:rsid w:val="00A567D0"/>
    <w:rsid w:val="00A61050"/>
    <w:rsid w:val="00A613B1"/>
    <w:rsid w:val="00A61EA8"/>
    <w:rsid w:val="00A6265B"/>
    <w:rsid w:val="00A642AA"/>
    <w:rsid w:val="00A660F3"/>
    <w:rsid w:val="00A70C46"/>
    <w:rsid w:val="00A71C68"/>
    <w:rsid w:val="00A7337B"/>
    <w:rsid w:val="00A737CD"/>
    <w:rsid w:val="00A74167"/>
    <w:rsid w:val="00A75837"/>
    <w:rsid w:val="00A83071"/>
    <w:rsid w:val="00A83193"/>
    <w:rsid w:val="00A83AF1"/>
    <w:rsid w:val="00A847FB"/>
    <w:rsid w:val="00A904F6"/>
    <w:rsid w:val="00A910D9"/>
    <w:rsid w:val="00A92595"/>
    <w:rsid w:val="00A93CE3"/>
    <w:rsid w:val="00A94981"/>
    <w:rsid w:val="00A94F23"/>
    <w:rsid w:val="00A9528E"/>
    <w:rsid w:val="00A9635C"/>
    <w:rsid w:val="00A97A15"/>
    <w:rsid w:val="00AA07D4"/>
    <w:rsid w:val="00AA17E7"/>
    <w:rsid w:val="00AA4BC4"/>
    <w:rsid w:val="00AA77C4"/>
    <w:rsid w:val="00AB02A6"/>
    <w:rsid w:val="00AB0E79"/>
    <w:rsid w:val="00AB0F04"/>
    <w:rsid w:val="00AB11BE"/>
    <w:rsid w:val="00AB2A8C"/>
    <w:rsid w:val="00AB3236"/>
    <w:rsid w:val="00AB4BE2"/>
    <w:rsid w:val="00AB615C"/>
    <w:rsid w:val="00AB6D69"/>
    <w:rsid w:val="00AB7069"/>
    <w:rsid w:val="00AB7392"/>
    <w:rsid w:val="00AB7FE7"/>
    <w:rsid w:val="00AC1C9B"/>
    <w:rsid w:val="00AC3A92"/>
    <w:rsid w:val="00AC44FC"/>
    <w:rsid w:val="00AC66FF"/>
    <w:rsid w:val="00AC6BB7"/>
    <w:rsid w:val="00AC6FEE"/>
    <w:rsid w:val="00AD047E"/>
    <w:rsid w:val="00AD05CA"/>
    <w:rsid w:val="00AD213C"/>
    <w:rsid w:val="00AD4DD7"/>
    <w:rsid w:val="00AD5A36"/>
    <w:rsid w:val="00AE09F6"/>
    <w:rsid w:val="00AE1506"/>
    <w:rsid w:val="00AE15CB"/>
    <w:rsid w:val="00AE166E"/>
    <w:rsid w:val="00AE27EC"/>
    <w:rsid w:val="00AE54E2"/>
    <w:rsid w:val="00AF02B4"/>
    <w:rsid w:val="00AF22D3"/>
    <w:rsid w:val="00AF342C"/>
    <w:rsid w:val="00AF4092"/>
    <w:rsid w:val="00B00289"/>
    <w:rsid w:val="00B035EF"/>
    <w:rsid w:val="00B05F91"/>
    <w:rsid w:val="00B062C8"/>
    <w:rsid w:val="00B07C25"/>
    <w:rsid w:val="00B101B7"/>
    <w:rsid w:val="00B103A9"/>
    <w:rsid w:val="00B12ECE"/>
    <w:rsid w:val="00B1454C"/>
    <w:rsid w:val="00B16DD1"/>
    <w:rsid w:val="00B1782C"/>
    <w:rsid w:val="00B17D5C"/>
    <w:rsid w:val="00B300AD"/>
    <w:rsid w:val="00B317DE"/>
    <w:rsid w:val="00B31DA3"/>
    <w:rsid w:val="00B334E5"/>
    <w:rsid w:val="00B33BA0"/>
    <w:rsid w:val="00B362DA"/>
    <w:rsid w:val="00B3679E"/>
    <w:rsid w:val="00B40AC3"/>
    <w:rsid w:val="00B41D9F"/>
    <w:rsid w:val="00B41F1A"/>
    <w:rsid w:val="00B428E6"/>
    <w:rsid w:val="00B4683C"/>
    <w:rsid w:val="00B47979"/>
    <w:rsid w:val="00B47DF9"/>
    <w:rsid w:val="00B50BF9"/>
    <w:rsid w:val="00B5303F"/>
    <w:rsid w:val="00B54332"/>
    <w:rsid w:val="00B609FF"/>
    <w:rsid w:val="00B615D2"/>
    <w:rsid w:val="00B61F9F"/>
    <w:rsid w:val="00B650F5"/>
    <w:rsid w:val="00B66F70"/>
    <w:rsid w:val="00B67888"/>
    <w:rsid w:val="00B67B9F"/>
    <w:rsid w:val="00B720A8"/>
    <w:rsid w:val="00B74026"/>
    <w:rsid w:val="00B74037"/>
    <w:rsid w:val="00B75C10"/>
    <w:rsid w:val="00B765B4"/>
    <w:rsid w:val="00B7707B"/>
    <w:rsid w:val="00B822D9"/>
    <w:rsid w:val="00B831C1"/>
    <w:rsid w:val="00B84B85"/>
    <w:rsid w:val="00B91635"/>
    <w:rsid w:val="00B916E0"/>
    <w:rsid w:val="00B93B01"/>
    <w:rsid w:val="00B93EFD"/>
    <w:rsid w:val="00B93FD3"/>
    <w:rsid w:val="00B942DF"/>
    <w:rsid w:val="00B9437F"/>
    <w:rsid w:val="00B963E8"/>
    <w:rsid w:val="00B969DA"/>
    <w:rsid w:val="00BA1E6A"/>
    <w:rsid w:val="00BA2C59"/>
    <w:rsid w:val="00BA3A6B"/>
    <w:rsid w:val="00BA3CA9"/>
    <w:rsid w:val="00BA5450"/>
    <w:rsid w:val="00BA5864"/>
    <w:rsid w:val="00BA595F"/>
    <w:rsid w:val="00BA5EE5"/>
    <w:rsid w:val="00BB1573"/>
    <w:rsid w:val="00BB40CE"/>
    <w:rsid w:val="00BB477A"/>
    <w:rsid w:val="00BB51DD"/>
    <w:rsid w:val="00BC2E18"/>
    <w:rsid w:val="00BC5334"/>
    <w:rsid w:val="00BC6EED"/>
    <w:rsid w:val="00BC77F7"/>
    <w:rsid w:val="00BD0554"/>
    <w:rsid w:val="00BD0DE8"/>
    <w:rsid w:val="00BD20C8"/>
    <w:rsid w:val="00BD3E60"/>
    <w:rsid w:val="00BD54F4"/>
    <w:rsid w:val="00BD68BB"/>
    <w:rsid w:val="00BE0C56"/>
    <w:rsid w:val="00BE7F8E"/>
    <w:rsid w:val="00BF1194"/>
    <w:rsid w:val="00BF3EFA"/>
    <w:rsid w:val="00BF4331"/>
    <w:rsid w:val="00BF450F"/>
    <w:rsid w:val="00C01233"/>
    <w:rsid w:val="00C01BA2"/>
    <w:rsid w:val="00C0242A"/>
    <w:rsid w:val="00C02A10"/>
    <w:rsid w:val="00C02BE0"/>
    <w:rsid w:val="00C0358C"/>
    <w:rsid w:val="00C037E8"/>
    <w:rsid w:val="00C066E1"/>
    <w:rsid w:val="00C07415"/>
    <w:rsid w:val="00C10CCF"/>
    <w:rsid w:val="00C14237"/>
    <w:rsid w:val="00C1438C"/>
    <w:rsid w:val="00C14C41"/>
    <w:rsid w:val="00C16113"/>
    <w:rsid w:val="00C16E42"/>
    <w:rsid w:val="00C16E46"/>
    <w:rsid w:val="00C16E56"/>
    <w:rsid w:val="00C170B1"/>
    <w:rsid w:val="00C17E8C"/>
    <w:rsid w:val="00C20850"/>
    <w:rsid w:val="00C237FD"/>
    <w:rsid w:val="00C23FFA"/>
    <w:rsid w:val="00C26132"/>
    <w:rsid w:val="00C30360"/>
    <w:rsid w:val="00C30BEB"/>
    <w:rsid w:val="00C330FA"/>
    <w:rsid w:val="00C33DA6"/>
    <w:rsid w:val="00C34209"/>
    <w:rsid w:val="00C345CD"/>
    <w:rsid w:val="00C3475E"/>
    <w:rsid w:val="00C37D3A"/>
    <w:rsid w:val="00C408AE"/>
    <w:rsid w:val="00C408F9"/>
    <w:rsid w:val="00C41261"/>
    <w:rsid w:val="00C412D2"/>
    <w:rsid w:val="00C4208F"/>
    <w:rsid w:val="00C427E4"/>
    <w:rsid w:val="00C46D2C"/>
    <w:rsid w:val="00C46EDC"/>
    <w:rsid w:val="00C46F67"/>
    <w:rsid w:val="00C47899"/>
    <w:rsid w:val="00C47E35"/>
    <w:rsid w:val="00C50686"/>
    <w:rsid w:val="00C50CFC"/>
    <w:rsid w:val="00C513D9"/>
    <w:rsid w:val="00C51DD0"/>
    <w:rsid w:val="00C51ED6"/>
    <w:rsid w:val="00C52921"/>
    <w:rsid w:val="00C54D85"/>
    <w:rsid w:val="00C55D2B"/>
    <w:rsid w:val="00C55D9C"/>
    <w:rsid w:val="00C55E53"/>
    <w:rsid w:val="00C5783D"/>
    <w:rsid w:val="00C60F37"/>
    <w:rsid w:val="00C63096"/>
    <w:rsid w:val="00C632E2"/>
    <w:rsid w:val="00C63953"/>
    <w:rsid w:val="00C6638C"/>
    <w:rsid w:val="00C67763"/>
    <w:rsid w:val="00C71527"/>
    <w:rsid w:val="00C72891"/>
    <w:rsid w:val="00C72AAE"/>
    <w:rsid w:val="00C72B00"/>
    <w:rsid w:val="00C73C6D"/>
    <w:rsid w:val="00C74AC8"/>
    <w:rsid w:val="00C74B60"/>
    <w:rsid w:val="00C76A60"/>
    <w:rsid w:val="00C77ACF"/>
    <w:rsid w:val="00C81866"/>
    <w:rsid w:val="00C81FB5"/>
    <w:rsid w:val="00C83957"/>
    <w:rsid w:val="00C83A17"/>
    <w:rsid w:val="00C86DBC"/>
    <w:rsid w:val="00C93001"/>
    <w:rsid w:val="00C94D55"/>
    <w:rsid w:val="00C95802"/>
    <w:rsid w:val="00C965DD"/>
    <w:rsid w:val="00C9666A"/>
    <w:rsid w:val="00CA18D0"/>
    <w:rsid w:val="00CA2AF3"/>
    <w:rsid w:val="00CA2EBD"/>
    <w:rsid w:val="00CA3219"/>
    <w:rsid w:val="00CB08D1"/>
    <w:rsid w:val="00CB3F55"/>
    <w:rsid w:val="00CB4EFB"/>
    <w:rsid w:val="00CB77E3"/>
    <w:rsid w:val="00CC0020"/>
    <w:rsid w:val="00CC0045"/>
    <w:rsid w:val="00CC1DFF"/>
    <w:rsid w:val="00CC2246"/>
    <w:rsid w:val="00CC3C70"/>
    <w:rsid w:val="00CC477A"/>
    <w:rsid w:val="00CC47E6"/>
    <w:rsid w:val="00CC49AA"/>
    <w:rsid w:val="00CC51D8"/>
    <w:rsid w:val="00CD2141"/>
    <w:rsid w:val="00CD2A81"/>
    <w:rsid w:val="00CD438D"/>
    <w:rsid w:val="00CD63AB"/>
    <w:rsid w:val="00CE2078"/>
    <w:rsid w:val="00CE63CB"/>
    <w:rsid w:val="00CE7402"/>
    <w:rsid w:val="00CE78FE"/>
    <w:rsid w:val="00CF0455"/>
    <w:rsid w:val="00CF0704"/>
    <w:rsid w:val="00CF0772"/>
    <w:rsid w:val="00CF1E70"/>
    <w:rsid w:val="00CF2871"/>
    <w:rsid w:val="00CF45F7"/>
    <w:rsid w:val="00CF465E"/>
    <w:rsid w:val="00CF50D6"/>
    <w:rsid w:val="00CF60B3"/>
    <w:rsid w:val="00CF75C1"/>
    <w:rsid w:val="00D01537"/>
    <w:rsid w:val="00D025CA"/>
    <w:rsid w:val="00D0320E"/>
    <w:rsid w:val="00D04873"/>
    <w:rsid w:val="00D04B43"/>
    <w:rsid w:val="00D06FCA"/>
    <w:rsid w:val="00D10728"/>
    <w:rsid w:val="00D11BF8"/>
    <w:rsid w:val="00D128ED"/>
    <w:rsid w:val="00D135AA"/>
    <w:rsid w:val="00D14207"/>
    <w:rsid w:val="00D15854"/>
    <w:rsid w:val="00D15BDA"/>
    <w:rsid w:val="00D205AC"/>
    <w:rsid w:val="00D21BE6"/>
    <w:rsid w:val="00D22A05"/>
    <w:rsid w:val="00D24332"/>
    <w:rsid w:val="00D27BFB"/>
    <w:rsid w:val="00D31E9C"/>
    <w:rsid w:val="00D32C0E"/>
    <w:rsid w:val="00D35557"/>
    <w:rsid w:val="00D36384"/>
    <w:rsid w:val="00D42350"/>
    <w:rsid w:val="00D4551C"/>
    <w:rsid w:val="00D45E79"/>
    <w:rsid w:val="00D47E96"/>
    <w:rsid w:val="00D50133"/>
    <w:rsid w:val="00D53441"/>
    <w:rsid w:val="00D54254"/>
    <w:rsid w:val="00D555D8"/>
    <w:rsid w:val="00D55C4F"/>
    <w:rsid w:val="00D561FB"/>
    <w:rsid w:val="00D56D82"/>
    <w:rsid w:val="00D623C9"/>
    <w:rsid w:val="00D6715A"/>
    <w:rsid w:val="00D6715B"/>
    <w:rsid w:val="00D67F1C"/>
    <w:rsid w:val="00D70F52"/>
    <w:rsid w:val="00D71785"/>
    <w:rsid w:val="00D72B20"/>
    <w:rsid w:val="00D72B8A"/>
    <w:rsid w:val="00D76289"/>
    <w:rsid w:val="00D76A22"/>
    <w:rsid w:val="00D76BEF"/>
    <w:rsid w:val="00D7761A"/>
    <w:rsid w:val="00D8277E"/>
    <w:rsid w:val="00D83405"/>
    <w:rsid w:val="00D840ED"/>
    <w:rsid w:val="00D850DB"/>
    <w:rsid w:val="00D859CD"/>
    <w:rsid w:val="00D8665A"/>
    <w:rsid w:val="00D87CFD"/>
    <w:rsid w:val="00D90053"/>
    <w:rsid w:val="00D909E2"/>
    <w:rsid w:val="00D91744"/>
    <w:rsid w:val="00D96929"/>
    <w:rsid w:val="00D96E91"/>
    <w:rsid w:val="00D973F4"/>
    <w:rsid w:val="00D97841"/>
    <w:rsid w:val="00DA3347"/>
    <w:rsid w:val="00DA5CE1"/>
    <w:rsid w:val="00DB2F03"/>
    <w:rsid w:val="00DB5228"/>
    <w:rsid w:val="00DC269E"/>
    <w:rsid w:val="00DC2F2F"/>
    <w:rsid w:val="00DC36AA"/>
    <w:rsid w:val="00DC43CC"/>
    <w:rsid w:val="00DD0607"/>
    <w:rsid w:val="00DD06D9"/>
    <w:rsid w:val="00DD4566"/>
    <w:rsid w:val="00DE1B9F"/>
    <w:rsid w:val="00DE1CD8"/>
    <w:rsid w:val="00DE2150"/>
    <w:rsid w:val="00DE3AD7"/>
    <w:rsid w:val="00DE4A1F"/>
    <w:rsid w:val="00DE6F82"/>
    <w:rsid w:val="00DF0375"/>
    <w:rsid w:val="00DF280A"/>
    <w:rsid w:val="00DF4FB0"/>
    <w:rsid w:val="00E026B9"/>
    <w:rsid w:val="00E0289F"/>
    <w:rsid w:val="00E028EF"/>
    <w:rsid w:val="00E03F02"/>
    <w:rsid w:val="00E0521B"/>
    <w:rsid w:val="00E05604"/>
    <w:rsid w:val="00E070AC"/>
    <w:rsid w:val="00E07776"/>
    <w:rsid w:val="00E079A6"/>
    <w:rsid w:val="00E10FC8"/>
    <w:rsid w:val="00E13520"/>
    <w:rsid w:val="00E14374"/>
    <w:rsid w:val="00E15F82"/>
    <w:rsid w:val="00E16E22"/>
    <w:rsid w:val="00E20C04"/>
    <w:rsid w:val="00E230EA"/>
    <w:rsid w:val="00E23669"/>
    <w:rsid w:val="00E24CAE"/>
    <w:rsid w:val="00E25AD6"/>
    <w:rsid w:val="00E30B86"/>
    <w:rsid w:val="00E316EE"/>
    <w:rsid w:val="00E32CC2"/>
    <w:rsid w:val="00E351DD"/>
    <w:rsid w:val="00E35243"/>
    <w:rsid w:val="00E37496"/>
    <w:rsid w:val="00E412A9"/>
    <w:rsid w:val="00E41E96"/>
    <w:rsid w:val="00E424F0"/>
    <w:rsid w:val="00E42CAA"/>
    <w:rsid w:val="00E43132"/>
    <w:rsid w:val="00E432AE"/>
    <w:rsid w:val="00E438AB"/>
    <w:rsid w:val="00E43938"/>
    <w:rsid w:val="00E44938"/>
    <w:rsid w:val="00E44A40"/>
    <w:rsid w:val="00E467F4"/>
    <w:rsid w:val="00E46C19"/>
    <w:rsid w:val="00E47033"/>
    <w:rsid w:val="00E47103"/>
    <w:rsid w:val="00E47281"/>
    <w:rsid w:val="00E47E9A"/>
    <w:rsid w:val="00E501CF"/>
    <w:rsid w:val="00E509C8"/>
    <w:rsid w:val="00E50A22"/>
    <w:rsid w:val="00E532AA"/>
    <w:rsid w:val="00E5387B"/>
    <w:rsid w:val="00E549F4"/>
    <w:rsid w:val="00E54F65"/>
    <w:rsid w:val="00E5564E"/>
    <w:rsid w:val="00E558AD"/>
    <w:rsid w:val="00E56C5F"/>
    <w:rsid w:val="00E571EE"/>
    <w:rsid w:val="00E60366"/>
    <w:rsid w:val="00E63B7E"/>
    <w:rsid w:val="00E66F19"/>
    <w:rsid w:val="00E70F41"/>
    <w:rsid w:val="00E734BE"/>
    <w:rsid w:val="00E73C8F"/>
    <w:rsid w:val="00E74DA2"/>
    <w:rsid w:val="00E80088"/>
    <w:rsid w:val="00E80344"/>
    <w:rsid w:val="00E80486"/>
    <w:rsid w:val="00E8056A"/>
    <w:rsid w:val="00E813AE"/>
    <w:rsid w:val="00E82C54"/>
    <w:rsid w:val="00E84DD8"/>
    <w:rsid w:val="00E86098"/>
    <w:rsid w:val="00E90173"/>
    <w:rsid w:val="00E915B7"/>
    <w:rsid w:val="00E9245C"/>
    <w:rsid w:val="00E95B8A"/>
    <w:rsid w:val="00EA143F"/>
    <w:rsid w:val="00EA36A3"/>
    <w:rsid w:val="00EA5514"/>
    <w:rsid w:val="00EA629F"/>
    <w:rsid w:val="00EA7250"/>
    <w:rsid w:val="00EA72B0"/>
    <w:rsid w:val="00EB02AF"/>
    <w:rsid w:val="00EB0640"/>
    <w:rsid w:val="00EB2608"/>
    <w:rsid w:val="00EB584C"/>
    <w:rsid w:val="00EB6416"/>
    <w:rsid w:val="00EB7143"/>
    <w:rsid w:val="00EC2665"/>
    <w:rsid w:val="00EC2F89"/>
    <w:rsid w:val="00EC3BDA"/>
    <w:rsid w:val="00EC672F"/>
    <w:rsid w:val="00EC7446"/>
    <w:rsid w:val="00EC7A8F"/>
    <w:rsid w:val="00ED048A"/>
    <w:rsid w:val="00ED1899"/>
    <w:rsid w:val="00ED4478"/>
    <w:rsid w:val="00ED4749"/>
    <w:rsid w:val="00ED52CE"/>
    <w:rsid w:val="00ED54FA"/>
    <w:rsid w:val="00ED79E7"/>
    <w:rsid w:val="00EE09D0"/>
    <w:rsid w:val="00EE0A16"/>
    <w:rsid w:val="00EE0B86"/>
    <w:rsid w:val="00EE36A0"/>
    <w:rsid w:val="00EE3D3E"/>
    <w:rsid w:val="00EE3EEE"/>
    <w:rsid w:val="00EE482F"/>
    <w:rsid w:val="00EE6BBE"/>
    <w:rsid w:val="00EF18A7"/>
    <w:rsid w:val="00EF6909"/>
    <w:rsid w:val="00EF7B97"/>
    <w:rsid w:val="00F05DBB"/>
    <w:rsid w:val="00F10747"/>
    <w:rsid w:val="00F10777"/>
    <w:rsid w:val="00F11138"/>
    <w:rsid w:val="00F123A3"/>
    <w:rsid w:val="00F12BB2"/>
    <w:rsid w:val="00F13B73"/>
    <w:rsid w:val="00F13D9E"/>
    <w:rsid w:val="00F14D06"/>
    <w:rsid w:val="00F154F7"/>
    <w:rsid w:val="00F16167"/>
    <w:rsid w:val="00F1768C"/>
    <w:rsid w:val="00F23B63"/>
    <w:rsid w:val="00F23C74"/>
    <w:rsid w:val="00F24115"/>
    <w:rsid w:val="00F26E75"/>
    <w:rsid w:val="00F3289A"/>
    <w:rsid w:val="00F32914"/>
    <w:rsid w:val="00F33D87"/>
    <w:rsid w:val="00F3646A"/>
    <w:rsid w:val="00F36AAB"/>
    <w:rsid w:val="00F37C06"/>
    <w:rsid w:val="00F4082F"/>
    <w:rsid w:val="00F4310C"/>
    <w:rsid w:val="00F451F8"/>
    <w:rsid w:val="00F47158"/>
    <w:rsid w:val="00F5039E"/>
    <w:rsid w:val="00F512EA"/>
    <w:rsid w:val="00F52D5B"/>
    <w:rsid w:val="00F540EE"/>
    <w:rsid w:val="00F5422A"/>
    <w:rsid w:val="00F577CC"/>
    <w:rsid w:val="00F57C3E"/>
    <w:rsid w:val="00F60388"/>
    <w:rsid w:val="00F60410"/>
    <w:rsid w:val="00F62E20"/>
    <w:rsid w:val="00F637D4"/>
    <w:rsid w:val="00F66655"/>
    <w:rsid w:val="00F66CF3"/>
    <w:rsid w:val="00F71E74"/>
    <w:rsid w:val="00F74E35"/>
    <w:rsid w:val="00F750CB"/>
    <w:rsid w:val="00F75CB1"/>
    <w:rsid w:val="00F765E9"/>
    <w:rsid w:val="00F77CBE"/>
    <w:rsid w:val="00F80511"/>
    <w:rsid w:val="00F8161E"/>
    <w:rsid w:val="00F8270C"/>
    <w:rsid w:val="00F835E1"/>
    <w:rsid w:val="00F905B0"/>
    <w:rsid w:val="00F907EC"/>
    <w:rsid w:val="00F916A8"/>
    <w:rsid w:val="00F92C17"/>
    <w:rsid w:val="00F92E25"/>
    <w:rsid w:val="00F979B0"/>
    <w:rsid w:val="00F97C28"/>
    <w:rsid w:val="00FA09B4"/>
    <w:rsid w:val="00FA09C4"/>
    <w:rsid w:val="00FA1C8B"/>
    <w:rsid w:val="00FA2E0C"/>
    <w:rsid w:val="00FA500D"/>
    <w:rsid w:val="00FB0057"/>
    <w:rsid w:val="00FB0F65"/>
    <w:rsid w:val="00FB105D"/>
    <w:rsid w:val="00FB27F6"/>
    <w:rsid w:val="00FB30A0"/>
    <w:rsid w:val="00FC0C53"/>
    <w:rsid w:val="00FC21F6"/>
    <w:rsid w:val="00FC26E9"/>
    <w:rsid w:val="00FC2990"/>
    <w:rsid w:val="00FC31BD"/>
    <w:rsid w:val="00FC6892"/>
    <w:rsid w:val="00FC744C"/>
    <w:rsid w:val="00FD10D3"/>
    <w:rsid w:val="00FD4F93"/>
    <w:rsid w:val="00FD6670"/>
    <w:rsid w:val="00FD718B"/>
    <w:rsid w:val="00FE0972"/>
    <w:rsid w:val="00FE0D78"/>
    <w:rsid w:val="00FE1353"/>
    <w:rsid w:val="00FE21E0"/>
    <w:rsid w:val="00FE2EF0"/>
    <w:rsid w:val="00FE5F06"/>
    <w:rsid w:val="00FE667D"/>
    <w:rsid w:val="00FE70B9"/>
    <w:rsid w:val="00FF0477"/>
    <w:rsid w:val="00FF2AB2"/>
    <w:rsid w:val="00FF4327"/>
    <w:rsid w:val="00FF4C7E"/>
    <w:rsid w:val="00FF50CD"/>
    <w:rsid w:val="00FF711B"/>
    <w:rsid w:val="00FF7B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2"/>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Bullet" w:uiPriority="99"/>
    <w:lsdException w:name="List Number" w:uiPriority="99"/>
    <w:lsdException w:name="List Number 2" w:uiPriority="99"/>
    <w:lsdException w:name="Date" w:qFormat="1"/>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73290"/>
    <w:rPr>
      <w:sz w:val="24"/>
      <w:szCs w:val="24"/>
      <w:lang w:eastAsia="en-US"/>
    </w:rPr>
  </w:style>
  <w:style w:type="paragraph" w:styleId="Heading1">
    <w:name w:val="heading 1"/>
    <w:basedOn w:val="Normal"/>
    <w:next w:val="Normal"/>
    <w:autoRedefine/>
    <w:qFormat/>
    <w:rsid w:val="000F1353"/>
    <w:pPr>
      <w:keepNext/>
      <w:spacing w:after="480"/>
      <w:jc w:val="right"/>
      <w:outlineLvl w:val="0"/>
    </w:pPr>
    <w:rPr>
      <w:rFonts w:ascii="Arial" w:hAnsi="Arial" w:cs="Arial"/>
      <w:b/>
      <w:bCs/>
      <w:kern w:val="32"/>
      <w:sz w:val="36"/>
      <w:szCs w:val="32"/>
    </w:rPr>
  </w:style>
  <w:style w:type="paragraph" w:styleId="Heading2">
    <w:name w:val="heading 2"/>
    <w:next w:val="Normal"/>
    <w:qFormat/>
    <w:rsid w:val="000F1353"/>
    <w:pPr>
      <w:pBdr>
        <w:bottom w:val="single" w:sz="4" w:space="1" w:color="auto"/>
      </w:pBdr>
      <w:jc w:val="right"/>
      <w:outlineLvl w:val="1"/>
    </w:pPr>
    <w:rPr>
      <w:rFonts w:ascii="Arial" w:hAnsi="Arial" w:cs="Arial"/>
      <w:b/>
      <w:bCs/>
      <w:sz w:val="30"/>
      <w:szCs w:val="24"/>
      <w:lang w:eastAsia="en-US"/>
    </w:rPr>
  </w:style>
  <w:style w:type="paragraph" w:styleId="Heading3">
    <w:name w:val="heading 3"/>
    <w:basedOn w:val="Normal"/>
    <w:next w:val="Normal"/>
    <w:link w:val="Heading3Char"/>
    <w:qFormat/>
    <w:rsid w:val="00E813AE"/>
    <w:pPr>
      <w:keepNext/>
      <w:spacing w:before="120" w:after="240"/>
      <w:outlineLvl w:val="2"/>
    </w:pPr>
    <w:rPr>
      <w:rFonts w:ascii="Arial" w:hAnsi="Arial" w:cs="Arial"/>
      <w:b/>
      <w:bCs/>
      <w:sz w:val="30"/>
      <w:szCs w:val="30"/>
    </w:rPr>
  </w:style>
  <w:style w:type="paragraph" w:styleId="Heading4">
    <w:name w:val="heading 4"/>
    <w:basedOn w:val="Numbered"/>
    <w:next w:val="Normal"/>
    <w:link w:val="Heading4Char"/>
    <w:qFormat/>
    <w:rsid w:val="004D425B"/>
    <w:pPr>
      <w:outlineLvl w:val="3"/>
    </w:pPr>
    <w:rPr>
      <w:b/>
    </w:rPr>
  </w:style>
  <w:style w:type="paragraph" w:styleId="Heading5">
    <w:name w:val="heading 5"/>
    <w:basedOn w:val="Numbered"/>
    <w:next w:val="Normal"/>
    <w:link w:val="Heading5Char"/>
    <w:qFormat/>
    <w:rsid w:val="004D425B"/>
    <w:pPr>
      <w:spacing w:before="120"/>
      <w:outlineLvl w:val="4"/>
    </w:pPr>
    <w:rPr>
      <w:i/>
    </w:rPr>
  </w:style>
  <w:style w:type="paragraph" w:styleId="Heading6">
    <w:name w:val="heading 6"/>
    <w:basedOn w:val="Normal"/>
    <w:next w:val="Normal"/>
    <w:link w:val="Heading6Char"/>
    <w:qFormat/>
    <w:rsid w:val="00724BAD"/>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autoRedefine/>
    <w:rsid w:val="00F10777"/>
    <w:pPr>
      <w:numPr>
        <w:numId w:val="10"/>
      </w:numPr>
      <w:spacing w:after="240"/>
      <w:ind w:hanging="644"/>
    </w:pPr>
    <w:rPr>
      <w:rFonts w:ascii="Arial" w:hAnsi="Arial" w:cs="Arial"/>
      <w:sz w:val="22"/>
      <w:szCs w:val="22"/>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Heading4Char">
    <w:name w:val="Heading 4 Char"/>
    <w:link w:val="Heading4"/>
    <w:rsid w:val="004D425B"/>
    <w:rPr>
      <w:rFonts w:ascii="Arial" w:hAnsi="Arial" w:cs="Arial"/>
      <w:b/>
      <w:sz w:val="22"/>
      <w:szCs w:val="22"/>
      <w:lang w:eastAsia="en-US"/>
    </w:rPr>
  </w:style>
  <w:style w:type="paragraph" w:customStyle="1" w:styleId="NormalParagraph">
    <w:name w:val="Normal Paragraph"/>
    <w:basedOn w:val="Numbered"/>
    <w:qFormat/>
    <w:rsid w:val="00987BCF"/>
    <w:pPr>
      <w:spacing w:before="120" w:after="120"/>
    </w:pPr>
  </w:style>
  <w:style w:type="paragraph" w:styleId="ListParagraph">
    <w:name w:val="List Paragraph"/>
    <w:aliases w:val="Dot point list"/>
    <w:basedOn w:val="ListBullet"/>
    <w:uiPriority w:val="34"/>
    <w:qFormat/>
    <w:rsid w:val="00A42D93"/>
    <w:pPr>
      <w:tabs>
        <w:tab w:val="left" w:pos="993"/>
        <w:tab w:val="left" w:pos="1134"/>
      </w:tabs>
      <w:spacing w:before="120" w:after="120" w:line="360" w:lineRule="auto"/>
    </w:pPr>
    <w:rPr>
      <w:rFonts w:ascii="Arial" w:hAnsi="Arial"/>
      <w:sz w:val="22"/>
    </w:rPr>
  </w:style>
  <w:style w:type="character" w:customStyle="1" w:styleId="FooterChar">
    <w:name w:val="Footer Char"/>
    <w:link w:val="Footer"/>
    <w:uiPriority w:val="99"/>
    <w:rsid w:val="00497688"/>
    <w:rPr>
      <w:sz w:val="24"/>
      <w:szCs w:val="24"/>
      <w:lang w:eastAsia="en-US"/>
    </w:rPr>
  </w:style>
  <w:style w:type="paragraph" w:styleId="ListBullet">
    <w:name w:val="List Bullet"/>
    <w:basedOn w:val="Normal"/>
    <w:uiPriority w:val="99"/>
    <w:rsid w:val="007F75F1"/>
    <w:pPr>
      <w:numPr>
        <w:numId w:val="1"/>
      </w:numPr>
      <w:contextualSpacing/>
    </w:pPr>
  </w:style>
  <w:style w:type="paragraph" w:styleId="Date">
    <w:name w:val="Date"/>
    <w:basedOn w:val="Normal"/>
    <w:next w:val="Normal"/>
    <w:link w:val="DateChar"/>
    <w:qFormat/>
    <w:rsid w:val="00E23669"/>
    <w:pPr>
      <w:spacing w:after="240"/>
      <w:jc w:val="right"/>
    </w:pPr>
    <w:rPr>
      <w:rFonts w:ascii="Arial" w:hAnsi="Arial" w:cs="Arial"/>
      <w:b/>
      <w:sz w:val="28"/>
      <w:szCs w:val="28"/>
    </w:rPr>
  </w:style>
  <w:style w:type="character" w:customStyle="1" w:styleId="DateChar">
    <w:name w:val="Date Char"/>
    <w:link w:val="Date"/>
    <w:rsid w:val="00E23669"/>
    <w:rPr>
      <w:rFonts w:ascii="Arial" w:hAnsi="Arial" w:cs="Arial"/>
      <w:b/>
      <w:sz w:val="28"/>
      <w:szCs w:val="28"/>
      <w:lang w:eastAsia="en-US"/>
    </w:rPr>
  </w:style>
  <w:style w:type="paragraph" w:styleId="BalloonText">
    <w:name w:val="Balloon Text"/>
    <w:basedOn w:val="Normal"/>
    <w:link w:val="BalloonTextChar"/>
    <w:rsid w:val="002B61E7"/>
    <w:rPr>
      <w:rFonts w:ascii="Tahoma" w:hAnsi="Tahoma" w:cs="Tahoma"/>
      <w:sz w:val="16"/>
      <w:szCs w:val="16"/>
    </w:rPr>
  </w:style>
  <w:style w:type="character" w:customStyle="1" w:styleId="BalloonTextChar">
    <w:name w:val="Balloon Text Char"/>
    <w:link w:val="BalloonText"/>
    <w:rsid w:val="002B61E7"/>
    <w:rPr>
      <w:rFonts w:ascii="Tahoma" w:hAnsi="Tahoma" w:cs="Tahoma"/>
      <w:sz w:val="16"/>
      <w:szCs w:val="16"/>
      <w:lang w:eastAsia="en-US"/>
    </w:rPr>
  </w:style>
  <w:style w:type="paragraph" w:customStyle="1" w:styleId="commentbox">
    <w:name w:val="comment box"/>
    <w:basedOn w:val="NormalParagraph"/>
    <w:qFormat/>
    <w:rsid w:val="00E813AE"/>
    <w:pPr>
      <w:shd w:val="clear" w:color="auto" w:fill="D9D9D9"/>
      <w:spacing w:before="240" w:after="240"/>
      <w:ind w:left="7164" w:hanging="360"/>
    </w:pPr>
  </w:style>
  <w:style w:type="paragraph" w:customStyle="1" w:styleId="ABCList">
    <w:name w:val="ABC List"/>
    <w:qFormat/>
    <w:rsid w:val="002314C6"/>
    <w:pPr>
      <w:numPr>
        <w:numId w:val="2"/>
      </w:numPr>
      <w:spacing w:after="120"/>
      <w:ind w:left="992" w:hanging="425"/>
    </w:pPr>
    <w:rPr>
      <w:rFonts w:ascii="Arial" w:hAnsi="Arial"/>
      <w:sz w:val="22"/>
      <w:szCs w:val="24"/>
      <w:lang w:eastAsia="en-US"/>
    </w:rPr>
  </w:style>
  <w:style w:type="character" w:styleId="CommentReference">
    <w:name w:val="annotation reference"/>
    <w:uiPriority w:val="99"/>
    <w:rsid w:val="00C50CFC"/>
    <w:rPr>
      <w:sz w:val="16"/>
      <w:szCs w:val="16"/>
    </w:rPr>
  </w:style>
  <w:style w:type="paragraph" w:styleId="CommentText">
    <w:name w:val="annotation text"/>
    <w:basedOn w:val="Normal"/>
    <w:link w:val="CommentTextChar"/>
    <w:uiPriority w:val="99"/>
    <w:rsid w:val="00C50CFC"/>
    <w:rPr>
      <w:sz w:val="20"/>
      <w:szCs w:val="20"/>
    </w:rPr>
  </w:style>
  <w:style w:type="character" w:customStyle="1" w:styleId="CommentTextChar">
    <w:name w:val="Comment Text Char"/>
    <w:link w:val="CommentText"/>
    <w:uiPriority w:val="99"/>
    <w:rsid w:val="00C50CFC"/>
    <w:rPr>
      <w:lang w:eastAsia="en-US"/>
    </w:rPr>
  </w:style>
  <w:style w:type="paragraph" w:styleId="CommentSubject">
    <w:name w:val="annotation subject"/>
    <w:basedOn w:val="CommentText"/>
    <w:next w:val="CommentText"/>
    <w:link w:val="CommentSubjectChar"/>
    <w:rsid w:val="00C50CFC"/>
    <w:rPr>
      <w:b/>
      <w:bCs/>
    </w:rPr>
  </w:style>
  <w:style w:type="character" w:customStyle="1" w:styleId="CommentSubjectChar">
    <w:name w:val="Comment Subject Char"/>
    <w:link w:val="CommentSubject"/>
    <w:rsid w:val="00C50CFC"/>
    <w:rPr>
      <w:b/>
      <w:bCs/>
      <w:lang w:eastAsia="en-US"/>
    </w:rPr>
  </w:style>
  <w:style w:type="paragraph" w:styleId="FootnoteText">
    <w:name w:val="footnote text"/>
    <w:basedOn w:val="Normal"/>
    <w:link w:val="FootnoteTextChar"/>
    <w:uiPriority w:val="2"/>
    <w:rsid w:val="0081112E"/>
    <w:pPr>
      <w:jc w:val="both"/>
    </w:pPr>
    <w:rPr>
      <w:sz w:val="20"/>
      <w:szCs w:val="20"/>
      <w:lang w:eastAsia="en-AU"/>
    </w:rPr>
  </w:style>
  <w:style w:type="character" w:customStyle="1" w:styleId="FootnoteTextChar">
    <w:name w:val="Footnote Text Char"/>
    <w:basedOn w:val="DefaultParagraphFont"/>
    <w:link w:val="FootnoteText"/>
    <w:uiPriority w:val="2"/>
    <w:rsid w:val="0081112E"/>
  </w:style>
  <w:style w:type="character" w:styleId="FootnoteReference">
    <w:name w:val="footnote reference"/>
    <w:aliases w:val="(NECG) Footnote Reference,(NECG) Footnote Reference1,(NECG) Footnote Reference2,o,Style 3,Style 12,fr,Appel note de bas de p,Style 124,Appel n,Footnote Reference 1"/>
    <w:uiPriority w:val="99"/>
    <w:rsid w:val="0081112E"/>
    <w:rPr>
      <w:position w:val="6"/>
      <w:sz w:val="16"/>
      <w:szCs w:val="16"/>
    </w:rPr>
  </w:style>
  <w:style w:type="paragraph" w:styleId="Revision">
    <w:name w:val="Revision"/>
    <w:hidden/>
    <w:uiPriority w:val="99"/>
    <w:semiHidden/>
    <w:rsid w:val="00A910D9"/>
    <w:rPr>
      <w:sz w:val="24"/>
      <w:szCs w:val="24"/>
      <w:lang w:eastAsia="en-US"/>
    </w:rPr>
  </w:style>
  <w:style w:type="character" w:customStyle="1" w:styleId="Heading5Char">
    <w:name w:val="Heading 5 Char"/>
    <w:link w:val="Heading5"/>
    <w:rsid w:val="004D425B"/>
    <w:rPr>
      <w:rFonts w:ascii="Arial" w:hAnsi="Arial" w:cs="Arial"/>
      <w:i/>
      <w:sz w:val="22"/>
      <w:szCs w:val="22"/>
      <w:lang w:eastAsia="en-US"/>
    </w:rPr>
  </w:style>
  <w:style w:type="paragraph" w:customStyle="1" w:styleId="Bulletpoint">
    <w:name w:val="Bullet point"/>
    <w:basedOn w:val="ListBullet"/>
    <w:qFormat/>
    <w:rsid w:val="00E44A40"/>
    <w:pPr>
      <w:numPr>
        <w:numId w:val="6"/>
      </w:numPr>
      <w:tabs>
        <w:tab w:val="num" w:pos="1492"/>
      </w:tabs>
      <w:spacing w:before="120" w:after="120"/>
      <w:ind w:left="357" w:hanging="357"/>
      <w:contextualSpacing w:val="0"/>
    </w:pPr>
    <w:rPr>
      <w:rFonts w:ascii="Arial" w:eastAsia="Arial" w:hAnsi="Arial"/>
      <w:sz w:val="22"/>
      <w:szCs w:val="22"/>
    </w:rPr>
  </w:style>
  <w:style w:type="paragraph" w:styleId="ListNumber">
    <w:name w:val="List Number"/>
    <w:basedOn w:val="Normal"/>
    <w:uiPriority w:val="99"/>
    <w:rsid w:val="00E44A40"/>
    <w:pPr>
      <w:tabs>
        <w:tab w:val="num" w:pos="360"/>
      </w:tabs>
      <w:spacing w:before="120" w:after="120"/>
      <w:ind w:left="357" w:hanging="357"/>
    </w:pPr>
    <w:rPr>
      <w:rFonts w:ascii="Arial" w:eastAsia="Arial" w:hAnsi="Arial"/>
      <w:color w:val="000000"/>
      <w:sz w:val="22"/>
      <w:szCs w:val="22"/>
    </w:rPr>
  </w:style>
  <w:style w:type="paragraph" w:styleId="ListNumber2">
    <w:name w:val="List Number 2"/>
    <w:aliases w:val="List alphabet"/>
    <w:next w:val="Normal"/>
    <w:uiPriority w:val="99"/>
    <w:rsid w:val="00E44A40"/>
    <w:pPr>
      <w:tabs>
        <w:tab w:val="num" w:pos="720"/>
      </w:tabs>
      <w:spacing w:before="120"/>
      <w:ind w:left="357" w:hanging="357"/>
    </w:pPr>
    <w:rPr>
      <w:rFonts w:ascii="Arial" w:eastAsia="Arial" w:hAnsi="Arial"/>
      <w:sz w:val="22"/>
      <w:szCs w:val="22"/>
      <w:lang w:eastAsia="en-US"/>
    </w:rPr>
  </w:style>
  <w:style w:type="paragraph" w:customStyle="1" w:styleId="Numberedlist">
    <w:name w:val="Numbered list"/>
    <w:basedOn w:val="ListNumber"/>
    <w:link w:val="NumberedlistChar"/>
    <w:qFormat/>
    <w:rsid w:val="00E44A40"/>
    <w:pPr>
      <w:numPr>
        <w:numId w:val="5"/>
      </w:numPr>
      <w:ind w:left="357" w:hanging="357"/>
    </w:pPr>
  </w:style>
  <w:style w:type="character" w:customStyle="1" w:styleId="NumberedlistChar">
    <w:name w:val="Numbered list Char"/>
    <w:link w:val="Numberedlist"/>
    <w:rsid w:val="00E44A40"/>
    <w:rPr>
      <w:rFonts w:ascii="Arial" w:eastAsia="Arial" w:hAnsi="Arial"/>
      <w:color w:val="000000"/>
      <w:sz w:val="22"/>
      <w:szCs w:val="22"/>
      <w:lang w:eastAsia="en-US"/>
    </w:rPr>
  </w:style>
  <w:style w:type="table" w:styleId="TableGrid">
    <w:name w:val="Table Grid"/>
    <w:aliases w:val="ACCC Table"/>
    <w:basedOn w:val="TableNormal"/>
    <w:rsid w:val="009E077E"/>
    <w:pPr>
      <w:spacing w:before="60" w:after="60"/>
    </w:pPr>
    <w:rPr>
      <w:rFonts w:ascii="Arial" w:eastAsia="Arial" w:hAnsi="Arial"/>
      <w:szCs w:val="22"/>
      <w:lang w:eastAsia="en-US"/>
    </w:r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character" w:styleId="FollowedHyperlink">
    <w:name w:val="FollowedHyperlink"/>
    <w:rsid w:val="00F916A8"/>
    <w:rPr>
      <w:color w:val="800080"/>
      <w:u w:val="single"/>
    </w:rPr>
  </w:style>
  <w:style w:type="character" w:customStyle="1" w:styleId="Heading3Char">
    <w:name w:val="Heading 3 Char"/>
    <w:link w:val="Heading3"/>
    <w:rsid w:val="00826FF7"/>
    <w:rPr>
      <w:rFonts w:ascii="Arial" w:hAnsi="Arial" w:cs="Arial"/>
      <w:b/>
      <w:bCs/>
      <w:sz w:val="30"/>
      <w:szCs w:val="30"/>
      <w:lang w:eastAsia="en-US"/>
    </w:rPr>
  </w:style>
  <w:style w:type="paragraph" w:customStyle="1" w:styleId="Default">
    <w:name w:val="Default"/>
    <w:rsid w:val="009D3C10"/>
    <w:pPr>
      <w:autoSpaceDE w:val="0"/>
      <w:autoSpaceDN w:val="0"/>
      <w:adjustRightInd w:val="0"/>
    </w:pPr>
    <w:rPr>
      <w:color w:val="000000"/>
      <w:sz w:val="24"/>
      <w:szCs w:val="24"/>
    </w:rPr>
  </w:style>
  <w:style w:type="character" w:styleId="Emphasis">
    <w:name w:val="Emphasis"/>
    <w:uiPriority w:val="20"/>
    <w:qFormat/>
    <w:rsid w:val="00DE1B9F"/>
    <w:rPr>
      <w:b/>
      <w:bCs/>
      <w:i w:val="0"/>
      <w:iCs w:val="0"/>
    </w:rPr>
  </w:style>
  <w:style w:type="character" w:customStyle="1" w:styleId="hvr">
    <w:name w:val="hvr"/>
    <w:rsid w:val="00EB584C"/>
  </w:style>
  <w:style w:type="paragraph" w:customStyle="1" w:styleId="Numberedparagraph">
    <w:name w:val="Numbered paragraph"/>
    <w:basedOn w:val="Normal"/>
    <w:qFormat/>
    <w:rsid w:val="00611255"/>
    <w:pPr>
      <w:tabs>
        <w:tab w:val="num" w:pos="360"/>
      </w:tabs>
      <w:spacing w:after="200" w:line="276" w:lineRule="auto"/>
      <w:ind w:left="680" w:hanging="680"/>
    </w:pPr>
    <w:rPr>
      <w:rFonts w:ascii="Arial" w:hAnsi="Arial"/>
      <w:color w:val="000000"/>
      <w:sz w:val="22"/>
      <w:szCs w:val="20"/>
    </w:rPr>
  </w:style>
  <w:style w:type="character" w:customStyle="1" w:styleId="tgc">
    <w:name w:val="_tgc"/>
    <w:rsid w:val="000001A9"/>
  </w:style>
  <w:style w:type="paragraph" w:customStyle="1" w:styleId="N1">
    <w:name w:val="N1"/>
    <w:basedOn w:val="ListParagraph"/>
    <w:link w:val="N1Char"/>
    <w:qFormat/>
    <w:rsid w:val="00A231F9"/>
    <w:pPr>
      <w:numPr>
        <w:numId w:val="8"/>
      </w:numPr>
      <w:tabs>
        <w:tab w:val="clear" w:pos="993"/>
        <w:tab w:val="clear" w:pos="1134"/>
      </w:tabs>
      <w:spacing w:before="0" w:after="200" w:line="276" w:lineRule="auto"/>
      <w:contextualSpacing w:val="0"/>
    </w:pPr>
    <w:rPr>
      <w:rFonts w:eastAsia="Calibri"/>
      <w:szCs w:val="22"/>
    </w:rPr>
  </w:style>
  <w:style w:type="paragraph" w:customStyle="1" w:styleId="N2">
    <w:name w:val="N2"/>
    <w:basedOn w:val="ListParagraph"/>
    <w:qFormat/>
    <w:rsid w:val="00A231F9"/>
    <w:pPr>
      <w:numPr>
        <w:ilvl w:val="1"/>
        <w:numId w:val="8"/>
      </w:numPr>
      <w:tabs>
        <w:tab w:val="clear" w:pos="993"/>
        <w:tab w:val="clear" w:pos="1134"/>
      </w:tabs>
      <w:spacing w:before="0" w:after="200" w:line="276" w:lineRule="auto"/>
      <w:contextualSpacing w:val="0"/>
    </w:pPr>
    <w:rPr>
      <w:rFonts w:eastAsia="Calibri"/>
      <w:szCs w:val="22"/>
    </w:rPr>
  </w:style>
  <w:style w:type="character" w:customStyle="1" w:styleId="N1Char">
    <w:name w:val="N1 Char"/>
    <w:link w:val="N1"/>
    <w:rsid w:val="00A231F9"/>
    <w:rPr>
      <w:rFonts w:ascii="Arial" w:eastAsia="Calibri" w:hAnsi="Arial"/>
      <w:sz w:val="22"/>
      <w:szCs w:val="22"/>
      <w:lang w:eastAsia="en-US"/>
    </w:rPr>
  </w:style>
  <w:style w:type="paragraph" w:customStyle="1" w:styleId="N3">
    <w:name w:val="N3"/>
    <w:basedOn w:val="ListParagraph"/>
    <w:qFormat/>
    <w:rsid w:val="00A231F9"/>
    <w:pPr>
      <w:numPr>
        <w:ilvl w:val="2"/>
        <w:numId w:val="8"/>
      </w:numPr>
      <w:tabs>
        <w:tab w:val="clear" w:pos="993"/>
        <w:tab w:val="clear" w:pos="1134"/>
        <w:tab w:val="left" w:pos="1560"/>
      </w:tabs>
      <w:spacing w:before="0" w:after="200" w:line="276" w:lineRule="auto"/>
      <w:ind w:left="1559" w:hanging="425"/>
      <w:contextualSpacing w:val="0"/>
    </w:pPr>
    <w:rPr>
      <w:rFonts w:eastAsia="Calibri"/>
      <w:szCs w:val="22"/>
    </w:rPr>
  </w:style>
  <w:style w:type="character" w:customStyle="1" w:styleId="HeaderChar">
    <w:name w:val="Header Char"/>
    <w:link w:val="Header"/>
    <w:uiPriority w:val="99"/>
    <w:rsid w:val="00DD4566"/>
    <w:rPr>
      <w:sz w:val="24"/>
      <w:szCs w:val="24"/>
      <w:lang w:eastAsia="en-US"/>
    </w:rPr>
  </w:style>
  <w:style w:type="character" w:customStyle="1" w:styleId="Heading6Char">
    <w:name w:val="Heading 6 Char"/>
    <w:basedOn w:val="DefaultParagraphFont"/>
    <w:link w:val="Heading6"/>
    <w:rsid w:val="00724BAD"/>
    <w:rPr>
      <w:rFonts w:asciiTheme="minorHAnsi" w:eastAsiaTheme="minorEastAsia" w:hAnsiTheme="minorHAnsi" w:cstheme="minorBidi"/>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1933">
      <w:bodyDiv w:val="1"/>
      <w:marLeft w:val="0"/>
      <w:marRight w:val="0"/>
      <w:marTop w:val="0"/>
      <w:marBottom w:val="0"/>
      <w:divBdr>
        <w:top w:val="none" w:sz="0" w:space="0" w:color="auto"/>
        <w:left w:val="none" w:sz="0" w:space="0" w:color="auto"/>
        <w:bottom w:val="none" w:sz="0" w:space="0" w:color="auto"/>
        <w:right w:val="none" w:sz="0" w:space="0" w:color="auto"/>
      </w:divBdr>
    </w:div>
    <w:div w:id="231431711">
      <w:bodyDiv w:val="1"/>
      <w:marLeft w:val="0"/>
      <w:marRight w:val="0"/>
      <w:marTop w:val="0"/>
      <w:marBottom w:val="0"/>
      <w:divBdr>
        <w:top w:val="none" w:sz="0" w:space="0" w:color="auto"/>
        <w:left w:val="none" w:sz="0" w:space="0" w:color="auto"/>
        <w:bottom w:val="none" w:sz="0" w:space="0" w:color="auto"/>
        <w:right w:val="none" w:sz="0" w:space="0" w:color="auto"/>
      </w:divBdr>
    </w:div>
    <w:div w:id="365760989">
      <w:bodyDiv w:val="1"/>
      <w:marLeft w:val="0"/>
      <w:marRight w:val="0"/>
      <w:marTop w:val="0"/>
      <w:marBottom w:val="0"/>
      <w:divBdr>
        <w:top w:val="none" w:sz="0" w:space="0" w:color="auto"/>
        <w:left w:val="none" w:sz="0" w:space="0" w:color="auto"/>
        <w:bottom w:val="none" w:sz="0" w:space="0" w:color="auto"/>
        <w:right w:val="none" w:sz="0" w:space="0" w:color="auto"/>
      </w:divBdr>
    </w:div>
    <w:div w:id="386614758">
      <w:bodyDiv w:val="1"/>
      <w:marLeft w:val="0"/>
      <w:marRight w:val="0"/>
      <w:marTop w:val="0"/>
      <w:marBottom w:val="0"/>
      <w:divBdr>
        <w:top w:val="none" w:sz="0" w:space="0" w:color="auto"/>
        <w:left w:val="none" w:sz="0" w:space="0" w:color="auto"/>
        <w:bottom w:val="none" w:sz="0" w:space="0" w:color="auto"/>
        <w:right w:val="none" w:sz="0" w:space="0" w:color="auto"/>
      </w:divBdr>
      <w:divsChild>
        <w:div w:id="117842346">
          <w:marLeft w:val="0"/>
          <w:marRight w:val="0"/>
          <w:marTop w:val="0"/>
          <w:marBottom w:val="0"/>
          <w:divBdr>
            <w:top w:val="none" w:sz="0" w:space="0" w:color="auto"/>
            <w:left w:val="none" w:sz="0" w:space="0" w:color="auto"/>
            <w:bottom w:val="none" w:sz="0" w:space="0" w:color="auto"/>
            <w:right w:val="none" w:sz="0" w:space="0" w:color="auto"/>
          </w:divBdr>
        </w:div>
      </w:divsChild>
    </w:div>
    <w:div w:id="405104333">
      <w:bodyDiv w:val="1"/>
      <w:marLeft w:val="0"/>
      <w:marRight w:val="0"/>
      <w:marTop w:val="0"/>
      <w:marBottom w:val="0"/>
      <w:divBdr>
        <w:top w:val="none" w:sz="0" w:space="0" w:color="auto"/>
        <w:left w:val="none" w:sz="0" w:space="0" w:color="auto"/>
        <w:bottom w:val="none" w:sz="0" w:space="0" w:color="auto"/>
        <w:right w:val="none" w:sz="0" w:space="0" w:color="auto"/>
      </w:divBdr>
    </w:div>
    <w:div w:id="484511400">
      <w:bodyDiv w:val="1"/>
      <w:marLeft w:val="0"/>
      <w:marRight w:val="0"/>
      <w:marTop w:val="0"/>
      <w:marBottom w:val="0"/>
      <w:divBdr>
        <w:top w:val="none" w:sz="0" w:space="0" w:color="auto"/>
        <w:left w:val="none" w:sz="0" w:space="0" w:color="auto"/>
        <w:bottom w:val="none" w:sz="0" w:space="0" w:color="auto"/>
        <w:right w:val="none" w:sz="0" w:space="0" w:color="auto"/>
      </w:divBdr>
    </w:div>
    <w:div w:id="620958957">
      <w:bodyDiv w:val="1"/>
      <w:marLeft w:val="0"/>
      <w:marRight w:val="0"/>
      <w:marTop w:val="0"/>
      <w:marBottom w:val="0"/>
      <w:divBdr>
        <w:top w:val="none" w:sz="0" w:space="0" w:color="auto"/>
        <w:left w:val="none" w:sz="0" w:space="0" w:color="auto"/>
        <w:bottom w:val="none" w:sz="0" w:space="0" w:color="auto"/>
        <w:right w:val="none" w:sz="0" w:space="0" w:color="auto"/>
      </w:divBdr>
    </w:div>
    <w:div w:id="721908502">
      <w:bodyDiv w:val="1"/>
      <w:marLeft w:val="0"/>
      <w:marRight w:val="0"/>
      <w:marTop w:val="0"/>
      <w:marBottom w:val="0"/>
      <w:divBdr>
        <w:top w:val="none" w:sz="0" w:space="0" w:color="auto"/>
        <w:left w:val="none" w:sz="0" w:space="0" w:color="auto"/>
        <w:bottom w:val="none" w:sz="0" w:space="0" w:color="auto"/>
        <w:right w:val="none" w:sz="0" w:space="0" w:color="auto"/>
      </w:divBdr>
    </w:div>
    <w:div w:id="1025399859">
      <w:bodyDiv w:val="1"/>
      <w:marLeft w:val="0"/>
      <w:marRight w:val="0"/>
      <w:marTop w:val="0"/>
      <w:marBottom w:val="0"/>
      <w:divBdr>
        <w:top w:val="none" w:sz="0" w:space="0" w:color="auto"/>
        <w:left w:val="none" w:sz="0" w:space="0" w:color="auto"/>
        <w:bottom w:val="none" w:sz="0" w:space="0" w:color="auto"/>
        <w:right w:val="none" w:sz="0" w:space="0" w:color="auto"/>
      </w:divBdr>
    </w:div>
    <w:div w:id="1094475864">
      <w:bodyDiv w:val="1"/>
      <w:marLeft w:val="0"/>
      <w:marRight w:val="0"/>
      <w:marTop w:val="0"/>
      <w:marBottom w:val="0"/>
      <w:divBdr>
        <w:top w:val="none" w:sz="0" w:space="0" w:color="auto"/>
        <w:left w:val="none" w:sz="0" w:space="0" w:color="auto"/>
        <w:bottom w:val="none" w:sz="0" w:space="0" w:color="auto"/>
        <w:right w:val="none" w:sz="0" w:space="0" w:color="auto"/>
      </w:divBdr>
    </w:div>
    <w:div w:id="1802650123">
      <w:bodyDiv w:val="1"/>
      <w:marLeft w:val="0"/>
      <w:marRight w:val="0"/>
      <w:marTop w:val="0"/>
      <w:marBottom w:val="0"/>
      <w:divBdr>
        <w:top w:val="none" w:sz="0" w:space="0" w:color="auto"/>
        <w:left w:val="none" w:sz="0" w:space="0" w:color="auto"/>
        <w:bottom w:val="none" w:sz="0" w:space="0" w:color="auto"/>
        <w:right w:val="none" w:sz="0" w:space="0" w:color="auto"/>
      </w:divBdr>
    </w:div>
    <w:div w:id="1875969666">
      <w:bodyDiv w:val="1"/>
      <w:marLeft w:val="0"/>
      <w:marRight w:val="0"/>
      <w:marTop w:val="0"/>
      <w:marBottom w:val="0"/>
      <w:divBdr>
        <w:top w:val="none" w:sz="0" w:space="0" w:color="auto"/>
        <w:left w:val="none" w:sz="0" w:space="0" w:color="auto"/>
        <w:bottom w:val="none" w:sz="0" w:space="0" w:color="auto"/>
        <w:right w:val="none" w:sz="0" w:space="0" w:color="auto"/>
      </w:divBdr>
    </w:div>
    <w:div w:id="19325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rgers@acc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ccc.gov.au/publications/informal-merger-review-process-guidelines-201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c.gov.au/mergersregiste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ergers@accc.gov.a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A263-242D-4492-ABFB-016C106D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7434665E</Template>
  <TotalTime>0</TotalTime>
  <Pages>22</Pages>
  <Words>9137</Words>
  <Characters>48538</Characters>
  <Application>Microsoft Office Word</Application>
  <DocSecurity>0</DocSecurity>
  <Lines>404</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57560</CharactersWithSpaces>
  <SharedDoc>false</SharedDoc>
  <HLinks>
    <vt:vector size="6" baseType="variant">
      <vt:variant>
        <vt:i4>5898250</vt:i4>
      </vt:variant>
      <vt:variant>
        <vt:i4>0</vt:i4>
      </vt:variant>
      <vt:variant>
        <vt:i4>0</vt:i4>
      </vt:variant>
      <vt:variant>
        <vt:i4>5</vt:i4>
      </vt:variant>
      <vt:variant>
        <vt:lpwstr>http://www.accc.gov.au/processguidelines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2015-09-13T11:49:00Z</dcterms:created>
  <dcterms:modified xsi:type="dcterms:W3CDTF">2015-09-13T11:53:00Z</dcterms:modified>
</cp:coreProperties>
</file>