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0A0" w:rsidRDefault="00D42E5A" w:rsidP="00A26C2D">
      <w:pPr>
        <w:pStyle w:val="Heading1"/>
      </w:pPr>
      <w:r>
        <w:pict w14:anchorId="0279CC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ustralian Competition &amp; Consumer Commission" style="width:190.5pt;height:45.75pt;mso-left-percent:-10001;mso-top-percent:-10001;mso-position-horizontal:absolute;mso-position-horizontal-relative:char;mso-position-vertical:absolute;mso-position-vertical-relative:line;mso-left-percent:-10001;mso-top-percent:-10001">
            <v:imagedata r:id="rId9" o:title=""/>
          </v:shape>
        </w:pict>
      </w:r>
    </w:p>
    <w:p w:rsidR="000F1353" w:rsidRPr="000F1353" w:rsidRDefault="000F1353" w:rsidP="00A26C2D">
      <w:pPr>
        <w:pStyle w:val="Heading1"/>
      </w:pPr>
      <w:r w:rsidRPr="000F1353">
        <w:t>Statement of Issues</w:t>
      </w:r>
    </w:p>
    <w:p w:rsidR="00E50A22" w:rsidRPr="00E23669" w:rsidRDefault="00CB427C" w:rsidP="00A26C2D">
      <w:pPr>
        <w:pStyle w:val="Date"/>
      </w:pPr>
      <w:r w:rsidRPr="005A607F">
        <w:t>23 October 2015</w:t>
      </w:r>
    </w:p>
    <w:p w:rsidR="00FB30A0" w:rsidRDefault="00727337" w:rsidP="00966FAF">
      <w:pPr>
        <w:pStyle w:val="Heading2"/>
        <w:jc w:val="left"/>
      </w:pPr>
      <w:bookmarkStart w:id="0" w:name="Title"/>
      <w:bookmarkEnd w:id="0"/>
      <w:r>
        <w:t>Halliburton Company</w:t>
      </w:r>
      <w:r w:rsidR="002A6DE2">
        <w:t xml:space="preserve"> </w:t>
      </w:r>
      <w:r w:rsidR="00E44A40">
        <w:t>–</w:t>
      </w:r>
      <w:r w:rsidR="002A6DE2">
        <w:t xml:space="preserve"> </w:t>
      </w:r>
      <w:r w:rsidR="00E44A40">
        <w:t xml:space="preserve">proposed </w:t>
      </w:r>
      <w:r w:rsidR="002A6DE2">
        <w:t xml:space="preserve">acquisition </w:t>
      </w:r>
      <w:r>
        <w:t>of Baker Hughes Incorporated</w:t>
      </w:r>
    </w:p>
    <w:p w:rsidR="00E44A40" w:rsidRDefault="00E44A40" w:rsidP="00A26C2D">
      <w:pPr>
        <w:pStyle w:val="Heading3"/>
      </w:pPr>
      <w:r>
        <w:t>Purpose</w:t>
      </w:r>
    </w:p>
    <w:p w:rsidR="00E44A40" w:rsidRDefault="00E44A40" w:rsidP="0012089E">
      <w:pPr>
        <w:pStyle w:val="NormalParagraph"/>
      </w:pPr>
      <w:bookmarkStart w:id="1" w:name="_Ref433117906"/>
      <w:r>
        <w:t>Th</w:t>
      </w:r>
      <w:r w:rsidR="00D465B7">
        <w:t>e purpose of this</w:t>
      </w:r>
      <w:r>
        <w:t xml:space="preserve"> </w:t>
      </w:r>
      <w:r w:rsidR="008E30B9">
        <w:t>Statement of I</w:t>
      </w:r>
      <w:r w:rsidRPr="00E44A40">
        <w:t xml:space="preserve">ssues </w:t>
      </w:r>
      <w:r w:rsidR="00D465B7">
        <w:t>is</w:t>
      </w:r>
      <w:r w:rsidRPr="00A65CD3">
        <w:t xml:space="preserve"> to</w:t>
      </w:r>
      <w:r>
        <w:t>:</w:t>
      </w:r>
      <w:bookmarkEnd w:id="1"/>
    </w:p>
    <w:p w:rsidR="00E44A40" w:rsidRDefault="00134AD5" w:rsidP="00F1213F">
      <w:pPr>
        <w:pStyle w:val="Numbered"/>
        <w:numPr>
          <w:ilvl w:val="0"/>
          <w:numId w:val="6"/>
        </w:numPr>
      </w:pPr>
      <w:r>
        <w:t>give the Australian Competition and Consumer Commission’s (</w:t>
      </w:r>
      <w:r>
        <w:rPr>
          <w:b/>
        </w:rPr>
        <w:t>ACCC</w:t>
      </w:r>
      <w:r w:rsidRPr="00134AD5">
        <w:t>’s)</w:t>
      </w:r>
      <w:r w:rsidR="00E44A40">
        <w:t xml:space="preserve"> preliminary views on co</w:t>
      </w:r>
      <w:r w:rsidR="00B06FE4">
        <w:t>mpetition issues arising from Halliburton</w:t>
      </w:r>
      <w:r w:rsidR="00E4500A">
        <w:t xml:space="preserve"> Company</w:t>
      </w:r>
      <w:r w:rsidR="00B06FE4">
        <w:t>’s</w:t>
      </w:r>
      <w:r w:rsidR="00E4500A">
        <w:t xml:space="preserve"> (</w:t>
      </w:r>
      <w:r w:rsidR="00E4500A" w:rsidRPr="00E4500A">
        <w:rPr>
          <w:b/>
        </w:rPr>
        <w:t>Halliburton</w:t>
      </w:r>
      <w:r w:rsidR="00C201F2" w:rsidRPr="00CB427C">
        <w:t>’s</w:t>
      </w:r>
      <w:r w:rsidR="00E4500A">
        <w:t>)</w:t>
      </w:r>
      <w:r w:rsidR="00B06FE4">
        <w:t xml:space="preserve"> proposed acquisition</w:t>
      </w:r>
      <w:r w:rsidR="00A94534">
        <w:t xml:space="preserve"> of</w:t>
      </w:r>
      <w:r w:rsidR="00B06FE4">
        <w:t xml:space="preserve"> Baker Hughes</w:t>
      </w:r>
      <w:r w:rsidR="00E44A40">
        <w:t xml:space="preserve"> </w:t>
      </w:r>
      <w:r w:rsidR="00E4500A">
        <w:t>Incorporated</w:t>
      </w:r>
      <w:r w:rsidR="003E281E">
        <w:t xml:space="preserve"> (</w:t>
      </w:r>
      <w:r w:rsidR="003E281E" w:rsidRPr="003E281E">
        <w:rPr>
          <w:b/>
        </w:rPr>
        <w:t>Baker Hughes</w:t>
      </w:r>
      <w:r w:rsidR="003E281E">
        <w:t>)</w:t>
      </w:r>
    </w:p>
    <w:p w:rsidR="00E44A40" w:rsidRDefault="00E44A40" w:rsidP="0012089E">
      <w:pPr>
        <w:pStyle w:val="Numbered"/>
        <w:numPr>
          <w:ilvl w:val="0"/>
          <w:numId w:val="6"/>
        </w:numPr>
      </w:pPr>
      <w:r>
        <w:t>identify areas of further inquiry</w:t>
      </w:r>
    </w:p>
    <w:p w:rsidR="00E44A40" w:rsidRDefault="00E44A40" w:rsidP="0012089E">
      <w:pPr>
        <w:pStyle w:val="Numbered"/>
        <w:numPr>
          <w:ilvl w:val="0"/>
          <w:numId w:val="6"/>
        </w:numPr>
      </w:pPr>
      <w:r w:rsidRPr="00A65CD3">
        <w:t>g</w:t>
      </w:r>
      <w:r>
        <w:t>i</w:t>
      </w:r>
      <w:r w:rsidRPr="00A65CD3">
        <w:t>ve</w:t>
      </w:r>
      <w:r w:rsidR="00966FAF">
        <w:t xml:space="preserve"> all </w:t>
      </w:r>
      <w:r>
        <w:t>interested parties an opportunity to comment</w:t>
      </w:r>
    </w:p>
    <w:p w:rsidR="00E44A40" w:rsidRDefault="00E44A40" w:rsidP="000769AD">
      <w:pPr>
        <w:pStyle w:val="Numbered"/>
        <w:numPr>
          <w:ilvl w:val="0"/>
          <w:numId w:val="6"/>
        </w:numPr>
      </w:pPr>
      <w:proofErr w:type="gramStart"/>
      <w:r>
        <w:t>invite</w:t>
      </w:r>
      <w:proofErr w:type="gramEnd"/>
      <w:r>
        <w:t xml:space="preserve"> interested parties to submit information to assist us in our assessment of the issues.</w:t>
      </w:r>
    </w:p>
    <w:p w:rsidR="00E44A40" w:rsidRDefault="00E44A40" w:rsidP="00A26C2D">
      <w:pPr>
        <w:pStyle w:val="Heading3"/>
      </w:pPr>
      <w:r>
        <w:t xml:space="preserve">Overview of </w:t>
      </w:r>
      <w:r w:rsidR="00D465B7">
        <w:t xml:space="preserve">the </w:t>
      </w:r>
      <w:r>
        <w:t>ACCC’s preliminary views</w:t>
      </w:r>
    </w:p>
    <w:p w:rsidR="0055011D" w:rsidRDefault="0055011D" w:rsidP="000769AD">
      <w:pPr>
        <w:pStyle w:val="Heading4"/>
      </w:pPr>
      <w:r>
        <w:t>Introduction</w:t>
      </w:r>
    </w:p>
    <w:p w:rsidR="00481CCB" w:rsidRDefault="0055011D" w:rsidP="000769AD">
      <w:pPr>
        <w:pStyle w:val="NormalParagraph"/>
      </w:pPr>
      <w:r>
        <w:t xml:space="preserve">This Statement of Issues </w:t>
      </w:r>
      <w:r w:rsidR="0057275A">
        <w:t xml:space="preserve">outlines </w:t>
      </w:r>
      <w:r w:rsidR="008912C0">
        <w:t>competition concerns arising from the proposed acquisition in multiple</w:t>
      </w:r>
      <w:r>
        <w:t xml:space="preserve"> markets. </w:t>
      </w:r>
    </w:p>
    <w:p w:rsidR="0057275A" w:rsidRDefault="0057275A" w:rsidP="000769AD">
      <w:pPr>
        <w:pStyle w:val="Numbered"/>
      </w:pPr>
      <w:r>
        <w:t xml:space="preserve">Halliburton and Baker Hughes offer </w:t>
      </w:r>
      <w:r w:rsidR="007325C9">
        <w:t>good</w:t>
      </w:r>
      <w:r>
        <w:t>s and services across a broad range of oil</w:t>
      </w:r>
      <w:r w:rsidR="00E4500A">
        <w:t xml:space="preserve">field </w:t>
      </w:r>
      <w:r w:rsidR="00AA65A9">
        <w:t>products</w:t>
      </w:r>
      <w:r w:rsidR="00E4500A">
        <w:t>,</w:t>
      </w:r>
      <w:r>
        <w:t xml:space="preserve"> in many countries around the world.</w:t>
      </w:r>
      <w:r w:rsidR="007368F2">
        <w:t xml:space="preserve"> O</w:t>
      </w:r>
      <w:r w:rsidR="007368F2" w:rsidRPr="00AF2B0E">
        <w:t>ilfield services</w:t>
      </w:r>
      <w:r w:rsidR="007368F2">
        <w:t xml:space="preserve"> comprise products which are acquired </w:t>
      </w:r>
      <w:r w:rsidR="007368F2" w:rsidRPr="00AF2B0E">
        <w:t>to</w:t>
      </w:r>
      <w:r w:rsidR="007368F2">
        <w:t xml:space="preserve"> facilitate the exploration for and production of oil and gas. </w:t>
      </w:r>
      <w:r>
        <w:t xml:space="preserve">The merger parties are close competitors across </w:t>
      </w:r>
      <w:r w:rsidR="005B21F9">
        <w:t xml:space="preserve">a large number </w:t>
      </w:r>
      <w:r w:rsidR="007325C9">
        <w:t>good</w:t>
      </w:r>
      <w:r>
        <w:t>s and services in Australia.</w:t>
      </w:r>
    </w:p>
    <w:p w:rsidR="0055011D" w:rsidRDefault="00570BC5" w:rsidP="000769AD">
      <w:pPr>
        <w:pStyle w:val="NormalParagraph"/>
      </w:pPr>
      <w:r>
        <w:t>Based on total annual revenues, Schlumberger Limited (</w:t>
      </w:r>
      <w:r w:rsidRPr="00570BC5">
        <w:rPr>
          <w:b/>
        </w:rPr>
        <w:t>Schlumberger</w:t>
      </w:r>
      <w:r>
        <w:t xml:space="preserve">) is the largest global and Australian oilfield services </w:t>
      </w:r>
      <w:r w:rsidR="00C201F2">
        <w:t>provider</w:t>
      </w:r>
      <w:r>
        <w:t xml:space="preserve">. The merger parties—Halliburton and Baker Hughes—are currently the second and third largest </w:t>
      </w:r>
      <w:r w:rsidR="00C201F2">
        <w:t xml:space="preserve">providers </w:t>
      </w:r>
      <w:r>
        <w:t xml:space="preserve">both globally and in Australia. </w:t>
      </w:r>
      <w:r w:rsidR="00E4500A">
        <w:t>Market participants often use the term ‘the big three’ to describe Schlumberger, Halliburton and Baker Hughes</w:t>
      </w:r>
      <w:r w:rsidR="0055011D">
        <w:t xml:space="preserve">. </w:t>
      </w:r>
    </w:p>
    <w:p w:rsidR="0080283E" w:rsidRDefault="0080283E" w:rsidP="000769AD">
      <w:pPr>
        <w:pStyle w:val="NormalParagraph"/>
      </w:pPr>
      <w:r>
        <w:t xml:space="preserve">In Australia, oilfield services are provided </w:t>
      </w:r>
      <w:r w:rsidR="001A3B05">
        <w:t xml:space="preserve">both </w:t>
      </w:r>
      <w:r>
        <w:t xml:space="preserve">onshore and offshore to </w:t>
      </w:r>
      <w:r w:rsidR="00835EDE">
        <w:t>Exploration and Production customers (</w:t>
      </w:r>
      <w:r w:rsidR="00835EDE" w:rsidRPr="00CB427C">
        <w:rPr>
          <w:b/>
        </w:rPr>
        <w:t>E&amp;Ps</w:t>
      </w:r>
      <w:r w:rsidR="00835EDE">
        <w:t>)</w:t>
      </w:r>
      <w:r>
        <w:t xml:space="preserve">, and across a number of different basins with differing geological characteristics. Consequently, the ACCC is considering a number of different markets and a </w:t>
      </w:r>
      <w:r w:rsidR="0015473B">
        <w:t>number of concerns</w:t>
      </w:r>
      <w:r w:rsidR="001A3B05">
        <w:t xml:space="preserve"> across the range of </w:t>
      </w:r>
      <w:r w:rsidR="007325C9">
        <w:t>good</w:t>
      </w:r>
      <w:r w:rsidR="001A3B05">
        <w:t>s and services supplied in Australia</w:t>
      </w:r>
      <w:r>
        <w:t xml:space="preserve">. </w:t>
      </w:r>
    </w:p>
    <w:p w:rsidR="004604CB" w:rsidRDefault="004604CB" w:rsidP="00D97EEC">
      <w:pPr>
        <w:pStyle w:val="NormalParagraph"/>
      </w:pPr>
      <w:r>
        <w:lastRenderedPageBreak/>
        <w:t xml:space="preserve">An important feature of oilfield services markets in Australia is the competitive advantages that </w:t>
      </w:r>
      <w:r w:rsidR="00B93267">
        <w:t xml:space="preserve">the </w:t>
      </w:r>
      <w:r>
        <w:t xml:space="preserve">major </w:t>
      </w:r>
      <w:r w:rsidR="00B93267">
        <w:t xml:space="preserve">global </w:t>
      </w:r>
      <w:r>
        <w:t xml:space="preserve">suppliers have relative to smaller competitors and potential entrants. </w:t>
      </w:r>
    </w:p>
    <w:p w:rsidR="004604CB" w:rsidRDefault="004604CB">
      <w:pPr>
        <w:pStyle w:val="NormalParagraph"/>
      </w:pPr>
      <w:r>
        <w:t>These advantages include economies of scope</w:t>
      </w:r>
      <w:r w:rsidR="00FC3C96">
        <w:t xml:space="preserve"> and scale</w:t>
      </w:r>
      <w:r>
        <w:t>; significant industry experience</w:t>
      </w:r>
      <w:r w:rsidR="00B93267">
        <w:t xml:space="preserve">, particularly on complex projects, </w:t>
      </w:r>
      <w:r>
        <w:t>which has led to strong customer relationships and established reputations</w:t>
      </w:r>
      <w:r w:rsidR="005B21F9">
        <w:t>;</w:t>
      </w:r>
      <w:r>
        <w:t xml:space="preserve"> and large </w:t>
      </w:r>
      <w:r w:rsidR="00FE6A46">
        <w:t>research and development (</w:t>
      </w:r>
      <w:r w:rsidRPr="00CB427C">
        <w:rPr>
          <w:b/>
        </w:rPr>
        <w:t>R&amp;D</w:t>
      </w:r>
      <w:r w:rsidR="00FE6A46">
        <w:t>)</w:t>
      </w:r>
      <w:r>
        <w:t xml:space="preserve"> and innovation expenditures keeping them at the forefront of technological developments. </w:t>
      </w:r>
    </w:p>
    <w:p w:rsidR="004604CB" w:rsidRPr="004604CB" w:rsidRDefault="00E4500A">
      <w:pPr>
        <w:pStyle w:val="NormalParagraph"/>
        <w:rPr>
          <w:b/>
        </w:rPr>
      </w:pPr>
      <w:r>
        <w:t>The ACCC’s preliminary view is that there are strong risks of unilateral and coordinated effects arising from the proposed acquisition. The</w:t>
      </w:r>
      <w:r w:rsidR="004604CB">
        <w:t xml:space="preserve"> advantages</w:t>
      </w:r>
      <w:r>
        <w:t xml:space="preserve"> the merged firm and Schlumberger would have suggest that </w:t>
      </w:r>
      <w:r w:rsidR="004604CB">
        <w:t xml:space="preserve">post-acquisition </w:t>
      </w:r>
      <w:r>
        <w:t>they</w:t>
      </w:r>
      <w:r w:rsidR="004604CB">
        <w:t xml:space="preserve"> are not likely to face strong competitive </w:t>
      </w:r>
      <w:r w:rsidR="00F6101D">
        <w:t>constraints</w:t>
      </w:r>
      <w:r w:rsidR="004604CB">
        <w:t xml:space="preserve"> from rivals or entrants</w:t>
      </w:r>
      <w:r w:rsidR="006D248C">
        <w:t xml:space="preserve"> in a number of markets</w:t>
      </w:r>
      <w:r w:rsidR="00C054BB">
        <w:t>.</w:t>
      </w:r>
      <w:r w:rsidR="006D248C">
        <w:t xml:space="preserve"> </w:t>
      </w:r>
    </w:p>
    <w:p w:rsidR="0055011D" w:rsidRPr="0055011D" w:rsidRDefault="0055011D" w:rsidP="00D97EEC">
      <w:pPr>
        <w:pStyle w:val="Heading4"/>
      </w:pPr>
      <w:r w:rsidRPr="0055011D">
        <w:t>Preliminary views</w:t>
      </w:r>
    </w:p>
    <w:p w:rsidR="009E077E" w:rsidRDefault="009E077E" w:rsidP="00D97EEC">
      <w:pPr>
        <w:pStyle w:val="Numbered"/>
      </w:pPr>
      <w:r w:rsidRPr="00A0349E">
        <w:t xml:space="preserve">The </w:t>
      </w:r>
      <w:r>
        <w:t xml:space="preserve">legal test which </w:t>
      </w:r>
      <w:r w:rsidR="00134AD5">
        <w:t xml:space="preserve">the ACCC </w:t>
      </w:r>
      <w:r>
        <w:t xml:space="preserve">applies in </w:t>
      </w:r>
      <w:r w:rsidRPr="00A0349E">
        <w:t xml:space="preserve">considering the </w:t>
      </w:r>
      <w:r>
        <w:t xml:space="preserve">proposed </w:t>
      </w:r>
      <w:r w:rsidRPr="00A0349E">
        <w:t xml:space="preserve">acquisition </w:t>
      </w:r>
      <w:r>
        <w:t xml:space="preserve">is in </w:t>
      </w:r>
      <w:r w:rsidRPr="00A0349E">
        <w:t xml:space="preserve">section 50 of the </w:t>
      </w:r>
      <w:r w:rsidRPr="00A0349E">
        <w:rPr>
          <w:i/>
        </w:rPr>
        <w:t>Competition and Consumer Act 2010</w:t>
      </w:r>
      <w:r w:rsidRPr="00A0349E">
        <w:t xml:space="preserve">. Section 50 prohibits acquisitions that substantially lessen competition in a market, or are likely to do so. </w:t>
      </w:r>
    </w:p>
    <w:p w:rsidR="00DD1C16" w:rsidRDefault="00E44A40">
      <w:pPr>
        <w:pStyle w:val="Numbered"/>
      </w:pPr>
      <w:r>
        <w:t xml:space="preserve">The </w:t>
      </w:r>
      <w:r w:rsidR="009E077E">
        <w:t>ACCC</w:t>
      </w:r>
      <w:r w:rsidR="001C42C7">
        <w:t xml:space="preserve"> divides</w:t>
      </w:r>
      <w:r>
        <w:t xml:space="preserve"> </w:t>
      </w:r>
      <w:r w:rsidR="00782229">
        <w:t>its preliminary views into two</w:t>
      </w:r>
      <w:r>
        <w:t xml:space="preserve"> categories, 'issues of </w:t>
      </w:r>
      <w:r w:rsidR="00716843">
        <w:t>concern’, and</w:t>
      </w:r>
      <w:r>
        <w:t xml:space="preserve"> 'issues that may raise concerns</w:t>
      </w:r>
      <w:r w:rsidR="00716843">
        <w:t>.</w:t>
      </w:r>
      <w:r>
        <w:t xml:space="preserve">' </w:t>
      </w:r>
    </w:p>
    <w:p w:rsidR="005B21F9" w:rsidRDefault="005B21F9">
      <w:pPr>
        <w:pStyle w:val="Numbered"/>
      </w:pPr>
      <w:r>
        <w:t xml:space="preserve">The geographic scope of all markets referred to below is Australia. </w:t>
      </w:r>
    </w:p>
    <w:p w:rsidR="001C42C7" w:rsidRDefault="001C42C7" w:rsidP="00D97EEC">
      <w:pPr>
        <w:pStyle w:val="Heading4"/>
      </w:pPr>
      <w:r>
        <w:t>Issues of concern</w:t>
      </w:r>
    </w:p>
    <w:p w:rsidR="00D465B7" w:rsidRPr="00DC1AC9" w:rsidRDefault="00D465B7" w:rsidP="00D465B7">
      <w:pPr>
        <w:pStyle w:val="bulletpoint2"/>
      </w:pPr>
      <w:r>
        <w:t xml:space="preserve">The ACCC has identified issues of concern through unilateral effects in the supply of oilfield services to offshore drilling projects, in separate </w:t>
      </w:r>
      <w:r w:rsidR="00AA65A9">
        <w:t>product</w:t>
      </w:r>
      <w:r>
        <w:t xml:space="preserve"> markets as identified in </w:t>
      </w:r>
      <w:r w:rsidRPr="00A3396C">
        <w:rPr>
          <w:b/>
        </w:rPr>
        <w:t>Annexure 1</w:t>
      </w:r>
      <w:r>
        <w:rPr>
          <w:b/>
        </w:rPr>
        <w:t xml:space="preserve">. </w:t>
      </w:r>
    </w:p>
    <w:p w:rsidR="00007C14" w:rsidRDefault="00E74D73" w:rsidP="00007C14">
      <w:pPr>
        <w:pStyle w:val="bulletpoint2"/>
      </w:pPr>
      <w:r>
        <w:t>The ACCC has identified issues of conce</w:t>
      </w:r>
      <w:r w:rsidR="000A4FE0">
        <w:t>rn through unilateral</w:t>
      </w:r>
      <w:r>
        <w:t xml:space="preserve"> effects in a market for the provision of integrated </w:t>
      </w:r>
      <w:r w:rsidR="005B21F9">
        <w:t xml:space="preserve">oilfield </w:t>
      </w:r>
      <w:r>
        <w:t>services</w:t>
      </w:r>
      <w:r w:rsidR="000A4FE0">
        <w:t xml:space="preserve"> for </w:t>
      </w:r>
      <w:r w:rsidR="00F2275C">
        <w:t>all</w:t>
      </w:r>
      <w:r w:rsidR="000A4FE0">
        <w:t xml:space="preserve"> drilling projects</w:t>
      </w:r>
      <w:r w:rsidR="00300EE7">
        <w:t xml:space="preserve"> in Australia</w:t>
      </w:r>
      <w:r w:rsidRPr="002B372B">
        <w:t xml:space="preserve">. </w:t>
      </w:r>
    </w:p>
    <w:p w:rsidR="00BD46E6" w:rsidRDefault="00BD46E6" w:rsidP="00BD46E6">
      <w:pPr>
        <w:pStyle w:val="bulletpoint2"/>
      </w:pPr>
      <w:r>
        <w:t xml:space="preserve">The ACCC has identified issues of concern in the supply of oilfield services for all drilling projects in Australia through coordinated effects. </w:t>
      </w:r>
    </w:p>
    <w:p w:rsidR="001C42C7" w:rsidRDefault="001C42C7">
      <w:pPr>
        <w:pStyle w:val="Heading4"/>
      </w:pPr>
      <w:r>
        <w:t>Issues that may raise concerns</w:t>
      </w:r>
    </w:p>
    <w:p w:rsidR="00C917D2" w:rsidRDefault="00C917D2" w:rsidP="002B372B">
      <w:pPr>
        <w:pStyle w:val="bulletpoint2"/>
      </w:pPr>
      <w:r>
        <w:t xml:space="preserve">The ACCC has identified issues </w:t>
      </w:r>
      <w:r w:rsidR="00CD7430">
        <w:t>that may raise concerns</w:t>
      </w:r>
      <w:r w:rsidR="000A4FE0">
        <w:t xml:space="preserve"> through unilateral </w:t>
      </w:r>
      <w:r w:rsidR="00F45B02">
        <w:t>effects</w:t>
      </w:r>
      <w:r>
        <w:t xml:space="preserve"> in the supply of oilfield services </w:t>
      </w:r>
      <w:r w:rsidR="00A3396C">
        <w:t>to onshore drilling projects</w:t>
      </w:r>
      <w:r w:rsidR="00607427">
        <w:t xml:space="preserve">, in </w:t>
      </w:r>
      <w:r w:rsidR="005B21F9">
        <w:t xml:space="preserve">separate </w:t>
      </w:r>
      <w:r w:rsidR="003179F5">
        <w:t>product</w:t>
      </w:r>
      <w:r w:rsidR="005B21F9">
        <w:t xml:space="preserve"> </w:t>
      </w:r>
      <w:r w:rsidR="00A3396C">
        <w:t xml:space="preserve">markets </w:t>
      </w:r>
      <w:r w:rsidR="005B21F9">
        <w:t>as</w:t>
      </w:r>
      <w:r w:rsidR="00A3396C">
        <w:t xml:space="preserve"> identified in </w:t>
      </w:r>
      <w:r w:rsidR="00A3396C">
        <w:rPr>
          <w:b/>
        </w:rPr>
        <w:t xml:space="preserve">Annexure </w:t>
      </w:r>
      <w:r w:rsidR="00782229">
        <w:rPr>
          <w:b/>
        </w:rPr>
        <w:t>2</w:t>
      </w:r>
      <w:r w:rsidR="00A3396C">
        <w:t>.</w:t>
      </w:r>
    </w:p>
    <w:p w:rsidR="00E44A40" w:rsidRDefault="00E44A40" w:rsidP="00E44A40">
      <w:pPr>
        <w:pStyle w:val="Heading3"/>
      </w:pPr>
      <w:r>
        <w:t>Making a submission</w:t>
      </w:r>
    </w:p>
    <w:p w:rsidR="00E44A40" w:rsidRDefault="00E44A40" w:rsidP="00D97EEC">
      <w:pPr>
        <w:pStyle w:val="NormalParagraph"/>
      </w:pPr>
      <w:r>
        <w:t>The ACCC is seeking submissions from interested parties, particularly on the following key issues:</w:t>
      </w:r>
    </w:p>
    <w:p w:rsidR="00545BD5" w:rsidRDefault="000E1D8A" w:rsidP="00F1213F">
      <w:pPr>
        <w:pStyle w:val="Numbered"/>
        <w:numPr>
          <w:ilvl w:val="0"/>
          <w:numId w:val="6"/>
        </w:numPr>
      </w:pPr>
      <w:r>
        <w:t>The likelihood the proposed acquisition will lead to higher prices or reduced service in any market in Australia</w:t>
      </w:r>
      <w:r w:rsidR="00545BD5">
        <w:t xml:space="preserve"> as a result of unilateral</w:t>
      </w:r>
      <w:r w:rsidR="0030405C">
        <w:t xml:space="preserve"> or </w:t>
      </w:r>
      <w:r w:rsidR="00545BD5">
        <w:t xml:space="preserve">coordinated </w:t>
      </w:r>
      <w:r w:rsidR="00545BD5" w:rsidRPr="0030405C">
        <w:t>effects</w:t>
      </w:r>
      <w:r>
        <w:t>.</w:t>
      </w:r>
    </w:p>
    <w:p w:rsidR="001702CD" w:rsidRDefault="00545BD5" w:rsidP="00D97EEC">
      <w:pPr>
        <w:pStyle w:val="Numbered"/>
        <w:numPr>
          <w:ilvl w:val="0"/>
          <w:numId w:val="6"/>
        </w:numPr>
      </w:pPr>
      <w:r>
        <w:lastRenderedPageBreak/>
        <w:t xml:space="preserve">The capacity and capability of existing suppliers or new entrants to supply the range of </w:t>
      </w:r>
      <w:r w:rsidR="00AA65A9">
        <w:t xml:space="preserve">products </w:t>
      </w:r>
      <w:r>
        <w:t xml:space="preserve">necessary to compete effectively for the supply of integrated services. </w:t>
      </w:r>
      <w:r w:rsidR="000E1D8A">
        <w:t xml:space="preserve"> </w:t>
      </w:r>
    </w:p>
    <w:p w:rsidR="00E44A40" w:rsidRDefault="00E4500A">
      <w:pPr>
        <w:pStyle w:val="Numbered"/>
        <w:numPr>
          <w:ilvl w:val="0"/>
          <w:numId w:val="6"/>
        </w:numPr>
      </w:pPr>
      <w:r>
        <w:t>The presence of m</w:t>
      </w:r>
      <w:r w:rsidR="005B21F9">
        <w:t>arket conditions which may or may not facilitate coordinated conduct</w:t>
      </w:r>
      <w:r w:rsidR="000E1D8A">
        <w:t xml:space="preserve"> to the detriment of </w:t>
      </w:r>
      <w:r w:rsidR="005B21F9">
        <w:t>customers</w:t>
      </w:r>
      <w:r w:rsidR="000E1D8A">
        <w:t xml:space="preserve">. </w:t>
      </w:r>
    </w:p>
    <w:p w:rsidR="000E1D8A" w:rsidRPr="00E44A40" w:rsidRDefault="000E1D8A">
      <w:pPr>
        <w:pStyle w:val="Numbered"/>
        <w:numPr>
          <w:ilvl w:val="0"/>
          <w:numId w:val="6"/>
        </w:numPr>
      </w:pPr>
      <w:r>
        <w:t xml:space="preserve">The availability of </w:t>
      </w:r>
      <w:r w:rsidR="00545BD5">
        <w:t xml:space="preserve">effective </w:t>
      </w:r>
      <w:r>
        <w:t xml:space="preserve">alternative suppliers either in Australia or overseas, </w:t>
      </w:r>
      <w:r w:rsidR="00461E09">
        <w:t xml:space="preserve">for </w:t>
      </w:r>
      <w:r>
        <w:t xml:space="preserve">each </w:t>
      </w:r>
      <w:r w:rsidR="00AA65A9">
        <w:t>product</w:t>
      </w:r>
      <w:r>
        <w:t xml:space="preserve"> which the merger parties supply. </w:t>
      </w:r>
    </w:p>
    <w:p w:rsidR="009E077E" w:rsidRDefault="009E077E" w:rsidP="0012089E">
      <w:pPr>
        <w:pStyle w:val="NormalParagraph"/>
      </w:pPr>
      <w:r>
        <w:t xml:space="preserve">Detailed discussion of these and other issues, along with specific questions, is contained in this Statement of Issues. </w:t>
      </w:r>
    </w:p>
    <w:p w:rsidR="00E44A40" w:rsidRDefault="00E44A40" w:rsidP="00D97EEC">
      <w:pPr>
        <w:pStyle w:val="NormalParagraph"/>
      </w:pPr>
      <w:r>
        <w:t xml:space="preserve">Interested parties should provide submissions by </w:t>
      </w:r>
      <w:r w:rsidRPr="00A0349E">
        <w:t xml:space="preserve">no later than </w:t>
      </w:r>
      <w:r w:rsidRPr="00E44A40">
        <w:t xml:space="preserve">5pm on </w:t>
      </w:r>
      <w:r w:rsidR="00E4500A" w:rsidRPr="005A607F">
        <w:t>12</w:t>
      </w:r>
      <w:r w:rsidR="00C15964" w:rsidRPr="005A607F">
        <w:t> November</w:t>
      </w:r>
      <w:r w:rsidR="00461E09">
        <w:t xml:space="preserve"> 2015</w:t>
      </w:r>
      <w:r w:rsidRPr="00A0349E">
        <w:t xml:space="preserve">. Responses may be emailed to mergers@accc.gov.au with the title: </w:t>
      </w:r>
      <w:r w:rsidR="001702CD">
        <w:t>Submission re: Halliburton’s proposed acquisition of Baker Hughes</w:t>
      </w:r>
      <w:r w:rsidRPr="00E44A40">
        <w:t xml:space="preserve"> - attention </w:t>
      </w:r>
      <w:r w:rsidR="00E4500A">
        <w:t>Kate Reader</w:t>
      </w:r>
      <w:r w:rsidR="001702CD">
        <w:t xml:space="preserve"> and George Cunningham</w:t>
      </w:r>
      <w:r w:rsidRPr="00E44A40">
        <w:t>.</w:t>
      </w:r>
      <w:r>
        <w:t xml:space="preserve"> If you would like to discuss the matter with ACCC officers over the telephone or in person, or have any questions about this </w:t>
      </w:r>
      <w:r w:rsidR="007368F2">
        <w:t>Statement of Issues</w:t>
      </w:r>
      <w:r>
        <w:t xml:space="preserve">, </w:t>
      </w:r>
      <w:r w:rsidRPr="00A0349E">
        <w:t>please c</w:t>
      </w:r>
      <w:r>
        <w:t xml:space="preserve">ontact </w:t>
      </w:r>
      <w:r w:rsidR="00E4500A">
        <w:t>Kate Reader on (02</w:t>
      </w:r>
      <w:r w:rsidR="001702CD">
        <w:t xml:space="preserve">) </w:t>
      </w:r>
      <w:r w:rsidR="00E4500A">
        <w:t>9230 3822</w:t>
      </w:r>
      <w:r w:rsidR="001702CD">
        <w:t xml:space="preserve"> or George Cunningham on (02) 9230 9138</w:t>
      </w:r>
      <w:r w:rsidRPr="00A0349E">
        <w:t xml:space="preserve">. </w:t>
      </w:r>
    </w:p>
    <w:p w:rsidR="009A200B" w:rsidRPr="00A0349E" w:rsidRDefault="009A200B">
      <w:pPr>
        <w:pStyle w:val="NormalParagraph"/>
      </w:pPr>
      <w:r>
        <w:t xml:space="preserve">The ACCC anticipates making a final decision </w:t>
      </w:r>
      <w:r w:rsidRPr="00F052CA">
        <w:t xml:space="preserve">on </w:t>
      </w:r>
      <w:r w:rsidR="00C15964" w:rsidRPr="005A607F">
        <w:t>1</w:t>
      </w:r>
      <w:r w:rsidR="00E4500A" w:rsidRPr="005A607F">
        <w:t>7</w:t>
      </w:r>
      <w:r w:rsidR="00C15964" w:rsidRPr="005A607F">
        <w:t> December</w:t>
      </w:r>
      <w:r w:rsidR="00461E09" w:rsidRPr="00F052CA">
        <w:t xml:space="preserve"> </w:t>
      </w:r>
      <w:proofErr w:type="gramStart"/>
      <w:r w:rsidR="00461E09" w:rsidRPr="00F052CA">
        <w:t>2015</w:t>
      </w:r>
      <w:r w:rsidRPr="00F052CA">
        <w:t>,</w:t>
      </w:r>
      <w:proofErr w:type="gramEnd"/>
      <w:r>
        <w:t xml:space="preserve"> h</w:t>
      </w:r>
      <w:r w:rsidR="00134AD5">
        <w:t>owever, this timeline can change</w:t>
      </w:r>
      <w:r>
        <w:t xml:space="preserve">. To keep abreast of possible changes in relation to timing and to find relevant documents, </w:t>
      </w:r>
      <w:r w:rsidR="001A68F4">
        <w:t>interested parties</w:t>
      </w:r>
      <w:r>
        <w:t xml:space="preserve"> should visit the Mergers Register on the ACCC's website at </w:t>
      </w:r>
      <w:r>
        <w:rPr>
          <w:rStyle w:val="Hyperlink"/>
        </w:rPr>
        <w:t>www.accc.gov.au/mergersregister</w:t>
      </w:r>
      <w:r>
        <w:t>.</w:t>
      </w:r>
    </w:p>
    <w:p w:rsidR="00E44A40" w:rsidRDefault="00E44A40" w:rsidP="00D97EEC">
      <w:pPr>
        <w:pStyle w:val="Heading4"/>
      </w:pPr>
      <w:r w:rsidRPr="00E44A40">
        <w:t>Confidentiality of submissions</w:t>
      </w:r>
    </w:p>
    <w:p w:rsidR="00E44A40" w:rsidRDefault="00E44A40" w:rsidP="00D97EEC">
      <w:pPr>
        <w:pStyle w:val="Numbered"/>
      </w:pPr>
      <w:r w:rsidRPr="00041F71">
        <w:t xml:space="preserve">The ACCC will not publish submissions </w:t>
      </w:r>
      <w:r>
        <w:t>regarding the</w:t>
      </w:r>
      <w:r w:rsidRPr="00041F71">
        <w:t xml:space="preserve"> proposed acquisition. We will not disclose submissions to third parties</w:t>
      </w:r>
      <w:r w:rsidRPr="00E44A40">
        <w:rPr>
          <w:rStyle w:val="FootnoteReference"/>
          <w:color w:val="000000"/>
        </w:rPr>
        <w:t xml:space="preserve"> </w:t>
      </w:r>
      <w:r>
        <w:t>(except our advisors/consultants)</w:t>
      </w:r>
      <w:r w:rsidRPr="00041F71">
        <w:t xml:space="preserve"> unless compelled by law (for example, under freedom of information legislation or during court proceedings) or in accordance with s155AAA of the </w:t>
      </w:r>
      <w:r w:rsidRPr="00E44A40">
        <w:rPr>
          <w:i/>
        </w:rPr>
        <w:t>Competition and Consumer Act 2010</w:t>
      </w:r>
      <w:r w:rsidRPr="00041F71">
        <w:t xml:space="preserve">.  Where the ACCC is required to disclose confidential information, the ACCC will notify you in advance where possible so that you may have an opportunity to be heard.  </w:t>
      </w:r>
      <w:r>
        <w:t>Therefore, i</w:t>
      </w:r>
      <w:r w:rsidRPr="008F6743">
        <w:t xml:space="preserve">f the information provided to the ACCC is of a confidential nature, please indicate as such. </w:t>
      </w:r>
      <w:r w:rsidRPr="00041F71">
        <w:t xml:space="preserve">Our </w:t>
      </w:r>
      <w:hyperlink r:id="rId10" w:history="1">
        <w:r w:rsidRPr="00E44A40">
          <w:rPr>
            <w:rStyle w:val="Hyperlink"/>
            <w:i/>
          </w:rPr>
          <w:t>Informal Merger Review Process Guidelines</w:t>
        </w:r>
      </w:hyperlink>
      <w:r w:rsidRPr="00E44A40">
        <w:rPr>
          <w:i/>
        </w:rPr>
        <w:t xml:space="preserve"> </w:t>
      </w:r>
      <w:r w:rsidRPr="00041F71">
        <w:t>contain more information.</w:t>
      </w:r>
    </w:p>
    <w:p w:rsidR="000F1353" w:rsidRPr="00AD05CA" w:rsidRDefault="009E077E" w:rsidP="00A26C2D">
      <w:pPr>
        <w:pStyle w:val="Heading3"/>
      </w:pPr>
      <w:r>
        <w:t>About ACCC ‘Statements of Issues’</w:t>
      </w:r>
    </w:p>
    <w:p w:rsidR="00FB30A0" w:rsidRDefault="00FB30A0" w:rsidP="00F1213F">
      <w:pPr>
        <w:pStyle w:val="NormalParagraph"/>
      </w:pPr>
      <w:r>
        <w:t>A Statement of Issues published by the ACCC is not a final decision about a proposed acquisition, but provides the ACCC’s preliminary views, drawing attention to particular issues of varying degrees of competition concern, as well as identifying the lines of further inquiry that the ACCC wishes to undertake.</w:t>
      </w:r>
    </w:p>
    <w:p w:rsidR="00FB30A0" w:rsidRDefault="00FB30A0" w:rsidP="0012089E">
      <w:pPr>
        <w:pStyle w:val="NormalParagraph"/>
      </w:pPr>
      <w:r>
        <w:t>A Statement of Issues provides an opportunity for all interested parties (including customers, competitors, shareholders and other stakeholders) to ascertain and consider the primary issues identified by the ACCC. It is also intended to provide the merger parties and other interested parties with the basis for making further submissions should they consider it necessary.</w:t>
      </w:r>
    </w:p>
    <w:p w:rsidR="009E077E" w:rsidRPr="00DC2DCB" w:rsidRDefault="009E077E" w:rsidP="00E42148">
      <w:pPr>
        <w:pStyle w:val="Heading3"/>
      </w:pPr>
      <w:r>
        <w:lastRenderedPageBreak/>
        <w:t>Timeline</w:t>
      </w:r>
    </w:p>
    <w:tbl>
      <w:tblPr>
        <w:tblW w:w="0" w:type="auto"/>
        <w:tblInd w:w="357" w:type="dxa"/>
        <w:tblBorders>
          <w:top w:val="single" w:sz="4" w:space="0" w:color="BFBFBF"/>
          <w:bottom w:val="single" w:sz="4" w:space="0" w:color="BFBFBF"/>
        </w:tblBorders>
        <w:tblLook w:val="04A0" w:firstRow="1" w:lastRow="0" w:firstColumn="1" w:lastColumn="0" w:noHBand="0" w:noVBand="1"/>
      </w:tblPr>
      <w:tblGrid>
        <w:gridCol w:w="2851"/>
        <w:gridCol w:w="5456"/>
      </w:tblGrid>
      <w:tr w:rsidR="009E077E" w:rsidTr="00014023">
        <w:tc>
          <w:tcPr>
            <w:tcW w:w="3012" w:type="dxa"/>
            <w:tcBorders>
              <w:top w:val="single" w:sz="4" w:space="0" w:color="BFBFBF"/>
              <w:left w:val="nil"/>
              <w:bottom w:val="single" w:sz="4" w:space="0" w:color="BFBFBF"/>
              <w:right w:val="nil"/>
              <w:tl2br w:val="nil"/>
              <w:tr2bl w:val="nil"/>
            </w:tcBorders>
            <w:shd w:val="clear" w:color="auto" w:fill="auto"/>
          </w:tcPr>
          <w:p w:rsidR="009E077E" w:rsidRPr="005441C4" w:rsidRDefault="009E077E" w:rsidP="00014023">
            <w:pPr>
              <w:pStyle w:val="Numberedlist"/>
              <w:keepNext/>
              <w:numPr>
                <w:ilvl w:val="0"/>
                <w:numId w:val="0"/>
              </w:numPr>
              <w:rPr>
                <w:b/>
              </w:rPr>
            </w:pPr>
            <w:r w:rsidRPr="00014023">
              <w:rPr>
                <w:b/>
              </w:rPr>
              <w:t>Date</w:t>
            </w:r>
          </w:p>
        </w:tc>
        <w:tc>
          <w:tcPr>
            <w:tcW w:w="5873" w:type="dxa"/>
            <w:tcBorders>
              <w:top w:val="single" w:sz="4" w:space="0" w:color="BFBFBF"/>
              <w:left w:val="nil"/>
              <w:bottom w:val="single" w:sz="4" w:space="0" w:color="BFBFBF"/>
              <w:right w:val="nil"/>
              <w:tl2br w:val="nil"/>
              <w:tr2bl w:val="nil"/>
            </w:tcBorders>
            <w:shd w:val="clear" w:color="auto" w:fill="auto"/>
          </w:tcPr>
          <w:p w:rsidR="009E077E" w:rsidRPr="005441C4" w:rsidRDefault="009E077E" w:rsidP="00014023">
            <w:pPr>
              <w:pStyle w:val="Numberedlist"/>
              <w:keepNext/>
              <w:numPr>
                <w:ilvl w:val="0"/>
                <w:numId w:val="0"/>
              </w:numPr>
              <w:rPr>
                <w:b/>
              </w:rPr>
            </w:pPr>
            <w:r w:rsidRPr="00014023">
              <w:rPr>
                <w:b/>
              </w:rPr>
              <w:t>Event</w:t>
            </w:r>
          </w:p>
        </w:tc>
      </w:tr>
      <w:tr w:rsidR="009E077E" w:rsidTr="00014023">
        <w:tc>
          <w:tcPr>
            <w:tcW w:w="3012" w:type="dxa"/>
            <w:shd w:val="clear" w:color="auto" w:fill="auto"/>
          </w:tcPr>
          <w:p w:rsidR="009E077E" w:rsidRPr="00014023" w:rsidRDefault="00727337" w:rsidP="00014023">
            <w:pPr>
              <w:pStyle w:val="Numberedlist"/>
              <w:keepNext/>
              <w:numPr>
                <w:ilvl w:val="0"/>
                <w:numId w:val="0"/>
              </w:numPr>
              <w:rPr>
                <w:b/>
              </w:rPr>
            </w:pPr>
            <w:r w:rsidRPr="00014023">
              <w:rPr>
                <w:b/>
              </w:rPr>
              <w:t>21 April 2015</w:t>
            </w:r>
          </w:p>
        </w:tc>
        <w:tc>
          <w:tcPr>
            <w:tcW w:w="5873" w:type="dxa"/>
            <w:shd w:val="clear" w:color="auto" w:fill="auto"/>
          </w:tcPr>
          <w:p w:rsidR="009E077E" w:rsidRPr="005441C4" w:rsidRDefault="009E077E" w:rsidP="00014023">
            <w:pPr>
              <w:pStyle w:val="Numberedlist"/>
              <w:keepNext/>
              <w:numPr>
                <w:ilvl w:val="0"/>
                <w:numId w:val="0"/>
              </w:numPr>
            </w:pPr>
            <w:r w:rsidRPr="005441C4">
              <w:t xml:space="preserve">ACCC </w:t>
            </w:r>
            <w:r>
              <w:t xml:space="preserve">commenced </w:t>
            </w:r>
            <w:r w:rsidRPr="005441C4">
              <w:t>review of the proposed acquisition</w:t>
            </w:r>
          </w:p>
        </w:tc>
      </w:tr>
      <w:tr w:rsidR="009E077E" w:rsidTr="00014023">
        <w:tc>
          <w:tcPr>
            <w:tcW w:w="3012" w:type="dxa"/>
            <w:shd w:val="clear" w:color="auto" w:fill="auto"/>
          </w:tcPr>
          <w:p w:rsidR="009E077E" w:rsidRPr="00341233" w:rsidRDefault="00B32908" w:rsidP="00CB427C">
            <w:pPr>
              <w:pStyle w:val="Numberedlist"/>
              <w:keepNext/>
              <w:numPr>
                <w:ilvl w:val="0"/>
                <w:numId w:val="0"/>
              </w:numPr>
              <w:rPr>
                <w:b/>
              </w:rPr>
            </w:pPr>
            <w:r w:rsidRPr="00341233">
              <w:rPr>
                <w:b/>
              </w:rPr>
              <w:t>2</w:t>
            </w:r>
            <w:r w:rsidR="00CB427C" w:rsidRPr="00341233">
              <w:rPr>
                <w:b/>
              </w:rPr>
              <w:t>3</w:t>
            </w:r>
            <w:r w:rsidR="003173BA" w:rsidRPr="00341233">
              <w:rPr>
                <w:b/>
              </w:rPr>
              <w:t xml:space="preserve"> October</w:t>
            </w:r>
          </w:p>
        </w:tc>
        <w:tc>
          <w:tcPr>
            <w:tcW w:w="5873" w:type="dxa"/>
            <w:shd w:val="clear" w:color="auto" w:fill="auto"/>
          </w:tcPr>
          <w:p w:rsidR="009E077E" w:rsidRPr="005441C4" w:rsidRDefault="009E077E" w:rsidP="00014023">
            <w:pPr>
              <w:pStyle w:val="Numberedlist"/>
              <w:keepNext/>
              <w:numPr>
                <w:ilvl w:val="0"/>
                <w:numId w:val="0"/>
              </w:numPr>
            </w:pPr>
            <w:r w:rsidRPr="005441C4">
              <w:t>ACCC publication of statement of issues</w:t>
            </w:r>
          </w:p>
        </w:tc>
      </w:tr>
      <w:tr w:rsidR="009E077E" w:rsidTr="00014023">
        <w:tc>
          <w:tcPr>
            <w:tcW w:w="3012" w:type="dxa"/>
            <w:shd w:val="clear" w:color="auto" w:fill="auto"/>
          </w:tcPr>
          <w:p w:rsidR="009E077E" w:rsidRPr="00341233" w:rsidRDefault="00B32908" w:rsidP="00014023">
            <w:pPr>
              <w:pStyle w:val="Numberedlist"/>
              <w:numPr>
                <w:ilvl w:val="0"/>
                <w:numId w:val="0"/>
              </w:numPr>
              <w:rPr>
                <w:b/>
              </w:rPr>
            </w:pPr>
            <w:r w:rsidRPr="00341233">
              <w:rPr>
                <w:b/>
              </w:rPr>
              <w:t>12</w:t>
            </w:r>
            <w:r w:rsidR="003173BA" w:rsidRPr="00341233">
              <w:rPr>
                <w:b/>
              </w:rPr>
              <w:t xml:space="preserve"> November</w:t>
            </w:r>
          </w:p>
        </w:tc>
        <w:tc>
          <w:tcPr>
            <w:tcW w:w="5873" w:type="dxa"/>
            <w:shd w:val="clear" w:color="auto" w:fill="auto"/>
          </w:tcPr>
          <w:p w:rsidR="009E077E" w:rsidRPr="005441C4" w:rsidRDefault="009E077E" w:rsidP="00014023">
            <w:pPr>
              <w:pStyle w:val="Numberedlist"/>
              <w:numPr>
                <w:ilvl w:val="0"/>
                <w:numId w:val="0"/>
              </w:numPr>
            </w:pPr>
            <w:r w:rsidRPr="005441C4">
              <w:t xml:space="preserve">Deadline for submissions from interested parties in response to </w:t>
            </w:r>
            <w:r w:rsidR="009552F5">
              <w:t>this Statement of I</w:t>
            </w:r>
            <w:r w:rsidRPr="005441C4">
              <w:t>ssues</w:t>
            </w:r>
          </w:p>
        </w:tc>
      </w:tr>
      <w:tr w:rsidR="009E077E" w:rsidTr="00014023">
        <w:tc>
          <w:tcPr>
            <w:tcW w:w="3012" w:type="dxa"/>
            <w:shd w:val="clear" w:color="auto" w:fill="auto"/>
          </w:tcPr>
          <w:p w:rsidR="009E077E" w:rsidRPr="00341233" w:rsidRDefault="003173BA" w:rsidP="00014023">
            <w:pPr>
              <w:pStyle w:val="Numberedlist"/>
              <w:numPr>
                <w:ilvl w:val="0"/>
                <w:numId w:val="0"/>
              </w:numPr>
              <w:rPr>
                <w:b/>
              </w:rPr>
            </w:pPr>
            <w:r w:rsidRPr="00341233">
              <w:rPr>
                <w:b/>
              </w:rPr>
              <w:t>1</w:t>
            </w:r>
            <w:r w:rsidR="00B32908" w:rsidRPr="00341233">
              <w:rPr>
                <w:b/>
              </w:rPr>
              <w:t>7</w:t>
            </w:r>
            <w:r w:rsidRPr="00341233">
              <w:rPr>
                <w:b/>
              </w:rPr>
              <w:t xml:space="preserve"> December</w:t>
            </w:r>
          </w:p>
        </w:tc>
        <w:tc>
          <w:tcPr>
            <w:tcW w:w="5873" w:type="dxa"/>
            <w:shd w:val="clear" w:color="auto" w:fill="auto"/>
          </w:tcPr>
          <w:p w:rsidR="009E077E" w:rsidRPr="005441C4" w:rsidRDefault="009E077E">
            <w:pPr>
              <w:pStyle w:val="Numberedlist"/>
              <w:numPr>
                <w:ilvl w:val="0"/>
                <w:numId w:val="0"/>
              </w:numPr>
            </w:pPr>
            <w:r>
              <w:t xml:space="preserve">Anticipated date for </w:t>
            </w:r>
            <w:r w:rsidRPr="005441C4">
              <w:t>ACCC final decision</w:t>
            </w:r>
          </w:p>
        </w:tc>
      </w:tr>
    </w:tbl>
    <w:p w:rsidR="00FB30A0" w:rsidRDefault="00FB30A0" w:rsidP="00A26C2D">
      <w:pPr>
        <w:pStyle w:val="Heading3"/>
      </w:pPr>
      <w:r>
        <w:t xml:space="preserve">The </w:t>
      </w:r>
      <w:r w:rsidRPr="000F1353">
        <w:t>parties</w:t>
      </w:r>
    </w:p>
    <w:p w:rsidR="007E175B" w:rsidRDefault="007E175B" w:rsidP="00F1213F">
      <w:pPr>
        <w:pStyle w:val="Heading4"/>
      </w:pPr>
      <w:bookmarkStart w:id="2" w:name="Acquirer3"/>
      <w:bookmarkEnd w:id="2"/>
      <w:r>
        <w:t>Halliburton</w:t>
      </w:r>
    </w:p>
    <w:p w:rsidR="007E175B" w:rsidRDefault="00E66B0E" w:rsidP="0012089E">
      <w:pPr>
        <w:pStyle w:val="Numbered"/>
      </w:pPr>
      <w:r>
        <w:t>Listed on the New York Stock Exchange</w:t>
      </w:r>
      <w:r w:rsidR="005E41CD">
        <w:t xml:space="preserve"> (HAL)</w:t>
      </w:r>
      <w:r>
        <w:t xml:space="preserve"> and based in Houston, Texas</w:t>
      </w:r>
      <w:r w:rsidR="005E41CD">
        <w:t>, Halliburton</w:t>
      </w:r>
      <w:r>
        <w:t xml:space="preserve"> </w:t>
      </w:r>
      <w:r w:rsidR="007E175B">
        <w:t xml:space="preserve">is one of the world's largest providers of </w:t>
      </w:r>
      <w:r w:rsidR="007325C9">
        <w:t>good</w:t>
      </w:r>
      <w:r w:rsidR="007E175B">
        <w:t>s and services to the energy industry, operating in over 80 countries. It serves the upstream oil and gas industry throughout the lifecycle of a reservoir.</w:t>
      </w:r>
    </w:p>
    <w:p w:rsidR="007E175B" w:rsidRDefault="007E175B" w:rsidP="000769AD">
      <w:pPr>
        <w:pStyle w:val="Numbered"/>
      </w:pPr>
      <w:r>
        <w:t xml:space="preserve">Halliburton has been operating in Australia for over 50 years. It has facilities in every Australian state </w:t>
      </w:r>
      <w:r w:rsidR="0015473B">
        <w:t>(except Tasmania)</w:t>
      </w:r>
      <w:r w:rsidR="00461E09">
        <w:t xml:space="preserve"> and the Northern Territory</w:t>
      </w:r>
      <w:r w:rsidR="00E4500A">
        <w:t xml:space="preserve"> </w:t>
      </w:r>
      <w:r>
        <w:t xml:space="preserve">through 16 bases and offices which support onshore and offshore projects. These facilities are used to provide distribution, servicing, staging, testing and repair services. </w:t>
      </w:r>
    </w:p>
    <w:p w:rsidR="007E175B" w:rsidRDefault="007E175B">
      <w:pPr>
        <w:pStyle w:val="Numbered"/>
      </w:pPr>
      <w:r>
        <w:t>Halliburton’s calendar-year 2014 revenues from Australian operations were in excess of US$400 million</w:t>
      </w:r>
      <w:r w:rsidR="00CE16F6">
        <w:t>.</w:t>
      </w:r>
      <w:r w:rsidR="0030405C">
        <w:rPr>
          <w:rStyle w:val="FootnoteReference"/>
        </w:rPr>
        <w:footnoteReference w:id="1"/>
      </w:r>
      <w:r w:rsidR="00117E40">
        <w:t xml:space="preserve"> Halliburton’s total calendar-year 2014 revenues from its global </w:t>
      </w:r>
      <w:r w:rsidR="00E4500A">
        <w:t>operations were in excess of US$</w:t>
      </w:r>
      <w:r w:rsidR="00117E40">
        <w:t>32 billion.</w:t>
      </w:r>
      <w:r w:rsidR="00BC2FC0">
        <w:rPr>
          <w:rStyle w:val="FootnoteReference"/>
        </w:rPr>
        <w:footnoteReference w:id="2"/>
      </w:r>
      <w:r w:rsidR="00117E40">
        <w:t xml:space="preserve"> </w:t>
      </w:r>
    </w:p>
    <w:p w:rsidR="0081112E" w:rsidRPr="006640BB" w:rsidRDefault="007E175B" w:rsidP="00D97EEC">
      <w:pPr>
        <w:pStyle w:val="Heading4"/>
      </w:pPr>
      <w:r>
        <w:t>Baker Hughes</w:t>
      </w:r>
    </w:p>
    <w:p w:rsidR="007E175B" w:rsidRDefault="005E41CD" w:rsidP="00D97EEC">
      <w:pPr>
        <w:pStyle w:val="Numbered"/>
      </w:pPr>
      <w:r>
        <w:t xml:space="preserve">Also listed on the NYSE (BHI) and based in Houston, Texas, </w:t>
      </w:r>
      <w:r w:rsidR="00E66B0E">
        <w:t>Baker Hughes</w:t>
      </w:r>
      <w:r>
        <w:t xml:space="preserve"> </w:t>
      </w:r>
      <w:r w:rsidR="00E66B0E">
        <w:t xml:space="preserve">is a </w:t>
      </w:r>
      <w:r w:rsidR="007E175B">
        <w:t xml:space="preserve">large global supplier of oilfield services, products, technology and systems to the oil and natural gas industry, operating in </w:t>
      </w:r>
      <w:r w:rsidR="00BD0916">
        <w:t>over</w:t>
      </w:r>
      <w:r w:rsidR="007E175B">
        <w:t xml:space="preserve"> 80 countries. It helps customers find, evaluate, drill, produce, transport and process hydrocarbon resources. </w:t>
      </w:r>
    </w:p>
    <w:p w:rsidR="007E175B" w:rsidRDefault="007E175B">
      <w:pPr>
        <w:pStyle w:val="Numbered"/>
      </w:pPr>
      <w:r>
        <w:t>Baker Hughes has been operating in Australia for almost 50 years. It has a presence in every Australian state</w:t>
      </w:r>
      <w:r w:rsidR="00554CFA">
        <w:t xml:space="preserve"> except New South Wales and Tasmania</w:t>
      </w:r>
      <w:r>
        <w:t xml:space="preserve"> and </w:t>
      </w:r>
      <w:r w:rsidR="00554CFA">
        <w:t>has a presence in the Northern Territory.</w:t>
      </w:r>
      <w:r>
        <w:t xml:space="preserve"> For example, it owns drilling and evaluation centres in Western Australia and South Australia, operates a fleet of remote maintenance units to support remote locations, and operates chemical blending facilities in Victoria.</w:t>
      </w:r>
    </w:p>
    <w:p w:rsidR="0081112E" w:rsidRDefault="007E175B">
      <w:pPr>
        <w:pStyle w:val="Numbered"/>
      </w:pPr>
      <w:r>
        <w:t>Baker Hughes’ calendar-year 2014 revenues from Australian operations were in excess of US$300 million</w:t>
      </w:r>
      <w:r w:rsidR="00CE16F6">
        <w:t>.</w:t>
      </w:r>
      <w:r w:rsidR="0030405C">
        <w:rPr>
          <w:rStyle w:val="FootnoteReference"/>
        </w:rPr>
        <w:footnoteReference w:id="3"/>
      </w:r>
      <w:r w:rsidR="00117E40">
        <w:t xml:space="preserve"> Baker Hughes’s total calendar-year 2014 revenues from its globa</w:t>
      </w:r>
      <w:r w:rsidR="00C054BB">
        <w:t xml:space="preserve">l operations were in excess of </w:t>
      </w:r>
      <w:r w:rsidR="00117E40">
        <w:t>US</w:t>
      </w:r>
      <w:r w:rsidR="00C054BB">
        <w:t>$</w:t>
      </w:r>
      <w:r w:rsidR="00117E40">
        <w:t>24 billion.</w:t>
      </w:r>
      <w:r w:rsidR="00BC2FC0">
        <w:rPr>
          <w:rStyle w:val="FootnoteReference"/>
        </w:rPr>
        <w:footnoteReference w:id="4"/>
      </w:r>
    </w:p>
    <w:p w:rsidR="006138B1" w:rsidRDefault="006138B1" w:rsidP="006138B1">
      <w:pPr>
        <w:pStyle w:val="Heading3"/>
      </w:pPr>
      <w:r>
        <w:lastRenderedPageBreak/>
        <w:t>The proposed transaction</w:t>
      </w:r>
    </w:p>
    <w:p w:rsidR="006138B1" w:rsidRDefault="006138B1" w:rsidP="00F1213F">
      <w:pPr>
        <w:pStyle w:val="NormalParagraph"/>
      </w:pPr>
      <w:r>
        <w:t>On 16 November 2014, Halliburton agreed to acquire all of the shares in Baker Hughes, with completion then expected to occur in the second half of 2015. The global merge</w:t>
      </w:r>
      <w:r w:rsidR="007A4D31">
        <w:t>r is valued at approximately US$</w:t>
      </w:r>
      <w:r>
        <w:t xml:space="preserve">34.6 billion and is conditional on the parties obtaining regulatory approvals. </w:t>
      </w:r>
    </w:p>
    <w:p w:rsidR="006138B1" w:rsidRDefault="006138B1" w:rsidP="0012089E">
      <w:pPr>
        <w:pStyle w:val="NormalParagraph"/>
      </w:pPr>
      <w:r>
        <w:t xml:space="preserve">Halliburton </w:t>
      </w:r>
      <w:r w:rsidR="003E281E">
        <w:t xml:space="preserve">will </w:t>
      </w:r>
      <w:r>
        <w:t xml:space="preserve">pay a fee of </w:t>
      </w:r>
      <w:r w:rsidR="007A4D31">
        <w:t>US</w:t>
      </w:r>
      <w:r>
        <w:t xml:space="preserve">$3.5 billion if the transaction terminates due to a failure to obtain required antitrust approvals. </w:t>
      </w:r>
      <w:r w:rsidR="00C054BB">
        <w:t xml:space="preserve">The press release of November 2014 noted that </w:t>
      </w:r>
      <w:r>
        <w:t xml:space="preserve">Halliburton agreed to divest businesses that generate up to </w:t>
      </w:r>
      <w:r w:rsidR="007A4D31">
        <w:t>US</w:t>
      </w:r>
      <w:r>
        <w:t>$7.5 billion in revenues, if required by regulators.</w:t>
      </w:r>
      <w:r w:rsidR="006D248C">
        <w:rPr>
          <w:rStyle w:val="FootnoteReference"/>
        </w:rPr>
        <w:footnoteReference w:id="5"/>
      </w:r>
      <w:r>
        <w:t xml:space="preserve"> </w:t>
      </w:r>
    </w:p>
    <w:p w:rsidR="006138B1" w:rsidRDefault="006138B1" w:rsidP="000769AD">
      <w:pPr>
        <w:pStyle w:val="NormalParagraph"/>
      </w:pPr>
      <w:bookmarkStart w:id="3" w:name="_Ref432154776"/>
      <w:r>
        <w:t xml:space="preserve">On 7 April 2015, Halliburton announced that it </w:t>
      </w:r>
      <w:r w:rsidR="00461E09">
        <w:t xml:space="preserve">proposed to </w:t>
      </w:r>
      <w:r>
        <w:t>sell the following businesses</w:t>
      </w:r>
      <w:r w:rsidR="00CE16F6">
        <w:t>:</w:t>
      </w:r>
      <w:r w:rsidR="00D2334B">
        <w:rPr>
          <w:rStyle w:val="FootnoteReference"/>
        </w:rPr>
        <w:footnoteReference w:id="6"/>
      </w:r>
      <w:bookmarkEnd w:id="3"/>
    </w:p>
    <w:p w:rsidR="006138B1" w:rsidRDefault="006138B1" w:rsidP="00D97EEC">
      <w:pPr>
        <w:pStyle w:val="Bulletpointinpagragraph"/>
      </w:pPr>
      <w:r>
        <w:t>Fixed Cutter and Roller Cone Drill Bits</w:t>
      </w:r>
    </w:p>
    <w:p w:rsidR="006138B1" w:rsidRDefault="006138B1">
      <w:pPr>
        <w:pStyle w:val="Bulletpointinpagragraph"/>
      </w:pPr>
      <w:r>
        <w:t xml:space="preserve">Directional Drilling, and </w:t>
      </w:r>
    </w:p>
    <w:p w:rsidR="006138B1" w:rsidRDefault="006138B1">
      <w:pPr>
        <w:pStyle w:val="Bulletpointinpagragraph"/>
      </w:pPr>
      <w:r>
        <w:t>Logging-While-Drilling (</w:t>
      </w:r>
      <w:r w:rsidRPr="00CB427C">
        <w:rPr>
          <w:b/>
        </w:rPr>
        <w:t>LWD</w:t>
      </w:r>
      <w:r>
        <w:t>) / Measurement-While-Drilling (</w:t>
      </w:r>
      <w:r w:rsidRPr="00CB427C">
        <w:rPr>
          <w:b/>
        </w:rPr>
        <w:t>MWD</w:t>
      </w:r>
      <w:r>
        <w:t>).</w:t>
      </w:r>
    </w:p>
    <w:p w:rsidR="00DF5D9E" w:rsidRDefault="00C054BB" w:rsidP="00D97EEC">
      <w:pPr>
        <w:pStyle w:val="NormalParagraph"/>
      </w:pPr>
      <w:bookmarkStart w:id="4" w:name="_Ref432154791"/>
      <w:r>
        <w:t>Subsequently o</w:t>
      </w:r>
      <w:r w:rsidR="006138B1">
        <w:t xml:space="preserve">n </w:t>
      </w:r>
      <w:r w:rsidR="00DF5D9E">
        <w:t xml:space="preserve">28 September 2015, Halliburton and Baker Hughes announced they </w:t>
      </w:r>
      <w:r w:rsidR="00461E09">
        <w:t xml:space="preserve">proposed to </w:t>
      </w:r>
      <w:r w:rsidR="00DF5D9E">
        <w:t>also separately sell further businesses</w:t>
      </w:r>
      <w:r w:rsidR="00CE16F6">
        <w:t>:</w:t>
      </w:r>
      <w:r w:rsidR="00D2334B">
        <w:rPr>
          <w:rStyle w:val="FootnoteReference"/>
        </w:rPr>
        <w:footnoteReference w:id="7"/>
      </w:r>
      <w:bookmarkEnd w:id="4"/>
    </w:p>
    <w:p w:rsidR="00DF5D9E" w:rsidRDefault="00DF5D9E" w:rsidP="00D97EEC">
      <w:pPr>
        <w:pStyle w:val="Bulletpointinpagragraph"/>
      </w:pPr>
      <w:r>
        <w:t>Halliburton’s expandable liner hangers business, which is part of the company’s Completion and Production Division</w:t>
      </w:r>
    </w:p>
    <w:p w:rsidR="00DF5D9E" w:rsidRDefault="00DF5D9E">
      <w:pPr>
        <w:pStyle w:val="Bulletpointinpagragraph"/>
      </w:pPr>
      <w:r>
        <w:t>Baker Hughes’ core completions business, which includes: packers</w:t>
      </w:r>
      <w:r w:rsidR="003B6A91">
        <w:t>,</w:t>
      </w:r>
      <w:r>
        <w:t xml:space="preserve"> flow control tools</w:t>
      </w:r>
      <w:r w:rsidR="003B6A91">
        <w:t>,</w:t>
      </w:r>
      <w:r>
        <w:t xml:space="preserve"> subsurface safety systems</w:t>
      </w:r>
      <w:r w:rsidR="003B6A91">
        <w:t>,</w:t>
      </w:r>
      <w:r>
        <w:t xml:space="preserve"> intelligent well systems</w:t>
      </w:r>
      <w:r w:rsidR="003B6A91">
        <w:t>,</w:t>
      </w:r>
      <w:r>
        <w:t xml:space="preserve"> permanent monitoring</w:t>
      </w:r>
      <w:r w:rsidR="003B6A91">
        <w:t>,</w:t>
      </w:r>
      <w:r>
        <w:t xml:space="preserve"> sand control tools and sand control screens</w:t>
      </w:r>
    </w:p>
    <w:p w:rsidR="00DF5D9E" w:rsidRDefault="00DF5D9E">
      <w:pPr>
        <w:pStyle w:val="Bulletpointinpagragraph"/>
      </w:pPr>
      <w:r>
        <w:t>Baker Hughes sand control business in the Gulf of Mexico, including two pressure pumping vessels</w:t>
      </w:r>
    </w:p>
    <w:p w:rsidR="00DF5D9E" w:rsidRDefault="00DF5D9E">
      <w:pPr>
        <w:pStyle w:val="Bulletpointinpagragraph"/>
      </w:pPr>
      <w:r>
        <w:t xml:space="preserve">Baker Hughes offshore cementing businesses in Australia, Brazil, the Gulf of Mexico, Norway and the United Kingdom. </w:t>
      </w:r>
    </w:p>
    <w:p w:rsidR="00492A28" w:rsidRDefault="00BC35A8" w:rsidP="00D97EEC">
      <w:pPr>
        <w:pStyle w:val="NormalParagraph"/>
      </w:pPr>
      <w:r>
        <w:t>The ACCC has not had any engagement with the merger parties about whether divestitures are necessary or whether the divestitures proposed would remedy any competition concerns</w:t>
      </w:r>
      <w:r w:rsidR="00D63B8A">
        <w:t>, whether pursuant to a court enforceable undertaking or otherwise</w:t>
      </w:r>
      <w:r>
        <w:t xml:space="preserve">. </w:t>
      </w:r>
      <w:r w:rsidR="00D63B8A">
        <w:t>The ACCC further understands, as stated in the merger parties’ 28 September 2015 announcement, that there is no agreement with any other competition authority as to the adequacy of the proposed divestitures.</w:t>
      </w:r>
    </w:p>
    <w:p w:rsidR="006138B1" w:rsidRDefault="006138B1" w:rsidP="00A8691E">
      <w:pPr>
        <w:pStyle w:val="Heading4"/>
      </w:pPr>
      <w:r>
        <w:lastRenderedPageBreak/>
        <w:t>Review by other competition agencies</w:t>
      </w:r>
    </w:p>
    <w:p w:rsidR="006138B1" w:rsidRDefault="006138B1" w:rsidP="00A8691E">
      <w:pPr>
        <w:pStyle w:val="NormalParagraph"/>
      </w:pPr>
      <w:r>
        <w:t xml:space="preserve">The proposed acquisition is </w:t>
      </w:r>
      <w:r w:rsidR="009646FB">
        <w:t xml:space="preserve">currently </w:t>
      </w:r>
      <w:r>
        <w:t xml:space="preserve">being considered by competition authorities in a number of jurisdictions, including </w:t>
      </w:r>
      <w:r w:rsidR="007A4D31">
        <w:t>in the US, the European Union,</w:t>
      </w:r>
      <w:r>
        <w:t xml:space="preserve"> India and China. </w:t>
      </w:r>
    </w:p>
    <w:p w:rsidR="0081112E" w:rsidRDefault="0081112E" w:rsidP="004B1DAE">
      <w:pPr>
        <w:pStyle w:val="Heading3"/>
      </w:pPr>
      <w:r>
        <w:t xml:space="preserve">Other </w:t>
      </w:r>
      <w:r w:rsidR="00117E40">
        <w:t>relevant companies</w:t>
      </w:r>
    </w:p>
    <w:p w:rsidR="007E175B" w:rsidRDefault="00117E40" w:rsidP="00F1213F">
      <w:pPr>
        <w:pStyle w:val="Heading4"/>
      </w:pPr>
      <w:r>
        <w:t xml:space="preserve">Oilfield services providers </w:t>
      </w:r>
    </w:p>
    <w:p w:rsidR="007E175B" w:rsidRDefault="002C41BC" w:rsidP="0012089E">
      <w:pPr>
        <w:pStyle w:val="Numbered"/>
      </w:pPr>
      <w:r>
        <w:t xml:space="preserve">The oilfield services industry is a global one with a </w:t>
      </w:r>
      <w:r w:rsidR="009646FB">
        <w:t>large</w:t>
      </w:r>
      <w:r>
        <w:t xml:space="preserve"> range of suppliers from large global companies</w:t>
      </w:r>
      <w:r w:rsidR="007A4D31">
        <w:t xml:space="preserve"> (in revenue and product terms)</w:t>
      </w:r>
      <w:r>
        <w:t xml:space="preserve">, such as the merger parties, to </w:t>
      </w:r>
      <w:r w:rsidR="00BA26AA">
        <w:t>more specialised</w:t>
      </w:r>
      <w:r>
        <w:t xml:space="preserve"> competitors. This section discusses briefly a few relevant competitors to the merger parties in Australia. </w:t>
      </w:r>
    </w:p>
    <w:p w:rsidR="00117E40" w:rsidRDefault="00117E40" w:rsidP="000769AD">
      <w:pPr>
        <w:pStyle w:val="Heading5"/>
      </w:pPr>
      <w:r>
        <w:t>Schlumberger</w:t>
      </w:r>
    </w:p>
    <w:p w:rsidR="00285AB2" w:rsidRDefault="00285AB2" w:rsidP="00A8691E">
      <w:pPr>
        <w:pStyle w:val="Numbered"/>
      </w:pPr>
      <w:r>
        <w:t xml:space="preserve">Schlumberger is the largest supplier globally of </w:t>
      </w:r>
      <w:r w:rsidR="00A83193">
        <w:t>good</w:t>
      </w:r>
      <w:r w:rsidR="006D248C">
        <w:t>s and services</w:t>
      </w:r>
      <w:r>
        <w:t xml:space="preserve"> to the international oil and gas exploration and production industry. The company has over 80 years’ experience in the industry and employs approximately 108,000 people in more than 85 countries.</w:t>
      </w:r>
      <w:r w:rsidR="007C3515">
        <w:rPr>
          <w:rStyle w:val="FootnoteReference"/>
        </w:rPr>
        <w:footnoteReference w:id="8"/>
      </w:r>
      <w:r>
        <w:t xml:space="preserve"> </w:t>
      </w:r>
    </w:p>
    <w:p w:rsidR="00285AB2" w:rsidRDefault="00285AB2">
      <w:pPr>
        <w:pStyle w:val="Numbered"/>
      </w:pPr>
      <w:r>
        <w:t xml:space="preserve">Schlumberger supplies a wide range of </w:t>
      </w:r>
      <w:r w:rsidR="00A83193">
        <w:t>good</w:t>
      </w:r>
      <w:r>
        <w:t xml:space="preserve">s and services in competition with the merger parties both globally and in Australia. The company’s Australian operations are headquartered in Perth. </w:t>
      </w:r>
    </w:p>
    <w:p w:rsidR="00117E40" w:rsidRDefault="00285AB2">
      <w:pPr>
        <w:pStyle w:val="Numbered"/>
      </w:pPr>
      <w:r>
        <w:t xml:space="preserve">In 2014, Schlumberger’s global revenue was over </w:t>
      </w:r>
      <w:r w:rsidR="00E4500A">
        <w:t>US</w:t>
      </w:r>
      <w:r>
        <w:t>$48 billion</w:t>
      </w:r>
      <w:r w:rsidR="00117E40">
        <w:t>.</w:t>
      </w:r>
      <w:r w:rsidR="007C3515">
        <w:rPr>
          <w:rStyle w:val="FootnoteReference"/>
        </w:rPr>
        <w:footnoteReference w:id="9"/>
      </w:r>
      <w:r w:rsidR="00545BD5">
        <w:t xml:space="preserve"> </w:t>
      </w:r>
    </w:p>
    <w:p w:rsidR="00117E40" w:rsidRDefault="00117E40" w:rsidP="00D97EEC">
      <w:pPr>
        <w:pStyle w:val="Heading5"/>
      </w:pPr>
      <w:r>
        <w:t xml:space="preserve">Weatherford </w:t>
      </w:r>
      <w:r w:rsidR="007C3515">
        <w:t>International Ltd (</w:t>
      </w:r>
      <w:r w:rsidR="007C3515" w:rsidRPr="007C3515">
        <w:rPr>
          <w:b/>
        </w:rPr>
        <w:t>Weatherford</w:t>
      </w:r>
      <w:r w:rsidR="007C3515">
        <w:t>)</w:t>
      </w:r>
    </w:p>
    <w:p w:rsidR="007C3515" w:rsidRDefault="007C3515" w:rsidP="00D97EEC">
      <w:pPr>
        <w:pStyle w:val="Numbered"/>
      </w:pPr>
      <w:r>
        <w:t>Weatherford is a global provider of equipment and services used in the drilling, evaluation, completion, production and intervention of oil and gas wells. Based in Houston, Texas, Weatherford employs over 55,000 people across 100 countries.</w:t>
      </w:r>
      <w:r>
        <w:rPr>
          <w:rStyle w:val="FootnoteReference"/>
        </w:rPr>
        <w:footnoteReference w:id="10"/>
      </w:r>
      <w:r>
        <w:t xml:space="preserve"> </w:t>
      </w:r>
      <w:r w:rsidR="003173BA">
        <w:t xml:space="preserve">In Australia, Weatherford has facilities in Perth and Brisbane. </w:t>
      </w:r>
    </w:p>
    <w:p w:rsidR="00117E40" w:rsidRDefault="005A32F4">
      <w:pPr>
        <w:pStyle w:val="Numbered"/>
      </w:pPr>
      <w:r>
        <w:t xml:space="preserve">Weatherford had </w:t>
      </w:r>
      <w:r w:rsidR="00A5625A">
        <w:t xml:space="preserve">global </w:t>
      </w:r>
      <w:r>
        <w:t xml:space="preserve">revenues in 2014 of over </w:t>
      </w:r>
      <w:r w:rsidR="00E4500A">
        <w:t>US</w:t>
      </w:r>
      <w:r>
        <w:t>$14 billion</w:t>
      </w:r>
      <w:r w:rsidR="00117E40">
        <w:t>.</w:t>
      </w:r>
      <w:r>
        <w:rPr>
          <w:rStyle w:val="FootnoteReference"/>
        </w:rPr>
        <w:footnoteReference w:id="11"/>
      </w:r>
      <w:r>
        <w:t xml:space="preserve">  </w:t>
      </w:r>
    </w:p>
    <w:p w:rsidR="00117E40" w:rsidRDefault="00117E40" w:rsidP="00A8691E">
      <w:pPr>
        <w:pStyle w:val="Heading5"/>
      </w:pPr>
      <w:r>
        <w:t>Other</w:t>
      </w:r>
    </w:p>
    <w:p w:rsidR="00A5625A" w:rsidRDefault="00A5625A" w:rsidP="00A8691E">
      <w:pPr>
        <w:pStyle w:val="Numbered"/>
      </w:pPr>
      <w:r>
        <w:t xml:space="preserve">Other large global oilfield services providers operating in Australia include the following. </w:t>
      </w:r>
    </w:p>
    <w:p w:rsidR="00A5625A" w:rsidRDefault="00A5625A" w:rsidP="00A8691E">
      <w:pPr>
        <w:pStyle w:val="Bulletpointinpagragraph"/>
      </w:pPr>
      <w:r>
        <w:t>National Oilwell Varco (</w:t>
      </w:r>
      <w:r w:rsidRPr="00CC14D8">
        <w:rPr>
          <w:b/>
        </w:rPr>
        <w:t>NOV</w:t>
      </w:r>
      <w:r w:rsidR="001B11C7">
        <w:t>) is a Houston, Texas</w:t>
      </w:r>
      <w:r>
        <w:t xml:space="preserve"> based company operating in three product segments: rig systems, wellbore technologies and completion and production solutions.</w:t>
      </w:r>
      <w:r w:rsidR="00DE72D1">
        <w:rPr>
          <w:rStyle w:val="FootnoteReference"/>
        </w:rPr>
        <w:footnoteReference w:id="12"/>
      </w:r>
      <w:r>
        <w:t xml:space="preserve"> NOV had global revenues of US$21 billion in 2014</w:t>
      </w:r>
      <w:r w:rsidR="00117E40">
        <w:t>.</w:t>
      </w:r>
      <w:r>
        <w:rPr>
          <w:rStyle w:val="FootnoteReference"/>
        </w:rPr>
        <w:footnoteReference w:id="13"/>
      </w:r>
    </w:p>
    <w:p w:rsidR="00A5625A" w:rsidRDefault="00A5625A">
      <w:pPr>
        <w:pStyle w:val="Bulletpointinpagragraph"/>
      </w:pPr>
      <w:r>
        <w:lastRenderedPageBreak/>
        <w:t xml:space="preserve">GE Oil &amp; Gas forms part of the </w:t>
      </w:r>
      <w:r w:rsidR="00554CFA">
        <w:t>G</w:t>
      </w:r>
      <w:r>
        <w:t>eneral Electric Company, an American multinational conglomerate based in Fairfield, Connecticut. GE Oil and Gas operates across exploration and production</w:t>
      </w:r>
      <w:r w:rsidR="007A4D31">
        <w:t xml:space="preserve"> and extends</w:t>
      </w:r>
      <w:r>
        <w:t xml:space="preserve"> to downstream activities. In 2014, GE Oil and Gas had global revenues of over US$18 billion and approximately 45,000 employees worldwide.</w:t>
      </w:r>
      <w:r w:rsidR="00DE72D1">
        <w:rPr>
          <w:rStyle w:val="FootnoteReference"/>
        </w:rPr>
        <w:footnoteReference w:id="14"/>
      </w:r>
    </w:p>
    <w:p w:rsidR="00A5625A" w:rsidRDefault="00A5625A">
      <w:pPr>
        <w:pStyle w:val="Bulletpointinpagragraph"/>
      </w:pPr>
      <w:r>
        <w:t>Superior Energy Services</w:t>
      </w:r>
      <w:r w:rsidR="00E4500A">
        <w:t xml:space="preserve"> (</w:t>
      </w:r>
      <w:r w:rsidR="00E4500A" w:rsidRPr="00E4500A">
        <w:rPr>
          <w:b/>
        </w:rPr>
        <w:t>Superior</w:t>
      </w:r>
      <w:r w:rsidR="00E4500A">
        <w:t>)</w:t>
      </w:r>
      <w:r>
        <w:t xml:space="preserve"> is a specialised oilfield services and equipment company.. Superior had global revenues of over US$4</w:t>
      </w:r>
      <w:r w:rsidR="00554CFA">
        <w:t>.</w:t>
      </w:r>
      <w:r>
        <w:t>5 billion in 201</w:t>
      </w:r>
      <w:r w:rsidR="00997EC5">
        <w:t>4</w:t>
      </w:r>
      <w:r>
        <w:t xml:space="preserve"> and has </w:t>
      </w:r>
      <w:r w:rsidR="00997EC5">
        <w:t xml:space="preserve">over </w:t>
      </w:r>
      <w:r>
        <w:t>14,000 employees worldwide.</w:t>
      </w:r>
      <w:r w:rsidR="00DE72D1">
        <w:rPr>
          <w:rStyle w:val="FootnoteReference"/>
        </w:rPr>
        <w:footnoteReference w:id="15"/>
      </w:r>
      <w:r>
        <w:t xml:space="preserve"> </w:t>
      </w:r>
    </w:p>
    <w:p w:rsidR="00117E40" w:rsidRDefault="00CC14D8">
      <w:pPr>
        <w:pStyle w:val="Bulletpointinpagragraph"/>
      </w:pPr>
      <w:proofErr w:type="spellStart"/>
      <w:r>
        <w:t>Trican</w:t>
      </w:r>
      <w:proofErr w:type="spellEnd"/>
      <w:r>
        <w:t xml:space="preserve"> Well Services</w:t>
      </w:r>
      <w:r w:rsidR="00E4500A">
        <w:t xml:space="preserve"> (</w:t>
      </w:r>
      <w:proofErr w:type="spellStart"/>
      <w:r w:rsidR="00E4500A" w:rsidRPr="00E4500A">
        <w:rPr>
          <w:b/>
        </w:rPr>
        <w:t>Trican</w:t>
      </w:r>
      <w:proofErr w:type="spellEnd"/>
      <w:r w:rsidR="00E4500A">
        <w:t>)</w:t>
      </w:r>
      <w:r>
        <w:t xml:space="preserve"> is a global oilfield services company </w:t>
      </w:r>
      <w:r w:rsidR="005F24A3">
        <w:t xml:space="preserve">with a focus on </w:t>
      </w:r>
      <w:r>
        <w:t>pressure pumping services</w:t>
      </w:r>
      <w:r w:rsidR="005F24A3">
        <w:t xml:space="preserve"> but also offering other services including completion tools</w:t>
      </w:r>
      <w:r>
        <w:t xml:space="preserve">. </w:t>
      </w:r>
      <w:proofErr w:type="spellStart"/>
      <w:r>
        <w:t>Trican</w:t>
      </w:r>
      <w:proofErr w:type="spellEnd"/>
      <w:r w:rsidR="00437CD2">
        <w:t xml:space="preserve"> earned global revenues of C$2.7 billion in 2014</w:t>
      </w:r>
      <w:r>
        <w:t>.</w:t>
      </w:r>
      <w:r>
        <w:rPr>
          <w:rStyle w:val="FootnoteReference"/>
        </w:rPr>
        <w:footnoteReference w:id="16"/>
      </w:r>
      <w:r>
        <w:t xml:space="preserve">  </w:t>
      </w:r>
      <w:r w:rsidR="00A5625A">
        <w:t xml:space="preserve">    </w:t>
      </w:r>
    </w:p>
    <w:p w:rsidR="007E175B" w:rsidRDefault="00117E40" w:rsidP="00D97EEC">
      <w:pPr>
        <w:pStyle w:val="Heading4"/>
      </w:pPr>
      <w:r>
        <w:t>Customers</w:t>
      </w:r>
    </w:p>
    <w:p w:rsidR="002C584A" w:rsidRDefault="005F24A3" w:rsidP="00D97EEC">
      <w:pPr>
        <w:pStyle w:val="Numbered"/>
      </w:pPr>
      <w:r>
        <w:t xml:space="preserve">The merger parties typically provide their </w:t>
      </w:r>
      <w:r w:rsidR="00A83193">
        <w:t>good</w:t>
      </w:r>
      <w:r>
        <w:t xml:space="preserve">s and services to oil and gas </w:t>
      </w:r>
      <w:r w:rsidR="00C201F2" w:rsidRPr="00CB427C">
        <w:t>E&amp;Ps</w:t>
      </w:r>
      <w:r>
        <w:t xml:space="preserve">. As with oilfield services providers, oil and gas </w:t>
      </w:r>
      <w:r w:rsidR="00CE16F6" w:rsidRPr="0043716F">
        <w:t>E&amp;Ps</w:t>
      </w:r>
      <w:r w:rsidR="00CE16F6">
        <w:t xml:space="preserve"> </w:t>
      </w:r>
      <w:r>
        <w:t xml:space="preserve">range in size from large multi-nationals to </w:t>
      </w:r>
      <w:r w:rsidR="00BA26AA">
        <w:t>more specialised</w:t>
      </w:r>
      <w:r>
        <w:t xml:space="preserve"> </w:t>
      </w:r>
      <w:r w:rsidR="00CE16F6">
        <w:t>companies</w:t>
      </w:r>
      <w:r>
        <w:t xml:space="preserve">. </w:t>
      </w:r>
    </w:p>
    <w:p w:rsidR="007E175B" w:rsidRDefault="005F24A3">
      <w:pPr>
        <w:pStyle w:val="Numbered"/>
      </w:pPr>
      <w:r>
        <w:t xml:space="preserve">Large multi-national E&amp;Ps operating in Australia include Royal Dutch Shell, ConocoPhillips, Sinopec, </w:t>
      </w:r>
      <w:proofErr w:type="spellStart"/>
      <w:r>
        <w:t>PetroChina</w:t>
      </w:r>
      <w:proofErr w:type="spellEnd"/>
      <w:r>
        <w:t>, ExxonMo</w:t>
      </w:r>
      <w:r w:rsidR="00DE72D1">
        <w:t xml:space="preserve">bil, Chevron, BP and BG Group. </w:t>
      </w:r>
      <w:r>
        <w:t>Large Australian-bas</w:t>
      </w:r>
      <w:r w:rsidR="007A4D31">
        <w:t>ed E&amp;Ps include Woodside, Quadrant Energy</w:t>
      </w:r>
      <w:r w:rsidR="00DE72D1">
        <w:t xml:space="preserve">, Santos, Origin and BHP. There are also </w:t>
      </w:r>
      <w:r w:rsidR="005E41CD">
        <w:t>local</w:t>
      </w:r>
      <w:r w:rsidR="00DE72D1">
        <w:t xml:space="preserve"> E&amp;Ps operating around Australia, such as Be</w:t>
      </w:r>
      <w:r w:rsidR="00907E11">
        <w:t xml:space="preserve">ach Energy and </w:t>
      </w:r>
      <w:proofErr w:type="spellStart"/>
      <w:r w:rsidR="00907E11">
        <w:t>Senex</w:t>
      </w:r>
      <w:proofErr w:type="spellEnd"/>
      <w:r w:rsidR="00DE72D1">
        <w:t xml:space="preserve">.   </w:t>
      </w:r>
    </w:p>
    <w:p w:rsidR="009E077E" w:rsidRDefault="00346285" w:rsidP="00A26C2D">
      <w:pPr>
        <w:pStyle w:val="Heading3"/>
      </w:pPr>
      <w:r>
        <w:t>I</w:t>
      </w:r>
      <w:r w:rsidR="009E077E">
        <w:t>ndustry</w:t>
      </w:r>
      <w:r>
        <w:t xml:space="preserve"> background</w:t>
      </w:r>
    </w:p>
    <w:p w:rsidR="00AF2B0E" w:rsidRPr="00AF2B0E" w:rsidRDefault="00AF2B0E" w:rsidP="00F1213F">
      <w:pPr>
        <w:pStyle w:val="Heading5"/>
      </w:pPr>
      <w:r w:rsidRPr="00AF2B0E">
        <w:t>Oil and gas industr</w:t>
      </w:r>
      <w:r w:rsidR="003F51F8">
        <w:t>ies</w:t>
      </w:r>
      <w:r w:rsidRPr="00AF2B0E">
        <w:t xml:space="preserve"> in Australia</w:t>
      </w:r>
    </w:p>
    <w:p w:rsidR="00AF2B0E" w:rsidRPr="00AF2B0E" w:rsidRDefault="00550254" w:rsidP="0012089E">
      <w:pPr>
        <w:pStyle w:val="Numbered"/>
      </w:pPr>
      <w:r>
        <w:t>There are oil and gas drilling projects</w:t>
      </w:r>
      <w:r w:rsidR="00AF2B0E" w:rsidRPr="00AF2B0E">
        <w:t xml:space="preserve"> across large parts of Australia</w:t>
      </w:r>
      <w:r>
        <w:t xml:space="preserve"> and</w:t>
      </w:r>
      <w:r w:rsidR="00AF2B0E" w:rsidRPr="00AF2B0E">
        <w:t xml:space="preserve"> in </w:t>
      </w:r>
      <w:r>
        <w:t xml:space="preserve">diverse </w:t>
      </w:r>
      <w:r w:rsidR="00AF2B0E" w:rsidRPr="00AF2B0E">
        <w:t xml:space="preserve">locations </w:t>
      </w:r>
      <w:r w:rsidR="007A4D31">
        <w:t>including offshore Western Australia, and</w:t>
      </w:r>
      <w:r w:rsidR="00AF2B0E" w:rsidRPr="00AF2B0E">
        <w:t xml:space="preserve"> onshore in the Cooper Basin in central Australia. </w:t>
      </w:r>
      <w:r w:rsidR="007A4D31">
        <w:t xml:space="preserve">Gas resources are more significant than oil resources in Australia. </w:t>
      </w:r>
    </w:p>
    <w:p w:rsidR="00AF2B0E" w:rsidRPr="00AF2B0E" w:rsidRDefault="00AF2B0E" w:rsidP="0012089E">
      <w:pPr>
        <w:pStyle w:val="Numbered"/>
      </w:pPr>
      <w:r w:rsidRPr="00AF2B0E">
        <w:t>Offshore oil and gas wells can be drilled in a variety of environments, from deep water to shelf. Onshore wells can similarly be drilled in a range of environments</w:t>
      </w:r>
      <w:r w:rsidR="00CE16F6">
        <w:t>; for example</w:t>
      </w:r>
      <w:r w:rsidRPr="00AF2B0E">
        <w:t xml:space="preserve"> shallow coal seam gas (</w:t>
      </w:r>
      <w:r w:rsidRPr="001D5A02">
        <w:rPr>
          <w:b/>
        </w:rPr>
        <w:t>CSG</w:t>
      </w:r>
      <w:r w:rsidRPr="00AF2B0E">
        <w:t xml:space="preserve">) wells, </w:t>
      </w:r>
      <w:r w:rsidR="00550254">
        <w:t>d</w:t>
      </w:r>
      <w:r w:rsidRPr="00AF2B0E">
        <w:t>eeper tight gas</w:t>
      </w:r>
      <w:r w:rsidR="00550254">
        <w:t>,</w:t>
      </w:r>
      <w:r w:rsidRPr="00AF2B0E">
        <w:t xml:space="preserve"> or conventional oil and gas wells.</w:t>
      </w:r>
    </w:p>
    <w:p w:rsidR="00550254" w:rsidRDefault="00AF2B0E" w:rsidP="000769AD">
      <w:pPr>
        <w:pStyle w:val="Numbered"/>
      </w:pPr>
      <w:r w:rsidRPr="00AF2B0E">
        <w:t>The gas industry</w:t>
      </w:r>
      <w:r w:rsidR="005E41CD">
        <w:t xml:space="preserve"> in Australia</w:t>
      </w:r>
      <w:r w:rsidRPr="00AF2B0E">
        <w:t xml:space="preserve"> has seen significant expansion over the past 10</w:t>
      </w:r>
      <w:r w:rsidR="00CE16F6">
        <w:t>–</w:t>
      </w:r>
      <w:r w:rsidRPr="00AF2B0E">
        <w:t>15 years. In that period, new liquefied natural gas (</w:t>
      </w:r>
      <w:r w:rsidRPr="00AF2B0E">
        <w:rPr>
          <w:b/>
        </w:rPr>
        <w:t>LNG</w:t>
      </w:r>
      <w:r w:rsidRPr="00AF2B0E">
        <w:t>) plants have been constructed</w:t>
      </w:r>
      <w:r w:rsidR="00907E11">
        <w:t>, or are being constructed,</w:t>
      </w:r>
      <w:r w:rsidRPr="00AF2B0E">
        <w:t xml:space="preserve"> on </w:t>
      </w:r>
      <w:r w:rsidR="00907E11">
        <w:t xml:space="preserve">both </w:t>
      </w:r>
      <w:r w:rsidRPr="00AF2B0E">
        <w:t>the east and west coasts. In Queensland, one LNG project recently began</w:t>
      </w:r>
      <w:r w:rsidR="008E0EC0">
        <w:t xml:space="preserve"> full</w:t>
      </w:r>
      <w:r w:rsidRPr="00AF2B0E">
        <w:t xml:space="preserve"> production while another two are nearing completion. On the west coast, the North West Shelf, Darwin and Pluto LNG facilities have been producing for some time while another four facilities (Gorgon, Prelude, Wheatstone and </w:t>
      </w:r>
      <w:proofErr w:type="spellStart"/>
      <w:r w:rsidRPr="00AF2B0E">
        <w:t>Ichthys</w:t>
      </w:r>
      <w:proofErr w:type="spellEnd"/>
      <w:r w:rsidRPr="00AF2B0E">
        <w:t>) are under construction.</w:t>
      </w:r>
    </w:p>
    <w:p w:rsidR="00D257A4" w:rsidRDefault="00D257A4">
      <w:pPr>
        <w:pStyle w:val="Numbered"/>
      </w:pPr>
      <w:r>
        <w:lastRenderedPageBreak/>
        <w:t>Howeve</w:t>
      </w:r>
      <w:r w:rsidR="008E0EC0">
        <w:t>r, over the past 12 months, the prices of oil and gas have declined significantly</w:t>
      </w:r>
      <w:r>
        <w:t xml:space="preserve">. </w:t>
      </w:r>
      <w:r w:rsidR="008E0EC0">
        <w:t xml:space="preserve">The ACCC understands that </w:t>
      </w:r>
      <w:r>
        <w:t>E&amp;Ps</w:t>
      </w:r>
      <w:r w:rsidR="008E0EC0">
        <w:t xml:space="preserve"> in Australia</w:t>
      </w:r>
      <w:r>
        <w:t xml:space="preserve"> have significantly reduced thei</w:t>
      </w:r>
      <w:r w:rsidR="008E0EC0">
        <w:t>r drilling activity as a consequence</w:t>
      </w:r>
      <w:r>
        <w:t>.</w:t>
      </w:r>
      <w:r w:rsidR="008E0EC0">
        <w:t xml:space="preserve"> </w:t>
      </w:r>
      <w:r>
        <w:t xml:space="preserve"> </w:t>
      </w:r>
    </w:p>
    <w:p w:rsidR="00AF2B0E" w:rsidRPr="00AF2B0E" w:rsidRDefault="00AF2B0E" w:rsidP="00D97EEC">
      <w:pPr>
        <w:pStyle w:val="Heading5"/>
      </w:pPr>
      <w:r w:rsidRPr="00AF2B0E">
        <w:t>Oilfield services</w:t>
      </w:r>
    </w:p>
    <w:p w:rsidR="00AF2B0E" w:rsidRPr="00AF2B0E" w:rsidRDefault="00AF2B0E" w:rsidP="00D97EEC">
      <w:pPr>
        <w:pStyle w:val="Numbered"/>
      </w:pPr>
      <w:r w:rsidRPr="00AF2B0E">
        <w:t xml:space="preserve">Oilfield services companies provide services to the oil and gas industries but do not typically produce oil or gas themselves. </w:t>
      </w:r>
    </w:p>
    <w:p w:rsidR="00AF2B0E" w:rsidRPr="00AF2B0E" w:rsidRDefault="00BA26AA">
      <w:pPr>
        <w:pStyle w:val="Numbered"/>
      </w:pPr>
      <w:r w:rsidRPr="00907E11">
        <w:t>E&amp;Ps</w:t>
      </w:r>
      <w:r w:rsidR="00AF2B0E" w:rsidRPr="00AF2B0E">
        <w:t xml:space="preserve"> acquire oilfield services to allow them to explore new areas for future production and bring </w:t>
      </w:r>
      <w:r w:rsidR="00550254">
        <w:t>wells</w:t>
      </w:r>
      <w:r w:rsidR="00AF2B0E" w:rsidRPr="00AF2B0E">
        <w:t xml:space="preserve"> to production.   </w:t>
      </w:r>
    </w:p>
    <w:p w:rsidR="00AF2B0E" w:rsidRPr="00AF2B0E" w:rsidRDefault="00AF2B0E">
      <w:pPr>
        <w:pStyle w:val="Numbered"/>
      </w:pPr>
      <w:r w:rsidRPr="00AF2B0E">
        <w:t xml:space="preserve">The </w:t>
      </w:r>
      <w:r w:rsidR="00A83193">
        <w:t>good</w:t>
      </w:r>
      <w:r w:rsidRPr="00AF2B0E">
        <w:t xml:space="preserve">s and services offered by both Halliburton and Baker Hughes are structured around the two key phases in the lifecycle of </w:t>
      </w:r>
      <w:r w:rsidR="00550254">
        <w:t>a</w:t>
      </w:r>
      <w:r w:rsidRPr="00AF2B0E">
        <w:t xml:space="preserve"> well:</w:t>
      </w:r>
    </w:p>
    <w:p w:rsidR="00AF2B0E" w:rsidRPr="00AF2B0E" w:rsidRDefault="00AF2B0E" w:rsidP="00D97EEC">
      <w:pPr>
        <w:pStyle w:val="Bulletpointinpagragraph"/>
      </w:pPr>
      <w:r w:rsidRPr="00AF2B0E">
        <w:t>Drilling and Evaluation (</w:t>
      </w:r>
      <w:r w:rsidRPr="00CB427C">
        <w:rPr>
          <w:b/>
        </w:rPr>
        <w:t>D&amp;E</w:t>
      </w:r>
      <w:r w:rsidRPr="00AF2B0E">
        <w:t>), and</w:t>
      </w:r>
    </w:p>
    <w:p w:rsidR="00AF2B0E" w:rsidRPr="00AF2B0E" w:rsidRDefault="00AF2B0E">
      <w:pPr>
        <w:pStyle w:val="Bulletpointinpagragraph"/>
      </w:pPr>
      <w:r w:rsidRPr="00AF2B0E">
        <w:t>Completion and Production (</w:t>
      </w:r>
      <w:r w:rsidRPr="00CB427C">
        <w:rPr>
          <w:b/>
        </w:rPr>
        <w:t>C&amp;P</w:t>
      </w:r>
      <w:r w:rsidRPr="00AF2B0E">
        <w:t xml:space="preserve">). </w:t>
      </w:r>
    </w:p>
    <w:p w:rsidR="00AF2B0E" w:rsidRPr="00AF2B0E" w:rsidRDefault="00AF2B0E" w:rsidP="00D97EEC">
      <w:pPr>
        <w:pStyle w:val="Numbered"/>
      </w:pPr>
      <w:r w:rsidRPr="00AF2B0E">
        <w:t xml:space="preserve">The </w:t>
      </w:r>
      <w:r w:rsidR="00A83193">
        <w:t>good</w:t>
      </w:r>
      <w:r w:rsidRPr="00AF2B0E">
        <w:t>s and services supplied for us</w:t>
      </w:r>
      <w:r w:rsidR="00BA26AA">
        <w:t>e in the D&amp;E phase may include</w:t>
      </w:r>
      <w:r w:rsidRPr="00AF2B0E">
        <w:t xml:space="preserve"> drilling rig</w:t>
      </w:r>
      <w:r w:rsidR="00BA26AA">
        <w:t>s</w:t>
      </w:r>
      <w:r w:rsidRPr="00AF2B0E">
        <w:t>, drill bits and drilling fluids as well as tools and services which enable the modelling, measurement and optimisation of well construction activities.</w:t>
      </w:r>
      <w:r>
        <w:t xml:space="preserve"> </w:t>
      </w:r>
    </w:p>
    <w:p w:rsidR="00907E11" w:rsidRDefault="00AF2B0E">
      <w:pPr>
        <w:pStyle w:val="Numbered"/>
      </w:pPr>
      <w:r w:rsidRPr="00AF2B0E">
        <w:t xml:space="preserve">The </w:t>
      </w:r>
      <w:r w:rsidR="00A83193">
        <w:t>good</w:t>
      </w:r>
      <w:r w:rsidRPr="00AF2B0E">
        <w:t>s and services supplied in the C&amp;P phase may include cementing and completion equipment and services</w:t>
      </w:r>
      <w:r w:rsidR="00550254">
        <w:t>,</w:t>
      </w:r>
      <w:r w:rsidRPr="00AF2B0E">
        <w:t xml:space="preserve"> maintenance services, artificial lift and coiled tubing services. Consumables, parts and valves are also typically required as part of the production phase.</w:t>
      </w:r>
      <w:r>
        <w:t xml:space="preserve"> </w:t>
      </w:r>
    </w:p>
    <w:p w:rsidR="00E8170C" w:rsidRPr="00907E11" w:rsidRDefault="00E8170C" w:rsidP="00D97EEC">
      <w:pPr>
        <w:pStyle w:val="Numbered"/>
        <w:numPr>
          <w:ilvl w:val="0"/>
          <w:numId w:val="0"/>
        </w:numPr>
      </w:pPr>
      <w:r w:rsidRPr="00907E11">
        <w:t>Customer tendering and contracting practices</w:t>
      </w:r>
    </w:p>
    <w:p w:rsidR="00E8170C" w:rsidRDefault="001D5A02" w:rsidP="00D97EEC">
      <w:pPr>
        <w:pStyle w:val="Numbered"/>
      </w:pPr>
      <w:r>
        <w:t>E&amp;Ps</w:t>
      </w:r>
      <w:r w:rsidR="00997EC5">
        <w:t xml:space="preserve"> often acquire oilfield services through competitive tendering. </w:t>
      </w:r>
      <w:r w:rsidR="00E8170C">
        <w:t xml:space="preserve">The ACCC understands customers typically engage in a multi-step process as follows: </w:t>
      </w:r>
    </w:p>
    <w:p w:rsidR="00E8170C" w:rsidRDefault="002B1498" w:rsidP="00D97EEC">
      <w:pPr>
        <w:pStyle w:val="Bulletpointinpagragraph"/>
      </w:pPr>
      <w:r>
        <w:t>A</w:t>
      </w:r>
      <w:r w:rsidR="00E8170C">
        <w:t xml:space="preserve"> list of candidate suppliers is developed and provided wi</w:t>
      </w:r>
      <w:r w:rsidR="005E41CD">
        <w:t>th an invitation to tender</w:t>
      </w:r>
      <w:r w:rsidR="00E8170C">
        <w:t>.</w:t>
      </w:r>
    </w:p>
    <w:p w:rsidR="00E8170C" w:rsidRDefault="00D65BAA">
      <w:pPr>
        <w:pStyle w:val="Bulletpointinpagragraph"/>
      </w:pPr>
      <w:r>
        <w:t>A two-stage assessment follows</w:t>
      </w:r>
      <w:r w:rsidR="00E8170C">
        <w:t>:</w:t>
      </w:r>
    </w:p>
    <w:p w:rsidR="00E8170C" w:rsidRDefault="002B1498" w:rsidP="0012089E">
      <w:pPr>
        <w:pStyle w:val="Bulletpointinpagragraph"/>
        <w:numPr>
          <w:ilvl w:val="1"/>
          <w:numId w:val="30"/>
        </w:numPr>
      </w:pPr>
      <w:r>
        <w:t>T</w:t>
      </w:r>
      <w:r w:rsidR="00E8170C">
        <w:t>echnical</w:t>
      </w:r>
      <w:r w:rsidR="00D65BAA">
        <w:t xml:space="preserve"> assessment</w:t>
      </w:r>
      <w:r>
        <w:t xml:space="preserve">—where suppliers are assessed for their ability to deliver the </w:t>
      </w:r>
      <w:r w:rsidR="00A83193">
        <w:t>good</w:t>
      </w:r>
      <w:r>
        <w:t xml:space="preserve"> or service to the technical specifications of the customer. </w:t>
      </w:r>
    </w:p>
    <w:p w:rsidR="00E8170C" w:rsidRDefault="002B1498" w:rsidP="0012089E">
      <w:pPr>
        <w:pStyle w:val="Bulletpointinpagragraph"/>
        <w:numPr>
          <w:ilvl w:val="1"/>
          <w:numId w:val="30"/>
        </w:numPr>
      </w:pPr>
      <w:r>
        <w:t>C</w:t>
      </w:r>
      <w:r w:rsidR="00E8170C">
        <w:t>ommercial</w:t>
      </w:r>
      <w:r w:rsidR="00D65BAA">
        <w:t xml:space="preserve"> assessment</w:t>
      </w:r>
      <w:r>
        <w:t xml:space="preserve">—where </w:t>
      </w:r>
      <w:r w:rsidR="005E41CD">
        <w:t xml:space="preserve">technically compliant </w:t>
      </w:r>
      <w:r>
        <w:t xml:space="preserve">tenders are assessed and compared for </w:t>
      </w:r>
      <w:r w:rsidR="00533D83">
        <w:t xml:space="preserve">risk, </w:t>
      </w:r>
      <w:r>
        <w:t>price, quality, service etc</w:t>
      </w:r>
      <w:r w:rsidR="00E8170C">
        <w:t>.</w:t>
      </w:r>
    </w:p>
    <w:p w:rsidR="00E8170C" w:rsidRDefault="002B1498">
      <w:pPr>
        <w:pStyle w:val="Bulletpointinpagragraph"/>
      </w:pPr>
      <w:r>
        <w:t>A</w:t>
      </w:r>
      <w:r w:rsidR="00E8170C">
        <w:t xml:space="preserve"> shortlist of tenderers is developed and a competitive process is carried out</w:t>
      </w:r>
      <w:r>
        <w:t xml:space="preserve"> before the </w:t>
      </w:r>
      <w:r w:rsidR="00745672">
        <w:t>supplier is selected</w:t>
      </w:r>
      <w:r w:rsidR="00997EC5">
        <w:t xml:space="preserve"> and terms and conditions are negotiated</w:t>
      </w:r>
      <w:r w:rsidR="00E8170C">
        <w:t xml:space="preserve">.   </w:t>
      </w:r>
    </w:p>
    <w:p w:rsidR="00222DEA" w:rsidRDefault="00D65BAA" w:rsidP="00D97EEC">
      <w:pPr>
        <w:pStyle w:val="Numbered"/>
      </w:pPr>
      <w:r>
        <w:t xml:space="preserve">The ACCC understands contracts are typically for </w:t>
      </w:r>
      <w:r w:rsidR="008726E9">
        <w:t>two to three</w:t>
      </w:r>
      <w:r>
        <w:t xml:space="preserve"> years duration</w:t>
      </w:r>
      <w:r w:rsidR="00CD2E32">
        <w:t xml:space="preserve">, although </w:t>
      </w:r>
      <w:r w:rsidR="00341233">
        <w:t xml:space="preserve">they </w:t>
      </w:r>
      <w:r w:rsidR="00CD2E32">
        <w:t>may be longer</w:t>
      </w:r>
      <w:r>
        <w:t xml:space="preserve">. </w:t>
      </w:r>
      <w:r w:rsidR="00DC1FB7">
        <w:t xml:space="preserve">The </w:t>
      </w:r>
      <w:r w:rsidR="00737C5E">
        <w:t xml:space="preserve">contracting of services </w:t>
      </w:r>
      <w:r w:rsidR="00CD2E32">
        <w:t>varies</w:t>
      </w:r>
      <w:r w:rsidR="00737C5E">
        <w:t xml:space="preserve"> </w:t>
      </w:r>
      <w:r>
        <w:t>depending on</w:t>
      </w:r>
      <w:r w:rsidR="00533D83">
        <w:t xml:space="preserve"> the project characteristics</w:t>
      </w:r>
      <w:r w:rsidR="00222DEA">
        <w:t>. For example, a</w:t>
      </w:r>
      <w:r w:rsidR="00CD2E32">
        <w:t>n</w:t>
      </w:r>
      <w:r w:rsidR="00222DEA">
        <w:t xml:space="preserve"> offshore drilling project may have less than 10 wells planned but each might be highly complex. </w:t>
      </w:r>
      <w:r w:rsidR="00B3548D">
        <w:t>The ACCC understands the general practice is for c</w:t>
      </w:r>
      <w:r w:rsidR="00222DEA">
        <w:t xml:space="preserve">ustomers </w:t>
      </w:r>
      <w:r w:rsidR="00B3548D">
        <w:t xml:space="preserve">to </w:t>
      </w:r>
      <w:r w:rsidR="00222DEA">
        <w:t xml:space="preserve">retain </w:t>
      </w:r>
      <w:r w:rsidR="00BE0D22">
        <w:t xml:space="preserve">a </w:t>
      </w:r>
      <w:r w:rsidR="00222DEA">
        <w:t xml:space="preserve">selected supplier for the life of the project. </w:t>
      </w:r>
    </w:p>
    <w:p w:rsidR="00550254" w:rsidRDefault="00222DEA">
      <w:pPr>
        <w:pStyle w:val="Numbered"/>
      </w:pPr>
      <w:r>
        <w:lastRenderedPageBreak/>
        <w:t>On the other hand, an onshore CSG project might involve hundreds of shallow, non-complex wells. Onshore drilli</w:t>
      </w:r>
      <w:r w:rsidR="00907E11">
        <w:t xml:space="preserve">ng </w:t>
      </w:r>
      <w:r w:rsidR="00BE0D22">
        <w:t>E&amp;Ps regularly</w:t>
      </w:r>
      <w:r w:rsidR="00907E11">
        <w:t xml:space="preserve"> </w:t>
      </w:r>
      <w:r w:rsidR="00BE0D22">
        <w:t xml:space="preserve">utilise </w:t>
      </w:r>
      <w:r w:rsidR="00907E11">
        <w:t>‘call out’</w:t>
      </w:r>
      <w:r>
        <w:t xml:space="preserve"> </w:t>
      </w:r>
      <w:r w:rsidR="00BE0D22">
        <w:t>suppliers</w:t>
      </w:r>
      <w:r>
        <w:t xml:space="preserve"> at short notice. Onsh</w:t>
      </w:r>
      <w:r w:rsidR="000F454F">
        <w:t xml:space="preserve">ore customers typically have a primary service provider for the bulk of the </w:t>
      </w:r>
      <w:r w:rsidR="0004525F">
        <w:t>good</w:t>
      </w:r>
      <w:r w:rsidR="000F454F">
        <w:t>s and services. A secondary supplier may be</w:t>
      </w:r>
      <w:r>
        <w:t xml:space="preserve"> call</w:t>
      </w:r>
      <w:r w:rsidR="000F454F">
        <w:t>ed up</w:t>
      </w:r>
      <w:r>
        <w:t xml:space="preserve">on when a </w:t>
      </w:r>
      <w:r w:rsidR="00C50B3D">
        <w:t>good</w:t>
      </w:r>
      <w:r>
        <w:t xml:space="preserve"> or service is required</w:t>
      </w:r>
      <w:r w:rsidR="000F454F">
        <w:t xml:space="preserve"> and the primary provider is unable to provide it</w:t>
      </w:r>
      <w:r>
        <w:t>.</w:t>
      </w:r>
    </w:p>
    <w:p w:rsidR="00BE0D22" w:rsidRDefault="00BE0D22">
      <w:pPr>
        <w:pStyle w:val="Numbered"/>
      </w:pPr>
      <w:r>
        <w:t xml:space="preserve">The ACCC would welcome further information about the coverage (e.g. price terms) and flexibility of contracts, </w:t>
      </w:r>
      <w:r w:rsidR="005F4750">
        <w:t>including</w:t>
      </w:r>
      <w:r>
        <w:t xml:space="preserve"> the ability to switch suppliers, during the life of both offshore and onshore projects.  </w:t>
      </w:r>
    </w:p>
    <w:p w:rsidR="00550254" w:rsidRDefault="00550254">
      <w:pPr>
        <w:pStyle w:val="Numbered"/>
      </w:pPr>
      <w:r>
        <w:t>Customers may also elect to award contracts directly to suppl</w:t>
      </w:r>
      <w:r w:rsidR="00D65BAA">
        <w:t xml:space="preserve">iers without a tender process. This may be necessary where there are short project timeframes or a specific technology is required. </w:t>
      </w:r>
      <w:r>
        <w:t xml:space="preserve"> </w:t>
      </w:r>
    </w:p>
    <w:p w:rsidR="00194D5D" w:rsidRDefault="00C50CFC" w:rsidP="00A26C2D">
      <w:pPr>
        <w:pStyle w:val="Heading3"/>
      </w:pPr>
      <w:r>
        <w:t>Future with and without the acquisition</w:t>
      </w:r>
      <w:r w:rsidR="00194D5D">
        <w:t xml:space="preserve"> </w:t>
      </w:r>
    </w:p>
    <w:p w:rsidR="00194D5D" w:rsidRDefault="00CD2E32" w:rsidP="00D97EEC">
      <w:pPr>
        <w:pStyle w:val="NormalParagraph"/>
      </w:pPr>
      <w:r>
        <w:t>T</w:t>
      </w:r>
      <w:r w:rsidR="00194D5D">
        <w:t xml:space="preserve">he ACCC considers the effects of </w:t>
      </w:r>
      <w:r>
        <w:t xml:space="preserve">a proposed </w:t>
      </w:r>
      <w:r w:rsidR="00194D5D">
        <w:t xml:space="preserve">acquisition by comparing the likely future competitive environment post-acquisition </w:t>
      </w:r>
      <w:r w:rsidR="00907E11">
        <w:t>(the ‘with’</w:t>
      </w:r>
      <w:r w:rsidR="00194D5D">
        <w:t xml:space="preserve"> position)</w:t>
      </w:r>
      <w:r>
        <w:t>,</w:t>
      </w:r>
      <w:r w:rsidR="00194D5D">
        <w:t xml:space="preserve"> to the likely competitive environment if the acq</w:t>
      </w:r>
      <w:r w:rsidR="00907E11">
        <w:t>uisition does not proceed (the ‘</w:t>
      </w:r>
      <w:r w:rsidR="00194D5D">
        <w:t>without</w:t>
      </w:r>
      <w:r w:rsidR="00907E11">
        <w:t>’</w:t>
      </w:r>
      <w:r w:rsidR="00194D5D">
        <w:t xml:space="preserve"> position)</w:t>
      </w:r>
      <w:r>
        <w:t>.  The ACCC compares the with and without positions</w:t>
      </w:r>
      <w:r w:rsidR="00194D5D">
        <w:t xml:space="preserve"> to determine whether the proposed acquisition is likely to substantially lessen competition</w:t>
      </w:r>
      <w:r>
        <w:t xml:space="preserve">. </w:t>
      </w:r>
      <w:r w:rsidR="00194D5D">
        <w:t xml:space="preserve"> </w:t>
      </w:r>
    </w:p>
    <w:p w:rsidR="0081112E" w:rsidRDefault="00CD2E32">
      <w:pPr>
        <w:pStyle w:val="NormalParagraph"/>
      </w:pPr>
      <w:r>
        <w:t>T</w:t>
      </w:r>
      <w:r w:rsidR="004A6818">
        <w:t>he ACCC</w:t>
      </w:r>
      <w:r w:rsidR="00D9086B">
        <w:t>’s current assessment is based on the</w:t>
      </w:r>
      <w:r w:rsidR="004A6818">
        <w:t xml:space="preserve"> future </w:t>
      </w:r>
      <w:r w:rsidR="004A6818" w:rsidRPr="005A607F">
        <w:rPr>
          <w:i/>
        </w:rPr>
        <w:t>without</w:t>
      </w:r>
      <w:r w:rsidR="004A6818">
        <w:t xml:space="preserve"> </w:t>
      </w:r>
      <w:r w:rsidR="00D9086B">
        <w:t>being</w:t>
      </w:r>
      <w:r w:rsidR="00907E11">
        <w:t xml:space="preserve"> the ‘status quo’</w:t>
      </w:r>
      <w:r w:rsidR="004A6818">
        <w:t xml:space="preserve">. In this scenario, Halliburton and Baker Hughes remain independent </w:t>
      </w:r>
      <w:r w:rsidR="00341233">
        <w:t>competitors</w:t>
      </w:r>
      <w:r w:rsidR="004A6818">
        <w:t xml:space="preserve">. </w:t>
      </w:r>
    </w:p>
    <w:p w:rsidR="004A6818" w:rsidRDefault="00CF260D">
      <w:pPr>
        <w:pStyle w:val="NormalParagraph"/>
      </w:pPr>
      <w:r>
        <w:t xml:space="preserve">Notwithstanding the </w:t>
      </w:r>
      <w:r w:rsidR="00D9086B">
        <w:t xml:space="preserve">announcements by </w:t>
      </w:r>
      <w:r>
        <w:t>Halliburton</w:t>
      </w:r>
      <w:r w:rsidR="001E650F">
        <w:t xml:space="preserve"> and Baker Hughes </w:t>
      </w:r>
      <w:r w:rsidR="00341233">
        <w:t xml:space="preserve">that they are intending </w:t>
      </w:r>
      <w:r w:rsidR="00D9086B">
        <w:t>to sell certain businesses</w:t>
      </w:r>
      <w:r>
        <w:t>, t</w:t>
      </w:r>
      <w:r w:rsidR="004A6818">
        <w:t>he ACCC</w:t>
      </w:r>
      <w:r w:rsidR="00D9086B">
        <w:t>’s current assessment is based on</w:t>
      </w:r>
      <w:r w:rsidR="004A6818">
        <w:t xml:space="preserve"> </w:t>
      </w:r>
      <w:r w:rsidR="00D9086B">
        <w:t>the</w:t>
      </w:r>
      <w:r w:rsidR="004A6818">
        <w:t xml:space="preserve"> future </w:t>
      </w:r>
      <w:r w:rsidR="004A6818" w:rsidRPr="005A607F">
        <w:rPr>
          <w:i/>
        </w:rPr>
        <w:t>with</w:t>
      </w:r>
      <w:r w:rsidR="004A6818">
        <w:t xml:space="preserve"> the proposed acquisition </w:t>
      </w:r>
      <w:r w:rsidR="00D9086B">
        <w:t xml:space="preserve">being </w:t>
      </w:r>
      <w:r w:rsidR="004A6818">
        <w:t>the combination of Halliburton and Baker Hughes in their entirety.</w:t>
      </w:r>
      <w:r>
        <w:t xml:space="preserve"> </w:t>
      </w:r>
    </w:p>
    <w:p w:rsidR="0081112E" w:rsidRPr="0081112E" w:rsidRDefault="00346285" w:rsidP="00346285">
      <w:pPr>
        <w:pStyle w:val="Heading3"/>
      </w:pPr>
      <w:r>
        <w:t>Market Definition</w:t>
      </w:r>
    </w:p>
    <w:p w:rsidR="00D126FE" w:rsidRDefault="00D126FE" w:rsidP="00F1213F">
      <w:pPr>
        <w:pStyle w:val="Numbered"/>
      </w:pPr>
      <w:r>
        <w:t xml:space="preserve">The purpose of market definition is to establish the relevant field of inquiry for merger analysis. </w:t>
      </w:r>
      <w:r w:rsidR="00D43BF0">
        <w:t>I</w:t>
      </w:r>
      <w:r>
        <w:t xml:space="preserve">t is rarely possible to draw a clear line around the market boundaries, particularly where competition is multi-faceted as in this matter. </w:t>
      </w:r>
    </w:p>
    <w:p w:rsidR="00C472A8" w:rsidRDefault="006138B1" w:rsidP="00C50B3D">
      <w:pPr>
        <w:pStyle w:val="Numbered"/>
      </w:pPr>
      <w:r>
        <w:t>The ACCC does not expect its assessment of this matter to turn on market definition. Rather, the focus of the ACCC’s review has been on the likely competiti</w:t>
      </w:r>
      <w:r w:rsidR="00C472A8">
        <w:t>ve</w:t>
      </w:r>
      <w:r>
        <w:t xml:space="preserve"> constraints the merged firm would face</w:t>
      </w:r>
      <w:r w:rsidR="00D43BF0">
        <w:t>.</w:t>
      </w:r>
      <w:r>
        <w:t xml:space="preserve"> </w:t>
      </w:r>
    </w:p>
    <w:p w:rsidR="00D50133" w:rsidRDefault="00D9086B">
      <w:pPr>
        <w:pStyle w:val="Numbered"/>
      </w:pPr>
      <w:r>
        <w:t>T</w:t>
      </w:r>
      <w:r w:rsidR="00081A7F">
        <w:t xml:space="preserve">he ACCC’s starting point involves identifying the </w:t>
      </w:r>
      <w:r w:rsidR="00B55AF5">
        <w:t>products</w:t>
      </w:r>
      <w:r w:rsidR="00D43BF0">
        <w:t xml:space="preserve"> </w:t>
      </w:r>
      <w:r w:rsidR="00081A7F">
        <w:t>actually or potentially s</w:t>
      </w:r>
      <w:r w:rsidR="004D2F68">
        <w:t>upplied by the merger parties</w:t>
      </w:r>
      <w:r>
        <w:t>,</w:t>
      </w:r>
      <w:r w:rsidR="00BA26AA">
        <w:t xml:space="preserve"> and the areas of overlap</w:t>
      </w:r>
      <w:r w:rsidR="004D2F68">
        <w:t xml:space="preserve">. </w:t>
      </w:r>
      <w:r w:rsidR="00081A7F">
        <w:t xml:space="preserve">The ACCC then considers what other </w:t>
      </w:r>
      <w:r w:rsidR="00B55AF5">
        <w:t>products</w:t>
      </w:r>
      <w:r>
        <w:t xml:space="preserve"> are</w:t>
      </w:r>
      <w:r w:rsidR="00081A7F">
        <w:t xml:space="preserve"> </w:t>
      </w:r>
      <w:r w:rsidR="00373725">
        <w:t xml:space="preserve">sufficiently </w:t>
      </w:r>
      <w:r w:rsidR="00081A7F">
        <w:t xml:space="preserve">close substitutes </w:t>
      </w:r>
      <w:r w:rsidR="00373725">
        <w:t>to</w:t>
      </w:r>
      <w:r w:rsidR="00081A7F">
        <w:t xml:space="preserve"> provide a </w:t>
      </w:r>
      <w:r>
        <w:t xml:space="preserve">meaningful </w:t>
      </w:r>
      <w:r w:rsidR="00081A7F">
        <w:t xml:space="preserve">source of constraint on the merged </w:t>
      </w:r>
      <w:r w:rsidR="00C201F2">
        <w:t>firm</w:t>
      </w:r>
      <w:r w:rsidR="00081A7F">
        <w:t>.</w:t>
      </w:r>
    </w:p>
    <w:p w:rsidR="0035083C" w:rsidRPr="008A71D1" w:rsidRDefault="0035083C" w:rsidP="00C50B3D">
      <w:pPr>
        <w:pStyle w:val="Heading4"/>
      </w:pPr>
      <w:r w:rsidRPr="008A71D1">
        <w:t>Areas of overlap</w:t>
      </w:r>
    </w:p>
    <w:p w:rsidR="00635779" w:rsidRDefault="00635779" w:rsidP="00C50B3D">
      <w:pPr>
        <w:pStyle w:val="Numbered"/>
      </w:pPr>
      <w:r>
        <w:t xml:space="preserve">The </w:t>
      </w:r>
      <w:r w:rsidR="00DC1FB7">
        <w:t>‘</w:t>
      </w:r>
      <w:r>
        <w:t>big th</w:t>
      </w:r>
      <w:r w:rsidR="001B774D">
        <w:t>ree</w:t>
      </w:r>
      <w:r w:rsidR="00DC1FB7">
        <w:t>’</w:t>
      </w:r>
      <w:r w:rsidR="001B774D">
        <w:t xml:space="preserve"> oilfield services providers, </w:t>
      </w:r>
      <w:r>
        <w:t>and to a lesser extent Weatherford</w:t>
      </w:r>
      <w:r w:rsidR="001B774D">
        <w:t xml:space="preserve">, </w:t>
      </w:r>
      <w:r>
        <w:t xml:space="preserve">offer </w:t>
      </w:r>
      <w:r w:rsidR="00C12386">
        <w:t xml:space="preserve">a large number and range of </w:t>
      </w:r>
      <w:r w:rsidR="00B55AF5">
        <w:t>projects</w:t>
      </w:r>
      <w:r w:rsidR="00C12386">
        <w:t xml:space="preserve"> to</w:t>
      </w:r>
      <w:r>
        <w:t xml:space="preserve"> </w:t>
      </w:r>
      <w:r w:rsidR="00FA1575">
        <w:t>E&amp;Ps</w:t>
      </w:r>
      <w:r w:rsidR="00963FBB">
        <w:t xml:space="preserve">. </w:t>
      </w:r>
    </w:p>
    <w:p w:rsidR="00635779" w:rsidRDefault="00E42B8A">
      <w:pPr>
        <w:pStyle w:val="Numbered"/>
      </w:pPr>
      <w:r w:rsidRPr="00E42B8A">
        <w:rPr>
          <w:b/>
        </w:rPr>
        <w:fldChar w:fldCharType="begin"/>
      </w:r>
      <w:r w:rsidRPr="00E42B8A">
        <w:rPr>
          <w:b/>
        </w:rPr>
        <w:instrText xml:space="preserve"> REF _Ref429732271 \h  \* MERGEFORMAT </w:instrText>
      </w:r>
      <w:r w:rsidRPr="00E42B8A">
        <w:rPr>
          <w:b/>
        </w:rPr>
      </w:r>
      <w:r w:rsidRPr="00E42B8A">
        <w:rPr>
          <w:b/>
        </w:rPr>
        <w:fldChar w:fldCharType="separate"/>
      </w:r>
      <w:r w:rsidR="00D42E5A" w:rsidRPr="00D42E5A">
        <w:rPr>
          <w:b/>
        </w:rPr>
        <w:t xml:space="preserve">Table </w:t>
      </w:r>
      <w:r w:rsidR="00D42E5A" w:rsidRPr="00D42E5A">
        <w:rPr>
          <w:b/>
          <w:noProof/>
        </w:rPr>
        <w:t>1</w:t>
      </w:r>
      <w:r w:rsidRPr="00E42B8A">
        <w:rPr>
          <w:b/>
        </w:rPr>
        <w:fldChar w:fldCharType="end"/>
      </w:r>
      <w:r>
        <w:rPr>
          <w:b/>
        </w:rPr>
        <w:t xml:space="preserve"> </w:t>
      </w:r>
      <w:r w:rsidR="00635779">
        <w:t xml:space="preserve">below identifies specific </w:t>
      </w:r>
      <w:r w:rsidR="00B55AF5">
        <w:t>projects</w:t>
      </w:r>
      <w:r w:rsidR="00635779">
        <w:t xml:space="preserve"> in</w:t>
      </w:r>
      <w:r w:rsidR="00554CFA">
        <w:t xml:space="preserve"> respect of</w:t>
      </w:r>
      <w:r w:rsidR="00635779">
        <w:t xml:space="preserve"> which the ACCC understands the merger parties overlap in Australia.  </w:t>
      </w:r>
    </w:p>
    <w:p w:rsidR="00635779" w:rsidRPr="00C67BA8" w:rsidRDefault="00635779" w:rsidP="00635779">
      <w:pPr>
        <w:pStyle w:val="Caption"/>
      </w:pPr>
      <w:bookmarkStart w:id="5" w:name="_Ref429732271"/>
      <w:r w:rsidRPr="00C67BA8">
        <w:lastRenderedPageBreak/>
        <w:t xml:space="preserve">Table </w:t>
      </w:r>
      <w:r w:rsidR="00D42E5A">
        <w:fldChar w:fldCharType="begin"/>
      </w:r>
      <w:r w:rsidR="00D42E5A">
        <w:instrText xml:space="preserve"> SEQ Table \* ARABIC </w:instrText>
      </w:r>
      <w:r w:rsidR="00D42E5A">
        <w:fldChar w:fldCharType="separate"/>
      </w:r>
      <w:r w:rsidR="00D42E5A">
        <w:rPr>
          <w:noProof/>
        </w:rPr>
        <w:t>1</w:t>
      </w:r>
      <w:r w:rsidR="00D42E5A">
        <w:rPr>
          <w:noProof/>
        </w:rPr>
        <w:fldChar w:fldCharType="end"/>
      </w:r>
      <w:bookmarkEnd w:id="5"/>
      <w:r w:rsidR="00B108D9">
        <w:t>:</w:t>
      </w:r>
      <w:r w:rsidR="00B108D9">
        <w:tab/>
      </w:r>
      <w:r w:rsidRPr="00C67BA8">
        <w:t xml:space="preserve">Overlapping products </w:t>
      </w:r>
    </w:p>
    <w:tbl>
      <w:tblPr>
        <w:tblW w:w="8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4261"/>
      </w:tblGrid>
      <w:tr w:rsidR="00635779" w:rsidRPr="006410BC" w:rsidTr="00014023">
        <w:tc>
          <w:tcPr>
            <w:tcW w:w="4361" w:type="dxa"/>
            <w:tcBorders>
              <w:top w:val="single" w:sz="4" w:space="0" w:color="auto"/>
              <w:left w:val="single" w:sz="4" w:space="0" w:color="auto"/>
              <w:bottom w:val="single" w:sz="4" w:space="0" w:color="auto"/>
              <w:right w:val="single" w:sz="4" w:space="0" w:color="auto"/>
              <w:tl2br w:val="nil"/>
              <w:tr2bl w:val="nil"/>
            </w:tcBorders>
            <w:shd w:val="clear" w:color="auto" w:fill="D9D9D9"/>
          </w:tcPr>
          <w:p w:rsidR="00635779" w:rsidRPr="00014023" w:rsidRDefault="00635779" w:rsidP="00014023">
            <w:pPr>
              <w:pStyle w:val="Tabletext"/>
              <w:keepNext/>
              <w:rPr>
                <w:b/>
                <w:szCs w:val="20"/>
              </w:rPr>
            </w:pPr>
            <w:r w:rsidRPr="00014023">
              <w:rPr>
                <w:b/>
                <w:szCs w:val="20"/>
              </w:rPr>
              <w:t>Drilling and Evaluation</w:t>
            </w:r>
          </w:p>
        </w:tc>
        <w:tc>
          <w:tcPr>
            <w:tcW w:w="4261" w:type="dxa"/>
            <w:tcBorders>
              <w:top w:val="single" w:sz="4" w:space="0" w:color="auto"/>
              <w:left w:val="single" w:sz="4" w:space="0" w:color="auto"/>
              <w:bottom w:val="single" w:sz="4" w:space="0" w:color="auto"/>
              <w:right w:val="single" w:sz="4" w:space="0" w:color="auto"/>
              <w:tl2br w:val="nil"/>
              <w:tr2bl w:val="nil"/>
            </w:tcBorders>
            <w:shd w:val="clear" w:color="auto" w:fill="D9D9D9"/>
          </w:tcPr>
          <w:p w:rsidR="00635779" w:rsidRPr="00014023" w:rsidRDefault="00635779" w:rsidP="00014023">
            <w:pPr>
              <w:pStyle w:val="Tabletext"/>
              <w:keepNext/>
              <w:rPr>
                <w:b/>
                <w:szCs w:val="20"/>
              </w:rPr>
            </w:pPr>
            <w:r w:rsidRPr="00014023">
              <w:rPr>
                <w:b/>
                <w:szCs w:val="20"/>
              </w:rPr>
              <w:t>Completion and Production</w:t>
            </w:r>
          </w:p>
        </w:tc>
      </w:tr>
      <w:tr w:rsidR="00635779" w:rsidRPr="006410BC" w:rsidTr="00014023">
        <w:tc>
          <w:tcPr>
            <w:tcW w:w="4361" w:type="dxa"/>
            <w:tcBorders>
              <w:top w:val="single" w:sz="4" w:space="0" w:color="auto"/>
            </w:tcBorders>
            <w:shd w:val="clear" w:color="auto" w:fill="auto"/>
          </w:tcPr>
          <w:p w:rsidR="00635779" w:rsidRPr="00014023" w:rsidRDefault="00635779" w:rsidP="00014023">
            <w:pPr>
              <w:pStyle w:val="Bulletpointlist2"/>
              <w:keepNext/>
              <w:numPr>
                <w:ilvl w:val="0"/>
                <w:numId w:val="8"/>
              </w:numPr>
              <w:ind w:left="357" w:hanging="357"/>
              <w:rPr>
                <w:b w:val="0"/>
                <w:sz w:val="20"/>
                <w:szCs w:val="20"/>
              </w:rPr>
            </w:pPr>
            <w:r w:rsidRPr="00014023">
              <w:rPr>
                <w:b w:val="0"/>
                <w:sz w:val="20"/>
                <w:szCs w:val="20"/>
              </w:rPr>
              <w:t>Consulting</w:t>
            </w:r>
          </w:p>
          <w:p w:rsidR="00635779" w:rsidRPr="00014023" w:rsidRDefault="00635779" w:rsidP="00014023">
            <w:pPr>
              <w:pStyle w:val="Bulletpointlist2"/>
              <w:keepNext/>
              <w:numPr>
                <w:ilvl w:val="0"/>
                <w:numId w:val="8"/>
              </w:numPr>
              <w:ind w:left="357" w:hanging="357"/>
              <w:rPr>
                <w:b w:val="0"/>
                <w:sz w:val="20"/>
                <w:szCs w:val="20"/>
              </w:rPr>
            </w:pPr>
            <w:r w:rsidRPr="00014023">
              <w:rPr>
                <w:b w:val="0"/>
                <w:sz w:val="20"/>
                <w:szCs w:val="20"/>
              </w:rPr>
              <w:t>Coring</w:t>
            </w:r>
          </w:p>
          <w:p w:rsidR="00635779" w:rsidRPr="00014023" w:rsidRDefault="00635779" w:rsidP="00014023">
            <w:pPr>
              <w:pStyle w:val="Bulletpointlist2"/>
              <w:keepNext/>
              <w:numPr>
                <w:ilvl w:val="0"/>
                <w:numId w:val="8"/>
              </w:numPr>
              <w:ind w:left="357" w:hanging="357"/>
              <w:rPr>
                <w:b w:val="0"/>
                <w:sz w:val="20"/>
                <w:szCs w:val="20"/>
              </w:rPr>
            </w:pPr>
            <w:r w:rsidRPr="00014023">
              <w:rPr>
                <w:b w:val="0"/>
                <w:sz w:val="20"/>
                <w:szCs w:val="20"/>
              </w:rPr>
              <w:t>Drill Bits – Fixed*</w:t>
            </w:r>
          </w:p>
          <w:p w:rsidR="00635779" w:rsidRPr="00014023" w:rsidRDefault="00635779" w:rsidP="00014023">
            <w:pPr>
              <w:pStyle w:val="Bulletpointlist2"/>
              <w:keepNext/>
              <w:numPr>
                <w:ilvl w:val="0"/>
                <w:numId w:val="8"/>
              </w:numPr>
              <w:ind w:left="357" w:hanging="357"/>
              <w:rPr>
                <w:b w:val="0"/>
                <w:sz w:val="20"/>
                <w:szCs w:val="20"/>
              </w:rPr>
            </w:pPr>
            <w:r w:rsidRPr="00014023">
              <w:rPr>
                <w:b w:val="0"/>
                <w:sz w:val="20"/>
                <w:szCs w:val="20"/>
              </w:rPr>
              <w:t>Drill Bits – Roller*</w:t>
            </w:r>
          </w:p>
          <w:p w:rsidR="00635779" w:rsidRPr="00014023" w:rsidRDefault="00635779" w:rsidP="00014023">
            <w:pPr>
              <w:pStyle w:val="Bulletpointlist2"/>
              <w:keepNext/>
              <w:numPr>
                <w:ilvl w:val="0"/>
                <w:numId w:val="8"/>
              </w:numPr>
              <w:ind w:left="357" w:hanging="357"/>
              <w:rPr>
                <w:b w:val="0"/>
                <w:sz w:val="20"/>
                <w:szCs w:val="20"/>
              </w:rPr>
            </w:pPr>
            <w:r w:rsidRPr="00014023">
              <w:rPr>
                <w:b w:val="0"/>
                <w:sz w:val="20"/>
                <w:szCs w:val="20"/>
              </w:rPr>
              <w:t>Drilling – Directional*</w:t>
            </w:r>
          </w:p>
          <w:p w:rsidR="00635779" w:rsidRPr="00014023" w:rsidRDefault="00635779" w:rsidP="00014023">
            <w:pPr>
              <w:pStyle w:val="Bulletpointlist2"/>
              <w:keepNext/>
              <w:numPr>
                <w:ilvl w:val="0"/>
                <w:numId w:val="8"/>
              </w:numPr>
              <w:ind w:left="357" w:hanging="357"/>
              <w:rPr>
                <w:b w:val="0"/>
                <w:sz w:val="20"/>
                <w:szCs w:val="20"/>
              </w:rPr>
            </w:pPr>
            <w:r w:rsidRPr="00014023">
              <w:rPr>
                <w:b w:val="0"/>
                <w:sz w:val="20"/>
                <w:szCs w:val="20"/>
              </w:rPr>
              <w:t>Drilling – LWD/MWD*</w:t>
            </w:r>
          </w:p>
          <w:p w:rsidR="00635779" w:rsidRPr="00014023" w:rsidRDefault="00635779" w:rsidP="00014023">
            <w:pPr>
              <w:pStyle w:val="Bulletpointlist2"/>
              <w:keepNext/>
              <w:numPr>
                <w:ilvl w:val="0"/>
                <w:numId w:val="8"/>
              </w:numPr>
              <w:ind w:left="357" w:hanging="357"/>
              <w:rPr>
                <w:b w:val="0"/>
                <w:sz w:val="20"/>
                <w:szCs w:val="20"/>
              </w:rPr>
            </w:pPr>
            <w:r w:rsidRPr="00014023">
              <w:rPr>
                <w:b w:val="0"/>
                <w:sz w:val="20"/>
                <w:szCs w:val="20"/>
              </w:rPr>
              <w:t>Completion fluids</w:t>
            </w:r>
          </w:p>
          <w:p w:rsidR="00635779" w:rsidRPr="00014023" w:rsidRDefault="00635779" w:rsidP="00014023">
            <w:pPr>
              <w:pStyle w:val="Bulletpointlist2"/>
              <w:keepNext/>
              <w:numPr>
                <w:ilvl w:val="0"/>
                <w:numId w:val="8"/>
              </w:numPr>
              <w:ind w:left="357" w:hanging="357"/>
              <w:rPr>
                <w:b w:val="0"/>
                <w:sz w:val="20"/>
                <w:szCs w:val="20"/>
              </w:rPr>
            </w:pPr>
            <w:r w:rsidRPr="00014023">
              <w:rPr>
                <w:b w:val="0"/>
                <w:sz w:val="20"/>
                <w:szCs w:val="20"/>
              </w:rPr>
              <w:t>Drilling fluids</w:t>
            </w:r>
          </w:p>
          <w:p w:rsidR="00635779" w:rsidRPr="00014023" w:rsidRDefault="00635779" w:rsidP="00014023">
            <w:pPr>
              <w:pStyle w:val="Bulletpointlist2"/>
              <w:keepNext/>
              <w:numPr>
                <w:ilvl w:val="0"/>
                <w:numId w:val="8"/>
              </w:numPr>
              <w:ind w:left="357" w:hanging="357"/>
              <w:rPr>
                <w:b w:val="0"/>
                <w:sz w:val="20"/>
                <w:szCs w:val="20"/>
              </w:rPr>
            </w:pPr>
            <w:r w:rsidRPr="00014023">
              <w:rPr>
                <w:b w:val="0"/>
                <w:sz w:val="20"/>
                <w:szCs w:val="20"/>
              </w:rPr>
              <w:t>Software</w:t>
            </w:r>
          </w:p>
          <w:p w:rsidR="00635779" w:rsidRPr="00014023" w:rsidRDefault="00635779" w:rsidP="00014023">
            <w:pPr>
              <w:pStyle w:val="Bulletpointlist2"/>
              <w:keepNext/>
              <w:numPr>
                <w:ilvl w:val="0"/>
                <w:numId w:val="8"/>
              </w:numPr>
              <w:ind w:left="357" w:hanging="357"/>
              <w:rPr>
                <w:b w:val="0"/>
                <w:sz w:val="20"/>
                <w:szCs w:val="20"/>
              </w:rPr>
            </w:pPr>
            <w:r w:rsidRPr="00014023">
              <w:rPr>
                <w:b w:val="0"/>
                <w:sz w:val="20"/>
                <w:szCs w:val="20"/>
              </w:rPr>
              <w:t>Solids Control and Waste Management</w:t>
            </w:r>
          </w:p>
          <w:p w:rsidR="00635779" w:rsidRPr="00014023" w:rsidRDefault="00635779" w:rsidP="00014023">
            <w:pPr>
              <w:pStyle w:val="Bulletpointlist2"/>
              <w:keepNext/>
              <w:numPr>
                <w:ilvl w:val="0"/>
                <w:numId w:val="8"/>
              </w:numPr>
              <w:ind w:left="357" w:hanging="357"/>
              <w:rPr>
                <w:b w:val="0"/>
                <w:sz w:val="20"/>
                <w:szCs w:val="20"/>
              </w:rPr>
            </w:pPr>
            <w:r w:rsidRPr="00014023">
              <w:rPr>
                <w:b w:val="0"/>
                <w:sz w:val="20"/>
                <w:szCs w:val="20"/>
              </w:rPr>
              <w:t>Surface Data Logging</w:t>
            </w:r>
          </w:p>
          <w:p w:rsidR="00635779" w:rsidRPr="00014023" w:rsidRDefault="00635779" w:rsidP="00014023">
            <w:pPr>
              <w:pStyle w:val="Bulletpointlist2"/>
              <w:keepNext/>
              <w:numPr>
                <w:ilvl w:val="0"/>
                <w:numId w:val="8"/>
              </w:numPr>
              <w:ind w:left="357" w:hanging="357"/>
              <w:rPr>
                <w:b w:val="0"/>
                <w:sz w:val="20"/>
                <w:szCs w:val="20"/>
              </w:rPr>
            </w:pPr>
            <w:r w:rsidRPr="00014023">
              <w:rPr>
                <w:b w:val="0"/>
                <w:sz w:val="20"/>
                <w:szCs w:val="20"/>
              </w:rPr>
              <w:t xml:space="preserve">Wireline – Cased Hole </w:t>
            </w:r>
          </w:p>
          <w:p w:rsidR="00635779" w:rsidRPr="00014023" w:rsidRDefault="00635779" w:rsidP="00014023">
            <w:pPr>
              <w:pStyle w:val="Bulletpointlist2"/>
              <w:keepNext/>
              <w:numPr>
                <w:ilvl w:val="0"/>
                <w:numId w:val="8"/>
              </w:numPr>
              <w:ind w:left="357" w:hanging="357"/>
              <w:rPr>
                <w:b w:val="0"/>
                <w:sz w:val="20"/>
                <w:szCs w:val="20"/>
              </w:rPr>
            </w:pPr>
            <w:r w:rsidRPr="00014023">
              <w:rPr>
                <w:b w:val="0"/>
                <w:sz w:val="20"/>
                <w:szCs w:val="20"/>
              </w:rPr>
              <w:t>Wireline – Open Hole</w:t>
            </w:r>
          </w:p>
        </w:tc>
        <w:tc>
          <w:tcPr>
            <w:tcW w:w="4261" w:type="dxa"/>
            <w:tcBorders>
              <w:top w:val="single" w:sz="4" w:space="0" w:color="auto"/>
            </w:tcBorders>
            <w:shd w:val="clear" w:color="auto" w:fill="auto"/>
          </w:tcPr>
          <w:p w:rsidR="00635779" w:rsidRPr="00014023" w:rsidRDefault="00635779" w:rsidP="00014023">
            <w:pPr>
              <w:pStyle w:val="Bulletpointlist2"/>
              <w:keepNext/>
              <w:numPr>
                <w:ilvl w:val="0"/>
                <w:numId w:val="8"/>
              </w:numPr>
              <w:ind w:left="357" w:hanging="357"/>
              <w:rPr>
                <w:b w:val="0"/>
                <w:sz w:val="20"/>
                <w:szCs w:val="20"/>
              </w:rPr>
            </w:pPr>
            <w:r w:rsidRPr="00014023">
              <w:rPr>
                <w:b w:val="0"/>
                <w:sz w:val="20"/>
                <w:szCs w:val="20"/>
              </w:rPr>
              <w:t>Cementing</w:t>
            </w:r>
            <w:r w:rsidR="00D9086B">
              <w:rPr>
                <w:b w:val="0"/>
                <w:sz w:val="20"/>
                <w:szCs w:val="20"/>
              </w:rPr>
              <w:t>*</w:t>
            </w:r>
          </w:p>
          <w:p w:rsidR="00635779" w:rsidRPr="00014023" w:rsidRDefault="00635779" w:rsidP="00014023">
            <w:pPr>
              <w:pStyle w:val="Bulletpointlist2"/>
              <w:keepNext/>
              <w:numPr>
                <w:ilvl w:val="0"/>
                <w:numId w:val="8"/>
              </w:numPr>
              <w:ind w:left="357" w:hanging="357"/>
              <w:rPr>
                <w:b w:val="0"/>
                <w:sz w:val="20"/>
                <w:szCs w:val="20"/>
              </w:rPr>
            </w:pPr>
            <w:r w:rsidRPr="00014023">
              <w:rPr>
                <w:b w:val="0"/>
                <w:sz w:val="20"/>
                <w:szCs w:val="20"/>
              </w:rPr>
              <w:t>Coiled Tubing</w:t>
            </w:r>
          </w:p>
          <w:p w:rsidR="00635779" w:rsidRPr="00014023" w:rsidRDefault="00635779" w:rsidP="00014023">
            <w:pPr>
              <w:pStyle w:val="Bulletpointlist2"/>
              <w:keepNext/>
              <w:numPr>
                <w:ilvl w:val="0"/>
                <w:numId w:val="8"/>
              </w:numPr>
              <w:ind w:left="357" w:hanging="357"/>
              <w:rPr>
                <w:b w:val="0"/>
                <w:sz w:val="20"/>
                <w:szCs w:val="20"/>
              </w:rPr>
            </w:pPr>
            <w:r w:rsidRPr="00014023">
              <w:rPr>
                <w:b w:val="0"/>
                <w:sz w:val="20"/>
                <w:szCs w:val="20"/>
              </w:rPr>
              <w:t>Hydraulic Fracturing and Acidizing</w:t>
            </w:r>
          </w:p>
          <w:p w:rsidR="00635779" w:rsidRPr="00014023" w:rsidRDefault="00635779" w:rsidP="00014023">
            <w:pPr>
              <w:pStyle w:val="Bulletpointlist2"/>
              <w:keepNext/>
              <w:numPr>
                <w:ilvl w:val="0"/>
                <w:numId w:val="8"/>
              </w:numPr>
              <w:ind w:left="357" w:hanging="357"/>
              <w:rPr>
                <w:b w:val="0"/>
                <w:sz w:val="20"/>
                <w:szCs w:val="20"/>
              </w:rPr>
            </w:pPr>
            <w:r w:rsidRPr="00014023">
              <w:rPr>
                <w:b w:val="0"/>
                <w:sz w:val="20"/>
                <w:szCs w:val="20"/>
              </w:rPr>
              <w:t>Tubing Conveyed Perforating</w:t>
            </w:r>
          </w:p>
          <w:p w:rsidR="00635779" w:rsidRPr="00014023" w:rsidRDefault="00635779" w:rsidP="00014023">
            <w:pPr>
              <w:pStyle w:val="Bulletpointlist2"/>
              <w:keepNext/>
              <w:numPr>
                <w:ilvl w:val="0"/>
                <w:numId w:val="8"/>
              </w:numPr>
              <w:ind w:left="357" w:hanging="357"/>
              <w:rPr>
                <w:b w:val="0"/>
                <w:sz w:val="20"/>
                <w:szCs w:val="20"/>
              </w:rPr>
            </w:pPr>
            <w:r w:rsidRPr="00014023">
              <w:rPr>
                <w:b w:val="0"/>
                <w:sz w:val="20"/>
                <w:szCs w:val="20"/>
              </w:rPr>
              <w:t>Completions – Well Construction</w:t>
            </w:r>
            <w:r w:rsidR="00D9086B">
              <w:rPr>
                <w:b w:val="0"/>
                <w:sz w:val="20"/>
                <w:szCs w:val="20"/>
              </w:rPr>
              <w:t>*</w:t>
            </w:r>
          </w:p>
          <w:p w:rsidR="00635779" w:rsidRPr="00014023" w:rsidRDefault="00635779" w:rsidP="00014023">
            <w:pPr>
              <w:pStyle w:val="Bulletpointlist2"/>
              <w:keepNext/>
              <w:numPr>
                <w:ilvl w:val="0"/>
                <w:numId w:val="8"/>
              </w:numPr>
              <w:ind w:left="357" w:hanging="357"/>
              <w:rPr>
                <w:b w:val="0"/>
                <w:sz w:val="20"/>
                <w:szCs w:val="20"/>
              </w:rPr>
            </w:pPr>
            <w:r w:rsidRPr="00014023">
              <w:rPr>
                <w:b w:val="0"/>
                <w:sz w:val="20"/>
                <w:szCs w:val="20"/>
              </w:rPr>
              <w:t>Completions – Core Completions</w:t>
            </w:r>
            <w:r w:rsidR="002637AC" w:rsidRPr="00014023">
              <w:rPr>
                <w:b w:val="0"/>
                <w:sz w:val="20"/>
                <w:szCs w:val="20"/>
              </w:rPr>
              <w:t>*</w:t>
            </w:r>
          </w:p>
          <w:p w:rsidR="00635779" w:rsidRPr="00014023" w:rsidRDefault="00635779" w:rsidP="00014023">
            <w:pPr>
              <w:pStyle w:val="Bulletpointlist2"/>
              <w:keepNext/>
              <w:numPr>
                <w:ilvl w:val="0"/>
                <w:numId w:val="8"/>
              </w:numPr>
              <w:ind w:left="357" w:hanging="357"/>
              <w:rPr>
                <w:b w:val="0"/>
                <w:sz w:val="20"/>
                <w:szCs w:val="20"/>
              </w:rPr>
            </w:pPr>
            <w:r w:rsidRPr="00014023">
              <w:rPr>
                <w:b w:val="0"/>
                <w:sz w:val="20"/>
                <w:szCs w:val="20"/>
              </w:rPr>
              <w:t xml:space="preserve">Completions – Well Bore Intervention </w:t>
            </w:r>
          </w:p>
          <w:p w:rsidR="00635779" w:rsidRPr="00014023" w:rsidRDefault="00635779" w:rsidP="00014023">
            <w:pPr>
              <w:pStyle w:val="Bulletpointlist2"/>
              <w:keepNext/>
              <w:numPr>
                <w:ilvl w:val="0"/>
                <w:numId w:val="8"/>
              </w:numPr>
              <w:ind w:left="357" w:hanging="357"/>
              <w:rPr>
                <w:b w:val="0"/>
                <w:sz w:val="20"/>
                <w:szCs w:val="20"/>
              </w:rPr>
            </w:pPr>
            <w:r w:rsidRPr="00014023">
              <w:rPr>
                <w:b w:val="0"/>
                <w:sz w:val="20"/>
                <w:szCs w:val="20"/>
              </w:rPr>
              <w:t>Completions – Multi-Stage Fracturing</w:t>
            </w:r>
          </w:p>
        </w:tc>
      </w:tr>
    </w:tbl>
    <w:p w:rsidR="00635779" w:rsidRPr="00B77C9E" w:rsidRDefault="00635779" w:rsidP="00C50B3D">
      <w:pPr>
        <w:pStyle w:val="Source1"/>
        <w:ind w:left="567" w:firstLine="0"/>
      </w:pPr>
      <w:r w:rsidRPr="00B77C9E">
        <w:t>*The ACCC understands Halliburton</w:t>
      </w:r>
      <w:r w:rsidR="00DC1FB7">
        <w:t xml:space="preserve"> and / or Baker Hughes</w:t>
      </w:r>
      <w:r w:rsidRPr="00B77C9E">
        <w:t xml:space="preserve"> proposes that all or part of these businesses will be sold to third parties</w:t>
      </w:r>
      <w:r w:rsidR="00BA26AA">
        <w:t xml:space="preserve"> as outlined in paragraphs </w:t>
      </w:r>
      <w:r w:rsidR="00BA26AA">
        <w:fldChar w:fldCharType="begin"/>
      </w:r>
      <w:r w:rsidR="00BA26AA">
        <w:instrText xml:space="preserve"> REF _Ref432154776 \r \h </w:instrText>
      </w:r>
      <w:r w:rsidR="00BA26AA">
        <w:fldChar w:fldCharType="separate"/>
      </w:r>
      <w:r w:rsidR="00D42E5A">
        <w:t>27</w:t>
      </w:r>
      <w:r w:rsidR="00BA26AA">
        <w:fldChar w:fldCharType="end"/>
      </w:r>
      <w:r w:rsidR="00BA26AA">
        <w:t xml:space="preserve"> and </w:t>
      </w:r>
      <w:r w:rsidR="00BA26AA">
        <w:fldChar w:fldCharType="begin"/>
      </w:r>
      <w:r w:rsidR="00BA26AA">
        <w:instrText xml:space="preserve"> REF _Ref432154791 \r \h </w:instrText>
      </w:r>
      <w:r w:rsidR="00BA26AA">
        <w:fldChar w:fldCharType="separate"/>
      </w:r>
      <w:r w:rsidR="00D42E5A">
        <w:t>28</w:t>
      </w:r>
      <w:r w:rsidR="00BA26AA">
        <w:fldChar w:fldCharType="end"/>
      </w:r>
      <w:r w:rsidR="00BA26AA">
        <w:t xml:space="preserve"> above</w:t>
      </w:r>
      <w:r w:rsidRPr="00B77C9E">
        <w:t xml:space="preserve">. </w:t>
      </w:r>
    </w:p>
    <w:p w:rsidR="00635779" w:rsidRDefault="00635779" w:rsidP="00F1213F">
      <w:pPr>
        <w:pStyle w:val="Numbered"/>
      </w:pPr>
      <w:r>
        <w:t xml:space="preserve">The </w:t>
      </w:r>
      <w:r w:rsidR="00C12386">
        <w:t xml:space="preserve">extent of the </w:t>
      </w:r>
      <w:r>
        <w:t>overlap between the merger parties differs in each of the</w:t>
      </w:r>
      <w:r w:rsidR="001B774D">
        <w:t>se</w:t>
      </w:r>
      <w:r>
        <w:t xml:space="preserve"> </w:t>
      </w:r>
      <w:r w:rsidR="00017B00">
        <w:t>products</w:t>
      </w:r>
      <w:r w:rsidR="00D43BF0">
        <w:t xml:space="preserve">. </w:t>
      </w:r>
      <w:r>
        <w:t xml:space="preserve"> </w:t>
      </w:r>
    </w:p>
    <w:p w:rsidR="00635779" w:rsidRDefault="005A607F" w:rsidP="00C50B3D">
      <w:pPr>
        <w:pStyle w:val="Numbered"/>
      </w:pPr>
      <w:r>
        <w:t>The ACCC understands from market inquiries that p</w:t>
      </w:r>
      <w:r w:rsidR="001B774D">
        <w:t>ost-</w:t>
      </w:r>
      <w:r w:rsidR="00635779">
        <w:t xml:space="preserve">acquisition, Halliburton </w:t>
      </w:r>
      <w:r w:rsidR="000A264C">
        <w:t xml:space="preserve">would </w:t>
      </w:r>
      <w:r w:rsidR="00635779">
        <w:t xml:space="preserve">be the </w:t>
      </w:r>
      <w:r w:rsidR="0082512E">
        <w:t>largest supplier</w:t>
      </w:r>
      <w:r w:rsidR="00C12386">
        <w:t xml:space="preserve"> in Australia of</w:t>
      </w:r>
      <w:r w:rsidR="00635779">
        <w:t xml:space="preserve"> a number of different</w:t>
      </w:r>
      <w:r w:rsidR="00017B00">
        <w:t xml:space="preserve"> product</w:t>
      </w:r>
      <w:r w:rsidR="00635779">
        <w:t xml:space="preserve">s. </w:t>
      </w:r>
    </w:p>
    <w:p w:rsidR="0080283E" w:rsidRDefault="00963FBB">
      <w:pPr>
        <w:pStyle w:val="Numbered"/>
      </w:pPr>
      <w:r>
        <w:t>The ACCC also understa</w:t>
      </w:r>
      <w:r w:rsidR="00B108D9">
        <w:t>nds the merge</w:t>
      </w:r>
      <w:r w:rsidR="00DC1FB7">
        <w:t>r</w:t>
      </w:r>
      <w:r w:rsidR="00B108D9">
        <w:t xml:space="preserve"> parties offer </w:t>
      </w:r>
      <w:r w:rsidR="00DC1FB7">
        <w:t xml:space="preserve">certain </w:t>
      </w:r>
      <w:r w:rsidR="00017B00">
        <w:t>products</w:t>
      </w:r>
      <w:r w:rsidR="00B108D9">
        <w:t xml:space="preserve"> </w:t>
      </w:r>
      <w:r w:rsidR="00B77A1F">
        <w:t xml:space="preserve">in other </w:t>
      </w:r>
      <w:r w:rsidR="00DC1FB7">
        <w:t>markets</w:t>
      </w:r>
      <w:r w:rsidR="00B77A1F">
        <w:t xml:space="preserve"> </w:t>
      </w:r>
      <w:r w:rsidR="00B108D9">
        <w:t xml:space="preserve">but do not overlap in Australia at present. </w:t>
      </w:r>
    </w:p>
    <w:p w:rsidR="00981900" w:rsidRPr="007D42CF" w:rsidRDefault="009A406B" w:rsidP="00C50B3D">
      <w:pPr>
        <w:pStyle w:val="Heading4"/>
      </w:pPr>
      <w:r>
        <w:t>Market</w:t>
      </w:r>
      <w:r w:rsidR="007A462A">
        <w:t>s</w:t>
      </w:r>
      <w:r>
        <w:t xml:space="preserve"> for i</w:t>
      </w:r>
      <w:r w:rsidR="00981900">
        <w:t>ndividual products and services</w:t>
      </w:r>
    </w:p>
    <w:p w:rsidR="00095D73" w:rsidRDefault="00DD78B8" w:rsidP="00C50B3D">
      <w:pPr>
        <w:pStyle w:val="Numbered"/>
      </w:pPr>
      <w:r>
        <w:t xml:space="preserve">The ACCC understands that competition often occurs </w:t>
      </w:r>
      <w:r w:rsidR="0069649E">
        <w:t xml:space="preserve">by </w:t>
      </w:r>
      <w:r w:rsidR="00C50B3D">
        <w:t>good</w:t>
      </w:r>
      <w:r w:rsidR="0069649E">
        <w:t xml:space="preserve"> or service category. </w:t>
      </w:r>
      <w:r w:rsidR="00981900">
        <w:t xml:space="preserve">The ACCC is considering separate markets for the 21 </w:t>
      </w:r>
      <w:r w:rsidR="00C50B3D">
        <w:t xml:space="preserve">good </w:t>
      </w:r>
      <w:r w:rsidR="00981900">
        <w:t xml:space="preserve"> and service</w:t>
      </w:r>
      <w:r w:rsidR="0069649E">
        <w:t xml:space="preserve"> categories</w:t>
      </w:r>
      <w:r w:rsidR="00981900">
        <w:t xml:space="preserve"> identified in </w:t>
      </w:r>
      <w:r w:rsidR="00981900" w:rsidRPr="004D52E6">
        <w:rPr>
          <w:b/>
        </w:rPr>
        <w:fldChar w:fldCharType="begin"/>
      </w:r>
      <w:r w:rsidR="00981900" w:rsidRPr="004D52E6">
        <w:rPr>
          <w:b/>
        </w:rPr>
        <w:instrText xml:space="preserve"> REF _Ref429732271 \h </w:instrText>
      </w:r>
      <w:r w:rsidR="00981900">
        <w:rPr>
          <w:b/>
        </w:rPr>
        <w:instrText xml:space="preserve"> \* MERGEFORMAT </w:instrText>
      </w:r>
      <w:r w:rsidR="00981900" w:rsidRPr="004D52E6">
        <w:rPr>
          <w:b/>
        </w:rPr>
      </w:r>
      <w:r w:rsidR="00981900" w:rsidRPr="004D52E6">
        <w:rPr>
          <w:b/>
        </w:rPr>
        <w:fldChar w:fldCharType="separate"/>
      </w:r>
      <w:r w:rsidR="00D42E5A" w:rsidRPr="00D42E5A">
        <w:rPr>
          <w:b/>
        </w:rPr>
        <w:t xml:space="preserve">Table </w:t>
      </w:r>
      <w:r w:rsidR="00D42E5A" w:rsidRPr="00D42E5A">
        <w:rPr>
          <w:b/>
          <w:noProof/>
        </w:rPr>
        <w:t>1</w:t>
      </w:r>
      <w:r w:rsidR="00981900" w:rsidRPr="004D52E6">
        <w:rPr>
          <w:b/>
        </w:rPr>
        <w:fldChar w:fldCharType="end"/>
      </w:r>
      <w:r w:rsidR="0069649E">
        <w:rPr>
          <w:b/>
        </w:rPr>
        <w:t xml:space="preserve">. </w:t>
      </w:r>
      <w:r w:rsidR="00981900">
        <w:t xml:space="preserve"> </w:t>
      </w:r>
      <w:r w:rsidR="00095D73">
        <w:t>For functional reasons, E&amp;Ps</w:t>
      </w:r>
      <w:r w:rsidR="00F6101D">
        <w:t xml:space="preserve"> are</w:t>
      </w:r>
      <w:r w:rsidR="00095D73">
        <w:t xml:space="preserve"> not able to substitute one </w:t>
      </w:r>
      <w:r w:rsidR="00C50B3D">
        <w:t>good</w:t>
      </w:r>
      <w:r w:rsidR="00095D73">
        <w:t xml:space="preserve"> or service for another.  </w:t>
      </w:r>
    </w:p>
    <w:p w:rsidR="00981900" w:rsidRDefault="00981900">
      <w:pPr>
        <w:pStyle w:val="Numbered"/>
      </w:pPr>
      <w:r>
        <w:t xml:space="preserve">Tendering is often conducted on the basis of these </w:t>
      </w:r>
      <w:r w:rsidR="00C50B3D">
        <w:t>good</w:t>
      </w:r>
      <w:r>
        <w:t xml:space="preserve"> and service </w:t>
      </w:r>
      <w:r w:rsidR="004123F8">
        <w:t>categories</w:t>
      </w:r>
      <w:r>
        <w:t xml:space="preserve">. </w:t>
      </w:r>
      <w:r w:rsidR="004123F8">
        <w:t>The ACCC understands that suppliers also typically struct</w:t>
      </w:r>
      <w:r w:rsidR="00095D73">
        <w:t xml:space="preserve">ure business units in line with, or on a very similar basis to, </w:t>
      </w:r>
      <w:r w:rsidR="004123F8" w:rsidRPr="00095D73">
        <w:rPr>
          <w:b/>
        </w:rPr>
        <w:t>Table 1</w:t>
      </w:r>
      <w:r w:rsidR="004123F8">
        <w:t>. S</w:t>
      </w:r>
      <w:r>
        <w:t xml:space="preserve">uppliers of </w:t>
      </w:r>
      <w:r w:rsidR="004123F8">
        <w:t>a certain category</w:t>
      </w:r>
      <w:r>
        <w:t xml:space="preserve"> </w:t>
      </w:r>
      <w:r w:rsidR="004123F8">
        <w:t>cannot easily</w:t>
      </w:r>
      <w:r>
        <w:t xml:space="preserve"> switch production </w:t>
      </w:r>
      <w:r w:rsidR="004123F8">
        <w:t xml:space="preserve">into an alternative category, </w:t>
      </w:r>
      <w:r>
        <w:t>in response to a small increase in price</w:t>
      </w:r>
      <w:r w:rsidR="004123F8">
        <w:t>.</w:t>
      </w:r>
      <w:r>
        <w:t xml:space="preserve"> This is because there are spec</w:t>
      </w:r>
      <w:r w:rsidR="00D65BAA">
        <w:t>ialised production processes,</w:t>
      </w:r>
      <w:r>
        <w:t xml:space="preserve"> </w:t>
      </w:r>
      <w:r w:rsidR="00FE6A46">
        <w:t>R&amp;D</w:t>
      </w:r>
      <w:r w:rsidR="00F6101D">
        <w:t>,</w:t>
      </w:r>
      <w:r w:rsidR="00D65BAA">
        <w:t xml:space="preserve"> training and expertise</w:t>
      </w:r>
      <w:r>
        <w:t xml:space="preserve"> required.</w:t>
      </w:r>
      <w:r w:rsidR="00907E11">
        <w:t xml:space="preserve"> </w:t>
      </w:r>
    </w:p>
    <w:p w:rsidR="00DC1FB7" w:rsidRDefault="00981900">
      <w:pPr>
        <w:pStyle w:val="Numbered"/>
      </w:pPr>
      <w:r>
        <w:t>The ACCC is exploring the boundaries of these individual product markets further</w:t>
      </w:r>
      <w:r w:rsidR="00737C5E">
        <w:t>, including whether a broader approach to market definition may be appropriate,</w:t>
      </w:r>
      <w:r>
        <w:t xml:space="preserve"> and invites submissions from market participants on this issue.</w:t>
      </w:r>
    </w:p>
    <w:p w:rsidR="00DC1FB7" w:rsidRDefault="00DC1FB7" w:rsidP="00725B71">
      <w:pPr>
        <w:pStyle w:val="Heading4"/>
      </w:pPr>
      <w:r>
        <w:t xml:space="preserve">Market for integrated services </w:t>
      </w:r>
    </w:p>
    <w:p w:rsidR="00703737" w:rsidRDefault="00BA26AA" w:rsidP="00725B71">
      <w:pPr>
        <w:pStyle w:val="Numbered"/>
      </w:pPr>
      <w:r>
        <w:t>Based on market feedback, t</w:t>
      </w:r>
      <w:r w:rsidR="00DC1FB7">
        <w:t xml:space="preserve">he ACCC’s preliminary view is that in addition to individual product markets, there is a market for integrated services in Australia. </w:t>
      </w:r>
      <w:r w:rsidR="0039437C">
        <w:t xml:space="preserve">The ACCC understands that there is a range of tendering and supply behaviours evident in oilfield services. The ACCC has received feedback </w:t>
      </w:r>
      <w:r w:rsidR="00C50B3D">
        <w:t xml:space="preserve">that </w:t>
      </w:r>
      <w:r w:rsidR="0039437C">
        <w:t>i</w:t>
      </w:r>
      <w:r w:rsidR="00DC1FB7">
        <w:t>ntegrated services</w:t>
      </w:r>
      <w:r w:rsidR="00DA4D42">
        <w:t xml:space="preserve"> involve the provision of </w:t>
      </w:r>
      <w:r w:rsidR="001347EE">
        <w:t xml:space="preserve">a package of </w:t>
      </w:r>
      <w:r w:rsidR="0059573C">
        <w:t>goods</w:t>
      </w:r>
      <w:r w:rsidR="001347EE">
        <w:t xml:space="preserve"> and services</w:t>
      </w:r>
      <w:r w:rsidR="00896AF0">
        <w:t>,</w:t>
      </w:r>
      <w:r w:rsidR="001347EE">
        <w:t xml:space="preserve"> </w:t>
      </w:r>
      <w:r w:rsidR="00703737">
        <w:t xml:space="preserve">with the oilfield </w:t>
      </w:r>
      <w:r w:rsidR="0059573C">
        <w:t xml:space="preserve">service </w:t>
      </w:r>
      <w:r w:rsidR="00703737">
        <w:t xml:space="preserve">provider </w:t>
      </w:r>
      <w:r w:rsidR="001D64E6">
        <w:t xml:space="preserve">also </w:t>
      </w:r>
      <w:r w:rsidR="00703737">
        <w:t xml:space="preserve">offering some form of coordination or managed delivery of these products across the package of </w:t>
      </w:r>
      <w:r w:rsidR="0059573C">
        <w:t>goods</w:t>
      </w:r>
      <w:r w:rsidR="00703737">
        <w:t xml:space="preserve"> and services provided. </w:t>
      </w:r>
    </w:p>
    <w:p w:rsidR="001347EE" w:rsidRDefault="001347EE">
      <w:pPr>
        <w:pStyle w:val="Numbered"/>
      </w:pPr>
      <w:r>
        <w:lastRenderedPageBreak/>
        <w:t xml:space="preserve">The ACCC understands that there is a spectrum of </w:t>
      </w:r>
      <w:r w:rsidR="00DC2A6A">
        <w:t>integration</w:t>
      </w:r>
      <w:r>
        <w:t xml:space="preserve">.  </w:t>
      </w:r>
    </w:p>
    <w:p w:rsidR="005F4750" w:rsidRDefault="00B64EB0">
      <w:pPr>
        <w:pStyle w:val="Numbered"/>
      </w:pPr>
      <w:r>
        <w:t>T</w:t>
      </w:r>
      <w:r w:rsidR="001347EE">
        <w:t xml:space="preserve">he more sophisticated end of the spectrum is where </w:t>
      </w:r>
      <w:r>
        <w:t xml:space="preserve">an </w:t>
      </w:r>
      <w:r w:rsidR="001347EE">
        <w:t>oilfield services provide</w:t>
      </w:r>
      <w:r>
        <w:t>r</w:t>
      </w:r>
      <w:r w:rsidR="001347EE">
        <w:t xml:space="preserve"> provides </w:t>
      </w:r>
      <w:r w:rsidR="00686697">
        <w:t>project management for a project as a s</w:t>
      </w:r>
      <w:r w:rsidR="00283FA9">
        <w:t>eparate service</w:t>
      </w:r>
      <w:r w:rsidR="00686697">
        <w:t xml:space="preserve"> which the ACCC understands</w:t>
      </w:r>
      <w:r w:rsidR="000F397A">
        <w:t xml:space="preserve"> </w:t>
      </w:r>
      <w:r w:rsidR="00686697">
        <w:t xml:space="preserve">is </w:t>
      </w:r>
      <w:r w:rsidR="00205C80">
        <w:t xml:space="preserve">generally </w:t>
      </w:r>
      <w:r w:rsidR="000F397A">
        <w:t>referred to as</w:t>
      </w:r>
      <w:r w:rsidR="00DC1FB7">
        <w:t xml:space="preserve"> </w:t>
      </w:r>
      <w:r w:rsidR="000F397A">
        <w:t>‘Integrated Project Management’ or ‘Integrated Services’</w:t>
      </w:r>
      <w:r w:rsidR="00D47A0F">
        <w:t xml:space="preserve">. </w:t>
      </w:r>
      <w:r w:rsidR="00C50B3D">
        <w:t>While t</w:t>
      </w:r>
      <w:r w:rsidR="001347EE">
        <w:t xml:space="preserve">he ACCC understands that the merger parties </w:t>
      </w:r>
      <w:r w:rsidR="005F4750">
        <w:t>do</w:t>
      </w:r>
      <w:r w:rsidR="00341233">
        <w:t xml:space="preserve"> not currently </w:t>
      </w:r>
      <w:r w:rsidR="005F4750">
        <w:t>supply</w:t>
      </w:r>
      <w:r w:rsidR="001347EE">
        <w:t xml:space="preserve"> </w:t>
      </w:r>
      <w:r w:rsidR="00283FA9">
        <w:t xml:space="preserve">project management as a separate service line </w:t>
      </w:r>
      <w:r w:rsidR="005F4750">
        <w:t>to any Australian</w:t>
      </w:r>
      <w:r w:rsidR="00341233">
        <w:t xml:space="preserve"> projects</w:t>
      </w:r>
      <w:r w:rsidR="005F4750">
        <w:t>,</w:t>
      </w:r>
      <w:r w:rsidR="00341233">
        <w:t xml:space="preserve"> </w:t>
      </w:r>
      <w:r w:rsidR="006F1464">
        <w:t xml:space="preserve">the ACCC understands that </w:t>
      </w:r>
      <w:r w:rsidR="00C50B3D">
        <w:t xml:space="preserve">project management is provided </w:t>
      </w:r>
      <w:r w:rsidR="005F4750">
        <w:t>by the merger parties in other markets</w:t>
      </w:r>
      <w:r w:rsidR="00A8691E">
        <w:rPr>
          <w:rStyle w:val="FootnoteReference"/>
        </w:rPr>
        <w:footnoteReference w:id="17"/>
      </w:r>
      <w:r w:rsidR="00C50B3D">
        <w:t>.</w:t>
      </w:r>
      <w:r w:rsidR="00257F64">
        <w:t xml:space="preserve"> </w:t>
      </w:r>
    </w:p>
    <w:p w:rsidR="00DC1FB7" w:rsidRDefault="000B3D0B">
      <w:pPr>
        <w:pStyle w:val="Numbered"/>
      </w:pPr>
      <w:r>
        <w:t>M</w:t>
      </w:r>
      <w:r w:rsidR="00D47A0F">
        <w:t xml:space="preserve">arket feedback suggests that the </w:t>
      </w:r>
      <w:r w:rsidR="00257F64">
        <w:t xml:space="preserve">Australian </w:t>
      </w:r>
      <w:r w:rsidR="000A603B">
        <w:t>market</w:t>
      </w:r>
      <w:r w:rsidR="00257F64">
        <w:t xml:space="preserve"> </w:t>
      </w:r>
      <w:r w:rsidR="00D47A0F">
        <w:t>may be</w:t>
      </w:r>
      <w:r w:rsidR="00257F64">
        <w:t xml:space="preserve"> moving </w:t>
      </w:r>
      <w:r w:rsidR="005F4750">
        <w:t>away from contracts</w:t>
      </w:r>
      <w:r w:rsidR="006F1464">
        <w:t xml:space="preserve"> for individual products</w:t>
      </w:r>
      <w:r w:rsidR="005F4750">
        <w:t xml:space="preserve"> and</w:t>
      </w:r>
      <w:r w:rsidR="00257F64">
        <w:t xml:space="preserve"> towards</w:t>
      </w:r>
      <w:r w:rsidR="003778F9">
        <w:t xml:space="preserve"> </w:t>
      </w:r>
      <w:r w:rsidR="006F1464">
        <w:t xml:space="preserve">broader </w:t>
      </w:r>
      <w:r w:rsidR="003778F9">
        <w:t xml:space="preserve">packages </w:t>
      </w:r>
      <w:r w:rsidR="006F1464">
        <w:t>including</w:t>
      </w:r>
      <w:r w:rsidR="00053A6C" w:rsidRPr="00053A6C">
        <w:t xml:space="preserve"> </w:t>
      </w:r>
      <w:r w:rsidR="00053A6C">
        <w:t>Integrated Project Management</w:t>
      </w:r>
      <w:r w:rsidR="00D93935">
        <w:t xml:space="preserve"> or Integrated Services</w:t>
      </w:r>
      <w:r w:rsidR="00053A6C">
        <w:t xml:space="preserve">, and </w:t>
      </w:r>
      <w:r w:rsidR="00D47A0F">
        <w:t>that</w:t>
      </w:r>
      <w:r w:rsidR="00283FA9">
        <w:t xml:space="preserve"> some oilfield service providers are</w:t>
      </w:r>
      <w:r w:rsidR="00053A6C">
        <w:t xml:space="preserve"> actively </w:t>
      </w:r>
      <w:r w:rsidR="000A603B">
        <w:t xml:space="preserve">providing </w:t>
      </w:r>
      <w:r w:rsidR="00D47A0F">
        <w:t>services of this kind to Australian E&amp;Ps</w:t>
      </w:r>
      <w:r w:rsidR="00257F64">
        <w:t>.</w:t>
      </w:r>
    </w:p>
    <w:p w:rsidR="000A603B" w:rsidRDefault="00D551DD">
      <w:pPr>
        <w:pStyle w:val="Numbered"/>
      </w:pPr>
      <w:r>
        <w:t>Another form of integration is where o</w:t>
      </w:r>
      <w:r w:rsidR="00B64EB0">
        <w:t xml:space="preserve">ilfield service providers offer price discounts across </w:t>
      </w:r>
      <w:r w:rsidR="00963847">
        <w:t>a package of</w:t>
      </w:r>
      <w:r w:rsidR="00B64EB0">
        <w:t xml:space="preserve"> </w:t>
      </w:r>
      <w:r w:rsidR="003778F9">
        <w:t>good</w:t>
      </w:r>
      <w:r w:rsidR="00B64EB0">
        <w:t>s and/or services</w:t>
      </w:r>
      <w:r w:rsidR="00DC2A6A">
        <w:t>,</w:t>
      </w:r>
      <w:r w:rsidR="00B64EB0">
        <w:t xml:space="preserve"> together</w:t>
      </w:r>
      <w:r w:rsidR="00686697">
        <w:t xml:space="preserve"> with some form of </w:t>
      </w:r>
      <w:r w:rsidR="005F4750">
        <w:t xml:space="preserve">service or project </w:t>
      </w:r>
      <w:r w:rsidR="00686697">
        <w:t>coordination</w:t>
      </w:r>
      <w:r w:rsidR="005F4750">
        <w:t xml:space="preserve">.  </w:t>
      </w:r>
      <w:r w:rsidR="004A7D2E">
        <w:t>C</w:t>
      </w:r>
      <w:r w:rsidR="005F4750">
        <w:t>oordination</w:t>
      </w:r>
      <w:r w:rsidR="00686697">
        <w:t xml:space="preserve"> ensures the delivery of </w:t>
      </w:r>
      <w:r w:rsidR="004A7D2E">
        <w:t>several</w:t>
      </w:r>
      <w:r w:rsidR="00963847">
        <w:t xml:space="preserve"> good</w:t>
      </w:r>
      <w:r w:rsidR="001113B7">
        <w:t xml:space="preserve">s and services is </w:t>
      </w:r>
      <w:r w:rsidR="004A7D2E">
        <w:t xml:space="preserve">efficient and </w:t>
      </w:r>
      <w:r w:rsidR="001113B7">
        <w:t>harmonised</w:t>
      </w:r>
      <w:r w:rsidR="004A7D2E">
        <w:t>, which</w:t>
      </w:r>
      <w:r w:rsidR="005F4750">
        <w:t xml:space="preserve"> can benefit E&amp;Ps</w:t>
      </w:r>
      <w:r w:rsidR="001113B7">
        <w:t xml:space="preserve">. </w:t>
      </w:r>
      <w:r w:rsidR="00283FA9">
        <w:t xml:space="preserve">Market feedback indicates that some form of co-ordination </w:t>
      </w:r>
      <w:r w:rsidR="006F1464">
        <w:t>maybe</w:t>
      </w:r>
      <w:r w:rsidR="00283FA9">
        <w:t xml:space="preserve"> </w:t>
      </w:r>
      <w:r w:rsidR="005F4750">
        <w:t>offered by providers</w:t>
      </w:r>
      <w:r w:rsidR="00283FA9">
        <w:t xml:space="preserve"> where E&amp;Ps purchase a number of products or services. </w:t>
      </w:r>
      <w:r>
        <w:t xml:space="preserve"> </w:t>
      </w:r>
    </w:p>
    <w:p w:rsidR="00F1213F" w:rsidRDefault="00DC1FB7">
      <w:pPr>
        <w:pStyle w:val="Numbered"/>
      </w:pPr>
      <w:r>
        <w:t>While the ACCC is considering this market across all projects in Australia, market feedback suggests</w:t>
      </w:r>
      <w:r w:rsidR="000F397A">
        <w:t xml:space="preserve"> that customers are more likely </w:t>
      </w:r>
      <w:r w:rsidR="00D551DD">
        <w:t xml:space="preserve">to </w:t>
      </w:r>
      <w:r w:rsidR="000F397A">
        <w:t xml:space="preserve">demand </w:t>
      </w:r>
      <w:r w:rsidR="00725B71">
        <w:t>a</w:t>
      </w:r>
      <w:r w:rsidR="000F397A">
        <w:t xml:space="preserve"> more sophisticated</w:t>
      </w:r>
      <w:r>
        <w:t xml:space="preserve"> </w:t>
      </w:r>
      <w:r w:rsidR="00725B71">
        <w:t>package of</w:t>
      </w:r>
      <w:r w:rsidR="0048542C">
        <w:t xml:space="preserve"> oilfield</w:t>
      </w:r>
      <w:r>
        <w:t xml:space="preserve"> services </w:t>
      </w:r>
      <w:r w:rsidR="000F397A">
        <w:t>for</w:t>
      </w:r>
      <w:r>
        <w:t xml:space="preserve"> complex projects (such as </w:t>
      </w:r>
      <w:proofErr w:type="spellStart"/>
      <w:r>
        <w:t>deepwater</w:t>
      </w:r>
      <w:proofErr w:type="spellEnd"/>
      <w:r>
        <w:rPr>
          <w:rStyle w:val="FootnoteReference"/>
        </w:rPr>
        <w:footnoteReference w:id="18"/>
      </w:r>
      <w:r>
        <w:t xml:space="preserve"> or high pressure, high temperature (</w:t>
      </w:r>
      <w:r w:rsidRPr="00E4500A">
        <w:rPr>
          <w:b/>
        </w:rPr>
        <w:t>HPHT</w:t>
      </w:r>
      <w:r>
        <w:t>)</w:t>
      </w:r>
      <w:r>
        <w:rPr>
          <w:rStyle w:val="FootnoteReference"/>
        </w:rPr>
        <w:footnoteReference w:id="19"/>
      </w:r>
      <w:r>
        <w:t xml:space="preserve"> projects). The ACCC has also not ruled out the possibility there are separate markets for integrated services for onshore and offshore drilling projects. </w:t>
      </w:r>
    </w:p>
    <w:p w:rsidR="00DC1FB7" w:rsidRDefault="00664616" w:rsidP="00725B71">
      <w:pPr>
        <w:pStyle w:val="Numbered"/>
      </w:pPr>
      <w:r>
        <w:t>The ACCC’s preliminary view is that there is a market for integrated services which is not limited to project m</w:t>
      </w:r>
      <w:r w:rsidR="00963847">
        <w:t>anagement supplied as an additional</w:t>
      </w:r>
      <w:r>
        <w:t xml:space="preserve"> service line.  However the ACCC notes that it has received mixed feedback in this respect and would welcome further information regarding the extent to which integrated or coordinated services are currently offered, or expected to</w:t>
      </w:r>
      <w:r w:rsidR="00205C80">
        <w:t xml:space="preserve"> be</w:t>
      </w:r>
      <w:r>
        <w:t xml:space="preserve"> offered in the future. </w:t>
      </w:r>
    </w:p>
    <w:p w:rsidR="00DE2ABA" w:rsidRDefault="00DC1FB7" w:rsidP="00F1213F">
      <w:pPr>
        <w:pStyle w:val="Numbered"/>
      </w:pPr>
      <w:r>
        <w:t>Integrated services are discussed in more detail</w:t>
      </w:r>
      <w:r w:rsidR="00A57DBC">
        <w:t xml:space="preserve"> at</w:t>
      </w:r>
      <w:r>
        <w:t xml:space="preserve"> </w:t>
      </w:r>
      <w:r w:rsidR="00B64EB0">
        <w:t xml:space="preserve">paragraph </w:t>
      </w:r>
      <w:r w:rsidR="00B64EB0">
        <w:fldChar w:fldCharType="begin"/>
      </w:r>
      <w:r w:rsidR="00B64EB0">
        <w:instrText xml:space="preserve"> REF _Ref433117924 \r \h </w:instrText>
      </w:r>
      <w:r w:rsidR="00B64EB0">
        <w:fldChar w:fldCharType="separate"/>
      </w:r>
      <w:r w:rsidR="00D42E5A">
        <w:t>104</w:t>
      </w:r>
      <w:r w:rsidR="00B64EB0">
        <w:fldChar w:fldCharType="end"/>
      </w:r>
      <w:r w:rsidR="00B64EB0">
        <w:t xml:space="preserve"> </w:t>
      </w:r>
      <w:r>
        <w:t xml:space="preserve">below. </w:t>
      </w:r>
    </w:p>
    <w:p w:rsidR="00C472A8" w:rsidRPr="00AF6DE1" w:rsidRDefault="00C472A8" w:rsidP="0012089E">
      <w:pPr>
        <w:pStyle w:val="Heading4"/>
      </w:pPr>
      <w:r>
        <w:t>Offshore and onshore drilling projects</w:t>
      </w:r>
    </w:p>
    <w:p w:rsidR="006B779B" w:rsidRDefault="006B779B" w:rsidP="000769AD">
      <w:pPr>
        <w:pStyle w:val="Numbered"/>
      </w:pPr>
      <w:r>
        <w:t>The ACCC considers that substitution possibilities, and thus competitive constraints, can also depend on whether the customer requires oilfield services for offshore or onshore drilling projects. Thus</w:t>
      </w:r>
      <w:r w:rsidR="008726E9">
        <w:t>,</w:t>
      </w:r>
      <w:r>
        <w:t xml:space="preserve"> the ACCC proposes to further define markets for onshore and offshore drilling. </w:t>
      </w:r>
    </w:p>
    <w:p w:rsidR="00BA26AA" w:rsidRDefault="00BA26AA">
      <w:pPr>
        <w:pStyle w:val="Numbered"/>
      </w:pPr>
      <w:r>
        <w:lastRenderedPageBreak/>
        <w:t xml:space="preserve">The ACCC understands that equipment is typically not substituted between the two </w:t>
      </w:r>
      <w:r w:rsidR="000A264C">
        <w:t>environments</w:t>
      </w:r>
      <w:r>
        <w:t>.</w:t>
      </w:r>
      <w:r w:rsidR="00D65BAA">
        <w:t xml:space="preserve"> </w:t>
      </w:r>
      <w:r>
        <w:t>Onshore equipment is typically not suitable fo</w:t>
      </w:r>
      <w:r w:rsidR="002E7CA0">
        <w:t xml:space="preserve">r offshore requirements and </w:t>
      </w:r>
      <w:r w:rsidR="00DB6AA2">
        <w:t>vice</w:t>
      </w:r>
      <w:r>
        <w:t xml:space="preserve"> versa. However, there may be some tools or equipment which are useful </w:t>
      </w:r>
      <w:r w:rsidR="000B3623">
        <w:t xml:space="preserve">for </w:t>
      </w:r>
      <w:r>
        <w:t>both onshore and offshore</w:t>
      </w:r>
      <w:r w:rsidR="000B3623">
        <w:t xml:space="preserve"> projects</w:t>
      </w:r>
      <w:r>
        <w:t xml:space="preserve">. </w:t>
      </w:r>
      <w:r w:rsidR="000B66F9">
        <w:t xml:space="preserve">In addition, as discussed in more detail below the ACCC understands that offshore projects are associated with greater risks than onshore projects, which may have an impact on substitution </w:t>
      </w:r>
      <w:r w:rsidR="00D93935">
        <w:t>possibilities</w:t>
      </w:r>
      <w:r w:rsidR="000B66F9">
        <w:t xml:space="preserve">. </w:t>
      </w:r>
      <w:r>
        <w:t xml:space="preserve">The ACCC is exploring these issues further. </w:t>
      </w:r>
    </w:p>
    <w:p w:rsidR="006B779B" w:rsidRDefault="006B779B">
      <w:pPr>
        <w:pStyle w:val="Numbered"/>
      </w:pPr>
      <w:r>
        <w:t>In addition, the ACCC considers that the substitution possibilities available to customers in the Cooper Basin are different to those available to customers in other onshore locations</w:t>
      </w:r>
      <w:r w:rsidR="00BA26AA">
        <w:t xml:space="preserve">. This is because the Cooper Basin has geological characteristics more complex than other onshore operations and </w:t>
      </w:r>
      <w:r w:rsidR="00F1314F">
        <w:t xml:space="preserve">is more remote than most onshore basins. The ACCC </w:t>
      </w:r>
      <w:r>
        <w:t xml:space="preserve">proposes to </w:t>
      </w:r>
      <w:r w:rsidR="000A264C">
        <w:t xml:space="preserve">treat </w:t>
      </w:r>
      <w:r>
        <w:t xml:space="preserve">the Cooper Basin as a segment of the onshore market. </w:t>
      </w:r>
    </w:p>
    <w:p w:rsidR="00346285" w:rsidRDefault="00346285" w:rsidP="009A2051">
      <w:pPr>
        <w:pStyle w:val="Heading4"/>
      </w:pPr>
      <w:r>
        <w:t>Geographic market</w:t>
      </w:r>
      <w:r w:rsidR="004174AC">
        <w:t xml:space="preserve"> </w:t>
      </w:r>
    </w:p>
    <w:p w:rsidR="007B4777" w:rsidRDefault="007B4777" w:rsidP="009A2051">
      <w:pPr>
        <w:pStyle w:val="Numbered"/>
      </w:pPr>
      <w:r w:rsidRPr="007B4777">
        <w:t xml:space="preserve">The merger parties are global entities with operations in a number of countries.  Market inquiries indicate that the parties are able to move assets from country to country in response to demand and supply imbalances.  </w:t>
      </w:r>
    </w:p>
    <w:p w:rsidR="007B4777" w:rsidRPr="007B4777" w:rsidRDefault="000B3623">
      <w:pPr>
        <w:pStyle w:val="Numbered"/>
      </w:pPr>
      <w:r>
        <w:t>T</w:t>
      </w:r>
      <w:r w:rsidR="007B4777" w:rsidRPr="007B4777">
        <w:t xml:space="preserve">here are </w:t>
      </w:r>
      <w:r>
        <w:t xml:space="preserve">therefore </w:t>
      </w:r>
      <w:r w:rsidR="007B4777" w:rsidRPr="007B4777">
        <w:t>global dimensions to competition that are relevant to the ACCC’s assessmen</w:t>
      </w:r>
      <w:r w:rsidR="00D65BAA">
        <w:t xml:space="preserve">t of the proposed acquisition. </w:t>
      </w:r>
      <w:r w:rsidR="007B4777" w:rsidRPr="007B4777">
        <w:t>Nevertheless, the ACCC considers that the geographic dimension of all the relevant pro</w:t>
      </w:r>
      <w:r>
        <w:t>duct markets is Australia-wide for the reasons below.</w:t>
      </w:r>
    </w:p>
    <w:p w:rsidR="00C72BED" w:rsidRDefault="00640DC5">
      <w:pPr>
        <w:pStyle w:val="Numbered"/>
      </w:pPr>
      <w:r>
        <w:t>Initial m</w:t>
      </w:r>
      <w:r w:rsidR="009A406B">
        <w:t>arket feedback indicates that</w:t>
      </w:r>
      <w:r w:rsidR="000A264C">
        <w:t>, in relation to Australian projects, E&amp;Ps</w:t>
      </w:r>
      <w:r w:rsidR="00F1314F">
        <w:t xml:space="preserve"> seek and award tenders to oilfield services</w:t>
      </w:r>
      <w:r w:rsidR="007B4777" w:rsidRPr="007B4777">
        <w:t xml:space="preserve"> </w:t>
      </w:r>
      <w:r w:rsidR="00C201F2">
        <w:t>providers</w:t>
      </w:r>
      <w:r w:rsidR="00C201F2" w:rsidRPr="007B4777">
        <w:t xml:space="preserve"> </w:t>
      </w:r>
      <w:r w:rsidR="007B4777" w:rsidRPr="007B4777">
        <w:t xml:space="preserve">who have a physical presence in Australia. There are different oil and gas basins around Australia and oilfield services </w:t>
      </w:r>
      <w:r w:rsidR="00C201F2">
        <w:t>providers</w:t>
      </w:r>
      <w:r w:rsidR="007B4777" w:rsidRPr="007B4777">
        <w:t xml:space="preserve"> often have support infrastructure proximate to the basin. However, oilfield services can often be </w:t>
      </w:r>
      <w:r w:rsidR="00C201F2">
        <w:t>provided</w:t>
      </w:r>
      <w:r w:rsidR="007B4777" w:rsidRPr="007B4777">
        <w:t xml:space="preserve"> from a main support base with auxiliary bases closer to the drilling operations. </w:t>
      </w:r>
    </w:p>
    <w:p w:rsidR="007B4777" w:rsidRPr="007B4777" w:rsidRDefault="00C72BED">
      <w:pPr>
        <w:pStyle w:val="Numbered"/>
      </w:pPr>
      <w:r>
        <w:t>T</w:t>
      </w:r>
      <w:r w:rsidR="007B4777" w:rsidRPr="007B4777">
        <w:t>he ACCC understands that some products and services (</w:t>
      </w:r>
      <w:r w:rsidR="008726E9">
        <w:t>for example,</w:t>
      </w:r>
      <w:r w:rsidR="007B4777" w:rsidRPr="007B4777">
        <w:t xml:space="preserve"> drilling fluids) and</w:t>
      </w:r>
      <w:r w:rsidR="00AE4A78">
        <w:t xml:space="preserve"> those</w:t>
      </w:r>
      <w:r w:rsidR="007B4777" w:rsidRPr="007B4777">
        <w:t xml:space="preserve"> in remote locations may require a more significant local support base. This suggests there may also be local or regional elements to competition.</w:t>
      </w:r>
    </w:p>
    <w:p w:rsidR="0081112E" w:rsidRPr="006134B8" w:rsidRDefault="00FF2AB2" w:rsidP="00D97EEC">
      <w:pPr>
        <w:pStyle w:val="Heading4"/>
      </w:pPr>
      <w:r w:rsidRPr="00491672">
        <w:t xml:space="preserve">Preliminary </w:t>
      </w:r>
      <w:r w:rsidR="000761BD" w:rsidRPr="00491672">
        <w:t>view</w:t>
      </w:r>
      <w:r w:rsidR="00B942DF" w:rsidRPr="00491672">
        <w:t xml:space="preserve"> </w:t>
      </w:r>
      <w:r w:rsidR="00604DD2" w:rsidRPr="00491672">
        <w:t>on</w:t>
      </w:r>
      <w:r w:rsidR="0081112E" w:rsidRPr="00491672">
        <w:t xml:space="preserve"> relevant market</w:t>
      </w:r>
      <w:r w:rsidR="00604DD2" w:rsidRPr="00491672">
        <w:t>s</w:t>
      </w:r>
    </w:p>
    <w:p w:rsidR="005828E9" w:rsidRDefault="00346285" w:rsidP="00D97EEC">
      <w:pPr>
        <w:pStyle w:val="Numbered"/>
      </w:pPr>
      <w:r>
        <w:t>Based on information</w:t>
      </w:r>
      <w:r w:rsidR="00FB4487">
        <w:t xml:space="preserve"> received to date, t</w:t>
      </w:r>
      <w:r>
        <w:t>he ACCC’s preliminary view is that the markets relevant for assessing the competition effects of the acquisition are</w:t>
      </w:r>
      <w:r w:rsidR="005828E9">
        <w:t>:</w:t>
      </w:r>
    </w:p>
    <w:p w:rsidR="00362EA2" w:rsidRDefault="00362EA2" w:rsidP="00D97EEC">
      <w:pPr>
        <w:pStyle w:val="Bulletpointinpagragraph"/>
      </w:pPr>
      <w:r>
        <w:t xml:space="preserve">individual markets for the </w:t>
      </w:r>
      <w:r w:rsidR="00CF0439">
        <w:t xml:space="preserve">categories of </w:t>
      </w:r>
      <w:r>
        <w:t xml:space="preserve">products identified in </w:t>
      </w:r>
      <w:r>
        <w:rPr>
          <w:b/>
        </w:rPr>
        <w:t>Table 1</w:t>
      </w:r>
      <w:r>
        <w:t xml:space="preserve"> above, separately for onshore and offshore drilling projects</w:t>
      </w:r>
      <w:r w:rsidR="00F1314F">
        <w:t xml:space="preserve"> in Australia</w:t>
      </w:r>
      <w:r>
        <w:t xml:space="preserve"> (</w:t>
      </w:r>
      <w:r w:rsidR="008726E9">
        <w:t>that is,</w:t>
      </w:r>
      <w:r>
        <w:t xml:space="preserve"> there is a market for onshore cementing and a separate market for offshore cementing etc.) </w:t>
      </w:r>
    </w:p>
    <w:p w:rsidR="005828E9" w:rsidRDefault="00515F6C">
      <w:pPr>
        <w:pStyle w:val="Bulletpointinpagragraph"/>
      </w:pPr>
      <w:r>
        <w:t>an integrated services market</w:t>
      </w:r>
      <w:r w:rsidR="009A68C8">
        <w:t xml:space="preserve"> </w:t>
      </w:r>
      <w:r w:rsidR="00F1314F">
        <w:t>in Australia</w:t>
      </w:r>
      <w:r w:rsidR="00362EA2">
        <w:t>.</w:t>
      </w:r>
    </w:p>
    <w:p w:rsidR="00F676E0" w:rsidRDefault="00F676E0" w:rsidP="00D97EEC">
      <w:pPr>
        <w:pStyle w:val="Numbered"/>
      </w:pPr>
      <w:r>
        <w:t xml:space="preserve">The ACCC is not investigating products and services where </w:t>
      </w:r>
      <w:r w:rsidR="00B76688">
        <w:t xml:space="preserve">current information suggests that </w:t>
      </w:r>
      <w:r>
        <w:t xml:space="preserve">the merger parties do not overlap in Australia. However, the ACCC may do so in </w:t>
      </w:r>
      <w:r w:rsidR="00B76688">
        <w:t xml:space="preserve">the </w:t>
      </w:r>
      <w:r>
        <w:t xml:space="preserve">future if </w:t>
      </w:r>
      <w:r w:rsidR="00B76688">
        <w:t xml:space="preserve">new </w:t>
      </w:r>
      <w:r>
        <w:t xml:space="preserve">information </w:t>
      </w:r>
      <w:r w:rsidR="00B76688">
        <w:t xml:space="preserve">is received. </w:t>
      </w:r>
    </w:p>
    <w:p w:rsidR="00194D5D" w:rsidRPr="004D3271" w:rsidRDefault="00194D5D" w:rsidP="00D97EEC">
      <w:pPr>
        <w:pStyle w:val="commentbox"/>
      </w:pPr>
      <w:r w:rsidRPr="004D3271">
        <w:lastRenderedPageBreak/>
        <w:t xml:space="preserve">The ACCC invites comments from market participants on its </w:t>
      </w:r>
      <w:r w:rsidR="000028A1">
        <w:t>preliminary views about the</w:t>
      </w:r>
      <w:r w:rsidR="000028A1" w:rsidRPr="004D3271">
        <w:t xml:space="preserve"> </w:t>
      </w:r>
      <w:r w:rsidRPr="004D3271">
        <w:t>de</w:t>
      </w:r>
      <w:r w:rsidR="001E654E" w:rsidRPr="004D3271">
        <w:t>finition of the relevant market</w:t>
      </w:r>
      <w:r w:rsidR="000028A1">
        <w:t>s</w:t>
      </w:r>
      <w:r w:rsidRPr="004D3271">
        <w:t>. In particular market participants may wish to comment on:</w:t>
      </w:r>
    </w:p>
    <w:p w:rsidR="00465164" w:rsidRDefault="00465164" w:rsidP="00D97EEC">
      <w:pPr>
        <w:pStyle w:val="commentbox"/>
        <w:numPr>
          <w:ilvl w:val="0"/>
          <w:numId w:val="4"/>
        </w:numPr>
      </w:pPr>
      <w:r>
        <w:t xml:space="preserve">the boundaries of the relevant product markets identified by the ACCC </w:t>
      </w:r>
    </w:p>
    <w:p w:rsidR="00465164" w:rsidRDefault="00362EA2">
      <w:pPr>
        <w:pStyle w:val="commentbox"/>
        <w:numPr>
          <w:ilvl w:val="0"/>
          <w:numId w:val="4"/>
        </w:numPr>
      </w:pPr>
      <w:r>
        <w:t>the extent to which customers are able to meet their</w:t>
      </w:r>
      <w:r w:rsidR="000B3623">
        <w:t xml:space="preserve"> current and future </w:t>
      </w:r>
      <w:r>
        <w:t xml:space="preserve">requirements for integrated </w:t>
      </w:r>
      <w:r w:rsidR="00283FA9">
        <w:t xml:space="preserve">or coordinated </w:t>
      </w:r>
      <w:r>
        <w:t xml:space="preserve">services by selecting from a variety of individual suppliers rather than a single supplier </w:t>
      </w:r>
    </w:p>
    <w:p w:rsidR="00465164" w:rsidRDefault="00465164">
      <w:pPr>
        <w:pStyle w:val="commentbox"/>
        <w:numPr>
          <w:ilvl w:val="0"/>
          <w:numId w:val="4"/>
        </w:numPr>
      </w:pPr>
      <w:r>
        <w:t xml:space="preserve">differences in customer requirements for, and supply of, </w:t>
      </w:r>
      <w:r w:rsidR="00623E89">
        <w:t>products and services in offshore and onshore</w:t>
      </w:r>
      <w:r>
        <w:t xml:space="preserve"> drilling environments</w:t>
      </w:r>
    </w:p>
    <w:p w:rsidR="00465164" w:rsidRPr="004D3271" w:rsidRDefault="00465164">
      <w:pPr>
        <w:pStyle w:val="commentbox"/>
        <w:numPr>
          <w:ilvl w:val="0"/>
          <w:numId w:val="4"/>
        </w:numPr>
      </w:pPr>
      <w:r>
        <w:t>the</w:t>
      </w:r>
      <w:r w:rsidR="00362EA2">
        <w:t xml:space="preserve"> geographic boundaries of the relevant market, including the</w:t>
      </w:r>
      <w:r>
        <w:t xml:space="preserve"> importance of global, national and regional elements of competition.</w:t>
      </w:r>
    </w:p>
    <w:p w:rsidR="00543378" w:rsidRDefault="00543378" w:rsidP="00346285">
      <w:pPr>
        <w:pStyle w:val="Heading3"/>
      </w:pPr>
      <w:r>
        <w:t>Market shares and concentration</w:t>
      </w:r>
    </w:p>
    <w:p w:rsidR="000A07F4" w:rsidRDefault="000A07F4" w:rsidP="00DD6B10">
      <w:pPr>
        <w:pStyle w:val="NormalParagraph"/>
      </w:pPr>
      <w:r>
        <w:t xml:space="preserve">The </w:t>
      </w:r>
      <w:r w:rsidR="00543378">
        <w:t>ACCC has limited information</w:t>
      </w:r>
      <w:r>
        <w:t xml:space="preserve"> about market shares and concentration</w:t>
      </w:r>
      <w:r w:rsidR="00F1314F">
        <w:t xml:space="preserve"> in the relevant markets</w:t>
      </w:r>
      <w:r>
        <w:t xml:space="preserve"> and is exploring this issue further</w:t>
      </w:r>
      <w:r w:rsidR="00543378">
        <w:t>.</w:t>
      </w:r>
      <w:r>
        <w:t xml:space="preserve"> </w:t>
      </w:r>
    </w:p>
    <w:p w:rsidR="00362EA2" w:rsidRDefault="00D65BAA" w:rsidP="00DD6B10">
      <w:pPr>
        <w:pStyle w:val="NormalParagraph"/>
      </w:pPr>
      <w:r>
        <w:t>M</w:t>
      </w:r>
      <w:r w:rsidR="000A07F4">
        <w:t xml:space="preserve">arket shares </w:t>
      </w:r>
      <w:r w:rsidR="00362EA2">
        <w:t>based on revenue</w:t>
      </w:r>
      <w:r w:rsidR="000A07F4">
        <w:t xml:space="preserve"> may not be a reliable indicator of the extent of competition in oilfield services</w:t>
      </w:r>
      <w:r w:rsidR="00362EA2">
        <w:t xml:space="preserve"> and the constraint from alternative suppliers</w:t>
      </w:r>
      <w:r w:rsidR="000A07F4">
        <w:t>. This is because revenues</w:t>
      </w:r>
      <w:r w:rsidR="00362EA2">
        <w:t xml:space="preserve"> measured at any particular time</w:t>
      </w:r>
      <w:r w:rsidR="000A07F4">
        <w:t xml:space="preserve"> </w:t>
      </w:r>
      <w:r w:rsidR="006944C9">
        <w:t>may be domin</w:t>
      </w:r>
      <w:r w:rsidR="000B3623">
        <w:t>ated by large and</w:t>
      </w:r>
      <w:r w:rsidR="000A07F4">
        <w:t xml:space="preserve"> infrequent tenders. </w:t>
      </w:r>
      <w:r w:rsidR="00362EA2">
        <w:t>Similarly, market shares based on the number of contracts won may not be a reliable indicator of the likely effect of the proposed acquisition on market concentration if:</w:t>
      </w:r>
    </w:p>
    <w:p w:rsidR="00362EA2" w:rsidRDefault="00362EA2" w:rsidP="00DD6B10">
      <w:pPr>
        <w:pStyle w:val="Bulletpointinpagragraph"/>
      </w:pPr>
      <w:r>
        <w:t xml:space="preserve">a small number of contracts account for a large share of revenues in a market </w:t>
      </w:r>
    </w:p>
    <w:p w:rsidR="006944C9" w:rsidRDefault="00362EA2" w:rsidP="00DD6B10">
      <w:pPr>
        <w:pStyle w:val="Bulletpointinpagragraph"/>
      </w:pPr>
      <w:r>
        <w:t xml:space="preserve">a large number of contracts account for a small share of revenues in a market.  </w:t>
      </w:r>
    </w:p>
    <w:p w:rsidR="00331A07" w:rsidRDefault="009F1B42" w:rsidP="00DD6B10">
      <w:pPr>
        <w:pStyle w:val="NormalParagraph"/>
      </w:pPr>
      <w:r>
        <w:t>The ACCC understands from market inquiries</w:t>
      </w:r>
      <w:r w:rsidR="00C72BED">
        <w:t xml:space="preserve"> that</w:t>
      </w:r>
      <w:r>
        <w:t xml:space="preserve"> the merged fi</w:t>
      </w:r>
      <w:r w:rsidR="00331A07">
        <w:t>rm will be</w:t>
      </w:r>
      <w:r w:rsidR="00EF033B">
        <w:t xml:space="preserve"> the</w:t>
      </w:r>
      <w:r w:rsidR="00331A07">
        <w:t xml:space="preserve"> market leader in the following products and services </w:t>
      </w:r>
      <w:r w:rsidR="005828E9">
        <w:t xml:space="preserve">for </w:t>
      </w:r>
      <w:r w:rsidR="00331A07">
        <w:t>onshore and offshore</w:t>
      </w:r>
      <w:r w:rsidR="005828E9">
        <w:t xml:space="preserve"> </w:t>
      </w:r>
      <w:r w:rsidR="00465B88">
        <w:t xml:space="preserve">projects </w:t>
      </w:r>
      <w:r w:rsidR="005828E9">
        <w:t>combined</w:t>
      </w:r>
      <w:r w:rsidR="00331A07">
        <w:t>:</w:t>
      </w:r>
    </w:p>
    <w:p w:rsidR="00331A07" w:rsidRDefault="00331A07" w:rsidP="00F1213F">
      <w:pPr>
        <w:pStyle w:val="Numbered"/>
        <w:numPr>
          <w:ilvl w:val="1"/>
          <w:numId w:val="10"/>
        </w:numPr>
      </w:pPr>
      <w:r>
        <w:t xml:space="preserve">coring </w:t>
      </w:r>
    </w:p>
    <w:p w:rsidR="00331A07" w:rsidRDefault="00331A07" w:rsidP="00725B71">
      <w:pPr>
        <w:pStyle w:val="Numbered"/>
        <w:numPr>
          <w:ilvl w:val="1"/>
          <w:numId w:val="10"/>
        </w:numPr>
      </w:pPr>
      <w:r>
        <w:t>drill bits – roller cone</w:t>
      </w:r>
    </w:p>
    <w:p w:rsidR="00331A07" w:rsidRDefault="00331A07">
      <w:pPr>
        <w:pStyle w:val="Numbered"/>
        <w:numPr>
          <w:ilvl w:val="1"/>
          <w:numId w:val="10"/>
        </w:numPr>
      </w:pPr>
      <w:r>
        <w:t xml:space="preserve">cementing </w:t>
      </w:r>
    </w:p>
    <w:p w:rsidR="00331A07" w:rsidRDefault="00331A07">
      <w:pPr>
        <w:pStyle w:val="Numbered"/>
        <w:numPr>
          <w:ilvl w:val="1"/>
          <w:numId w:val="10"/>
        </w:numPr>
      </w:pPr>
      <w:r>
        <w:t xml:space="preserve">hydraulic fracturing and acidizing </w:t>
      </w:r>
    </w:p>
    <w:p w:rsidR="00331A07" w:rsidRDefault="00331A07">
      <w:pPr>
        <w:pStyle w:val="Numbered"/>
        <w:numPr>
          <w:ilvl w:val="1"/>
          <w:numId w:val="10"/>
        </w:numPr>
      </w:pPr>
      <w:r>
        <w:t>coiled tubing</w:t>
      </w:r>
    </w:p>
    <w:p w:rsidR="00331A07" w:rsidRDefault="00331A07">
      <w:pPr>
        <w:pStyle w:val="Numbered"/>
        <w:numPr>
          <w:ilvl w:val="1"/>
          <w:numId w:val="10"/>
        </w:numPr>
      </w:pPr>
      <w:r>
        <w:t>tubing conveyed perforations</w:t>
      </w:r>
    </w:p>
    <w:p w:rsidR="00331A07" w:rsidRDefault="00331A07">
      <w:pPr>
        <w:pStyle w:val="Numbered"/>
        <w:numPr>
          <w:ilvl w:val="1"/>
          <w:numId w:val="10"/>
        </w:numPr>
      </w:pPr>
      <w:r>
        <w:t>wireline – cased hole</w:t>
      </w:r>
    </w:p>
    <w:p w:rsidR="00331A07" w:rsidRDefault="00331A07">
      <w:pPr>
        <w:pStyle w:val="Numbered"/>
        <w:numPr>
          <w:ilvl w:val="1"/>
          <w:numId w:val="10"/>
        </w:numPr>
      </w:pPr>
      <w:r>
        <w:t>completions – well construction</w:t>
      </w:r>
    </w:p>
    <w:p w:rsidR="00331A07" w:rsidRDefault="00331A07">
      <w:pPr>
        <w:pStyle w:val="Numbered"/>
        <w:numPr>
          <w:ilvl w:val="1"/>
          <w:numId w:val="10"/>
        </w:numPr>
      </w:pPr>
      <w:r>
        <w:t xml:space="preserve">completions – core completions </w:t>
      </w:r>
    </w:p>
    <w:p w:rsidR="00331A07" w:rsidRDefault="00331A07">
      <w:pPr>
        <w:pStyle w:val="Numbered"/>
        <w:numPr>
          <w:ilvl w:val="1"/>
          <w:numId w:val="10"/>
        </w:numPr>
      </w:pPr>
      <w:r>
        <w:lastRenderedPageBreak/>
        <w:t xml:space="preserve">completions – wellbore intervention. </w:t>
      </w:r>
    </w:p>
    <w:p w:rsidR="00331A07" w:rsidRDefault="005828E9" w:rsidP="0012089E">
      <w:pPr>
        <w:pStyle w:val="NormalParagraph"/>
      </w:pPr>
      <w:r>
        <w:t>The ACCC understands t</w:t>
      </w:r>
      <w:r w:rsidR="00543378">
        <w:t>he merged firm will also be a significant competitor (or the only</w:t>
      </w:r>
      <w:r w:rsidR="00F1314F">
        <w:t xml:space="preserve"> other</w:t>
      </w:r>
      <w:r w:rsidR="00543378">
        <w:t xml:space="preserve"> competitor) in the following markets in which Schlumberger is the market leader</w:t>
      </w:r>
      <w:r w:rsidR="00331A07">
        <w:t>:</w:t>
      </w:r>
    </w:p>
    <w:p w:rsidR="00331A07" w:rsidRDefault="00331A07" w:rsidP="00F1213F">
      <w:pPr>
        <w:pStyle w:val="Numbered"/>
        <w:numPr>
          <w:ilvl w:val="0"/>
          <w:numId w:val="29"/>
        </w:numPr>
      </w:pPr>
      <w:r>
        <w:t>LWD / MWD</w:t>
      </w:r>
    </w:p>
    <w:p w:rsidR="008528F4" w:rsidRDefault="00331A07" w:rsidP="00725B71">
      <w:pPr>
        <w:pStyle w:val="Numbered"/>
        <w:numPr>
          <w:ilvl w:val="0"/>
          <w:numId w:val="29"/>
        </w:numPr>
      </w:pPr>
      <w:r>
        <w:t>wireline – open hole</w:t>
      </w:r>
    </w:p>
    <w:p w:rsidR="00331A07" w:rsidRDefault="00331A07">
      <w:pPr>
        <w:pStyle w:val="Numbered"/>
        <w:numPr>
          <w:ilvl w:val="0"/>
          <w:numId w:val="29"/>
        </w:numPr>
      </w:pPr>
      <w:r>
        <w:t xml:space="preserve">drill bits – fixed </w:t>
      </w:r>
    </w:p>
    <w:p w:rsidR="00331A07" w:rsidRDefault="00331A07">
      <w:pPr>
        <w:pStyle w:val="Numbered"/>
        <w:numPr>
          <w:ilvl w:val="0"/>
          <w:numId w:val="29"/>
        </w:numPr>
      </w:pPr>
      <w:r>
        <w:t>drilling – directional</w:t>
      </w:r>
    </w:p>
    <w:p w:rsidR="00331A07" w:rsidRDefault="00331A07">
      <w:pPr>
        <w:pStyle w:val="Numbered"/>
        <w:numPr>
          <w:ilvl w:val="0"/>
          <w:numId w:val="29"/>
        </w:numPr>
      </w:pPr>
      <w:r>
        <w:t>surface data logging</w:t>
      </w:r>
    </w:p>
    <w:p w:rsidR="00331A07" w:rsidRDefault="00331A07">
      <w:pPr>
        <w:pStyle w:val="Numbered"/>
        <w:numPr>
          <w:ilvl w:val="0"/>
          <w:numId w:val="29"/>
        </w:numPr>
      </w:pPr>
      <w:r>
        <w:t>fluids – drilling</w:t>
      </w:r>
    </w:p>
    <w:p w:rsidR="00331A07" w:rsidRDefault="00331A07">
      <w:pPr>
        <w:pStyle w:val="Numbered"/>
        <w:numPr>
          <w:ilvl w:val="0"/>
          <w:numId w:val="29"/>
        </w:numPr>
      </w:pPr>
      <w:r>
        <w:t xml:space="preserve">fluids – completions.  </w:t>
      </w:r>
    </w:p>
    <w:p w:rsidR="00353B02" w:rsidRPr="004D3271" w:rsidRDefault="00353B02" w:rsidP="00DD6B10">
      <w:pPr>
        <w:pStyle w:val="commentbox"/>
      </w:pPr>
      <w:r w:rsidRPr="004D3271">
        <w:t xml:space="preserve">The ACCC invites comments from market participants on its </w:t>
      </w:r>
      <w:r>
        <w:t>preliminary views about market shares and concentration in oilfield services markets in Australia</w:t>
      </w:r>
      <w:r w:rsidRPr="004D3271">
        <w:t>. In particular market participants may wish to comment on:</w:t>
      </w:r>
    </w:p>
    <w:p w:rsidR="00353B02" w:rsidRDefault="00353B02" w:rsidP="00DD6B10">
      <w:pPr>
        <w:pStyle w:val="commentbox"/>
        <w:numPr>
          <w:ilvl w:val="0"/>
          <w:numId w:val="4"/>
        </w:numPr>
      </w:pPr>
      <w:r>
        <w:t>the most appropriate means of measuring markets shares and concentration</w:t>
      </w:r>
    </w:p>
    <w:p w:rsidR="00353B02" w:rsidRDefault="00353B02" w:rsidP="00DD6B10">
      <w:pPr>
        <w:pStyle w:val="commentbox"/>
        <w:numPr>
          <w:ilvl w:val="0"/>
          <w:numId w:val="4"/>
        </w:numPr>
      </w:pPr>
      <w:r>
        <w:t xml:space="preserve">markets in which the merged firm would be market leader. </w:t>
      </w:r>
    </w:p>
    <w:p w:rsidR="008528F4" w:rsidRPr="002401D7" w:rsidRDefault="00D621BB" w:rsidP="008528F4">
      <w:pPr>
        <w:pStyle w:val="Heading3"/>
      </w:pPr>
      <w:r>
        <w:t xml:space="preserve">Alternatives to the merged firm </w:t>
      </w:r>
    </w:p>
    <w:p w:rsidR="007A7BFC" w:rsidRDefault="007A7BFC" w:rsidP="00DD6B10">
      <w:pPr>
        <w:pStyle w:val="NormalParagraph"/>
      </w:pPr>
      <w:r>
        <w:t>The ACCC is considering the constraint imposed by competitors to the merged firm post-acquisition</w:t>
      </w:r>
      <w:r w:rsidR="008528F4">
        <w:t>.</w:t>
      </w:r>
      <w:r>
        <w:t xml:space="preserve"> </w:t>
      </w:r>
      <w:r w:rsidR="00C72BED" w:rsidRPr="00E4500A">
        <w:rPr>
          <w:b/>
        </w:rPr>
        <w:t>Annexure 3</w:t>
      </w:r>
      <w:r w:rsidR="00C72BED">
        <w:t xml:space="preserve"> </w:t>
      </w:r>
      <w:r>
        <w:t xml:space="preserve">below outlines the ACCC’s understanding of oilfield services providers operating in each of the relevant </w:t>
      </w:r>
      <w:r w:rsidR="00AC3019">
        <w:t xml:space="preserve">individual </w:t>
      </w:r>
      <w:r>
        <w:t>markets identified above.</w:t>
      </w:r>
    </w:p>
    <w:p w:rsidR="007A7BFC" w:rsidRDefault="007A7BFC" w:rsidP="00DD6B10">
      <w:pPr>
        <w:pStyle w:val="NormalParagraph"/>
      </w:pPr>
      <w:r>
        <w:t xml:space="preserve">As </w:t>
      </w:r>
      <w:r w:rsidR="00623E89" w:rsidRPr="00FC3274">
        <w:rPr>
          <w:b/>
        </w:rPr>
        <w:t xml:space="preserve">Annexure 3 </w:t>
      </w:r>
      <w:r>
        <w:t xml:space="preserve">shows, in some markets, particularly </w:t>
      </w:r>
      <w:r w:rsidR="00623E89">
        <w:t>offshore</w:t>
      </w:r>
      <w:r>
        <w:t xml:space="preserve">, there are few competitors to the merged firm. </w:t>
      </w:r>
    </w:p>
    <w:p w:rsidR="007A7BFC" w:rsidRDefault="007A7BFC" w:rsidP="00725B71">
      <w:pPr>
        <w:pStyle w:val="NormalParagraph"/>
      </w:pPr>
      <w:r>
        <w:t xml:space="preserve">In </w:t>
      </w:r>
      <w:r w:rsidR="00623E89">
        <w:t>onshore</w:t>
      </w:r>
      <w:r>
        <w:t xml:space="preserve"> markets there are typically </w:t>
      </w:r>
      <w:r w:rsidR="00EF033B">
        <w:t xml:space="preserve">several </w:t>
      </w:r>
      <w:r w:rsidR="00530686">
        <w:t xml:space="preserve">active </w:t>
      </w:r>
      <w:r w:rsidR="00EF033B">
        <w:t>competitors</w:t>
      </w:r>
      <w:r w:rsidR="00530686">
        <w:t>.</w:t>
      </w:r>
      <w:r w:rsidR="00EF033B">
        <w:t xml:space="preserve"> </w:t>
      </w:r>
      <w:r w:rsidR="00623E89">
        <w:t>However, there are fewer competitors operat</w:t>
      </w:r>
      <w:r w:rsidR="00C72BED">
        <w:t>ing</w:t>
      </w:r>
      <w:r w:rsidR="00623E89">
        <w:t xml:space="preserve"> in the Cooper Basin </w:t>
      </w:r>
      <w:r w:rsidR="00F1314F">
        <w:t xml:space="preserve">where the drilling requirements are significantly more complex. </w:t>
      </w:r>
      <w:r w:rsidR="00623E89">
        <w:t xml:space="preserve"> </w:t>
      </w:r>
    </w:p>
    <w:p w:rsidR="007A7BFC" w:rsidRDefault="007A7BFC" w:rsidP="00725B71">
      <w:pPr>
        <w:pStyle w:val="Heading5"/>
      </w:pPr>
      <w:r>
        <w:t>Customer switching</w:t>
      </w:r>
      <w:r w:rsidR="00D43FD8">
        <w:t xml:space="preserve"> </w:t>
      </w:r>
    </w:p>
    <w:p w:rsidR="00EF033B" w:rsidRDefault="007D0118" w:rsidP="00725B71">
      <w:pPr>
        <w:pStyle w:val="NormalParagraph"/>
      </w:pPr>
      <w:r>
        <w:t>The level of constraint imposed by alternative</w:t>
      </w:r>
      <w:r w:rsidR="000B3623">
        <w:t xml:space="preserve"> </w:t>
      </w:r>
      <w:r w:rsidR="00A36233">
        <w:t xml:space="preserve">current </w:t>
      </w:r>
      <w:r w:rsidR="000B3623">
        <w:t>and/</w:t>
      </w:r>
      <w:r w:rsidR="00B7091E">
        <w:t>or potential</w:t>
      </w:r>
      <w:r>
        <w:t xml:space="preserve"> oilfield services providers will depend in part on the extent </w:t>
      </w:r>
      <w:r w:rsidR="00C72BED">
        <w:t xml:space="preserve">to which </w:t>
      </w:r>
      <w:r>
        <w:t>customers</w:t>
      </w:r>
      <w:r w:rsidR="00B7091E">
        <w:t xml:space="preserve"> are willing and able to</w:t>
      </w:r>
      <w:r>
        <w:t xml:space="preserve"> switch between suppliers</w:t>
      </w:r>
      <w:r w:rsidR="00A36233">
        <w:t>.</w:t>
      </w:r>
      <w:r w:rsidR="00B7091E">
        <w:t xml:space="preserve"> </w:t>
      </w:r>
    </w:p>
    <w:p w:rsidR="007D0118" w:rsidRDefault="00EF033B">
      <w:pPr>
        <w:pStyle w:val="NormalParagraph"/>
      </w:pPr>
      <w:r>
        <w:t xml:space="preserve">Customers can either switch suppliers </w:t>
      </w:r>
      <w:r w:rsidR="00FC3274">
        <w:t>during</w:t>
      </w:r>
      <w:r>
        <w:t xml:space="preserve"> a drilling project, or between drilling projects. </w:t>
      </w:r>
      <w:r w:rsidR="00D65BAA">
        <w:t>Market feedback indicates that the level of switching differs between onshore and offshore projects.</w:t>
      </w:r>
    </w:p>
    <w:p w:rsidR="007E5E0E" w:rsidRDefault="00B77A1F">
      <w:pPr>
        <w:pStyle w:val="NormalParagraph"/>
      </w:pPr>
      <w:r>
        <w:t>I</w:t>
      </w:r>
      <w:r w:rsidR="007D0118">
        <w:t xml:space="preserve">n </w:t>
      </w:r>
      <w:r w:rsidR="00905892">
        <w:t>onshore</w:t>
      </w:r>
      <w:r w:rsidR="007D0118">
        <w:t xml:space="preserve"> projects, it appears customer switching</w:t>
      </w:r>
      <w:r w:rsidR="007E5E0E">
        <w:t xml:space="preserve"> </w:t>
      </w:r>
      <w:r w:rsidR="007D0118">
        <w:t xml:space="preserve">is more likely. </w:t>
      </w:r>
      <w:r w:rsidR="007E5E0E">
        <w:t>Contracts are typically of shorter duration</w:t>
      </w:r>
      <w:r w:rsidR="00623E89">
        <w:t xml:space="preserve"> and lower value than in offshore</w:t>
      </w:r>
      <w:r w:rsidR="007E5E0E">
        <w:t xml:space="preserve"> markets. More importantly, the drilling projects are less technical and therefore require less rigorous qualification processes.</w:t>
      </w:r>
      <w:r w:rsidR="00F1314F">
        <w:t xml:space="preserve"> Also, there are typically more suppliers available in onshore markets. </w:t>
      </w:r>
      <w:r w:rsidR="007E5E0E">
        <w:t xml:space="preserve"> </w:t>
      </w:r>
    </w:p>
    <w:p w:rsidR="00EC6D21" w:rsidRDefault="00623E89">
      <w:pPr>
        <w:pStyle w:val="NormalParagraph"/>
      </w:pPr>
      <w:r>
        <w:lastRenderedPageBreak/>
        <w:t>For</w:t>
      </w:r>
      <w:r w:rsidR="007E5E0E">
        <w:t xml:space="preserve"> </w:t>
      </w:r>
      <w:r w:rsidR="00B77A1F">
        <w:t>off</w:t>
      </w:r>
      <w:r w:rsidR="00905892">
        <w:t>shore</w:t>
      </w:r>
      <w:r w:rsidR="007E5E0E">
        <w:t xml:space="preserve"> projects, however, it appears customer switching within the duration of a </w:t>
      </w:r>
      <w:r w:rsidR="00B7091E">
        <w:t xml:space="preserve">project </w:t>
      </w:r>
      <w:r w:rsidR="007E5E0E">
        <w:t>is infrequent and difficult.</w:t>
      </w:r>
      <w:r w:rsidR="00EC6D21">
        <w:t xml:space="preserve"> Market participants describ</w:t>
      </w:r>
      <w:r w:rsidR="001918B6">
        <w:t>ed long</w:t>
      </w:r>
      <w:r w:rsidR="00EC6D21">
        <w:t xml:space="preserve"> and detailed tender processes</w:t>
      </w:r>
      <w:r w:rsidR="001918B6">
        <w:t xml:space="preserve"> (sometimes involving many months)</w:t>
      </w:r>
      <w:r w:rsidR="00EC6D21">
        <w:t xml:space="preserve"> before a provider is offered a contract. This process ensures the highest quality product or service is obtained at the best possible price.  </w:t>
      </w:r>
    </w:p>
    <w:p w:rsidR="00503E94" w:rsidRDefault="00EC6D21">
      <w:pPr>
        <w:pStyle w:val="NormalParagraph"/>
      </w:pPr>
      <w:r>
        <w:t xml:space="preserve">Once a drilling project is underway, </w:t>
      </w:r>
      <w:r w:rsidR="00530686">
        <w:t xml:space="preserve">E&amp;Ps and </w:t>
      </w:r>
      <w:r w:rsidR="009566A5">
        <w:t>providers</w:t>
      </w:r>
      <w:r w:rsidR="00530686">
        <w:t xml:space="preserve"> </w:t>
      </w:r>
      <w:r w:rsidR="001A6925">
        <w:t>develop close working relationships</w:t>
      </w:r>
      <w:r w:rsidR="00530686">
        <w:t xml:space="preserve">. </w:t>
      </w:r>
      <w:r>
        <w:t>Such relationships</w:t>
      </w:r>
      <w:r w:rsidR="00530686">
        <w:t xml:space="preserve">, </w:t>
      </w:r>
      <w:r w:rsidR="009566A5">
        <w:t>especially</w:t>
      </w:r>
      <w:r w:rsidR="00530686">
        <w:t xml:space="preserve"> on a successful project,</w:t>
      </w:r>
      <w:r>
        <w:t xml:space="preserve"> make switching to a new provider </w:t>
      </w:r>
      <w:r w:rsidR="00B7091E">
        <w:t>less likely</w:t>
      </w:r>
      <w:r>
        <w:t>.</w:t>
      </w:r>
      <w:r w:rsidR="00B7091E">
        <w:t xml:space="preserve"> </w:t>
      </w:r>
      <w:r w:rsidR="00DD76E8">
        <w:t xml:space="preserve">A </w:t>
      </w:r>
      <w:r w:rsidR="00530686">
        <w:t>supplier competitor</w:t>
      </w:r>
      <w:r w:rsidR="00B7091E">
        <w:t xml:space="preserve"> would need to offer a substantial </w:t>
      </w:r>
      <w:r w:rsidR="00530686">
        <w:t>discount, but</w:t>
      </w:r>
      <w:r w:rsidR="00B7091E">
        <w:t xml:space="preserve"> even this may </w:t>
      </w:r>
      <w:r w:rsidR="00530686">
        <w:t>not</w:t>
      </w:r>
      <w:r w:rsidR="00B7091E">
        <w:t xml:space="preserve"> compensate for the additional risks entailed with switching. </w:t>
      </w:r>
    </w:p>
    <w:p w:rsidR="00A44D4B" w:rsidRDefault="00A44D4B">
      <w:pPr>
        <w:pStyle w:val="NormalParagraph"/>
      </w:pPr>
      <w:r>
        <w:t xml:space="preserve">Some market participants described </w:t>
      </w:r>
      <w:r w:rsidR="003F51F8">
        <w:t xml:space="preserve">contractual </w:t>
      </w:r>
      <w:r>
        <w:t>fees and charges</w:t>
      </w:r>
      <w:r w:rsidR="003F51F8">
        <w:t xml:space="preserve"> customers must pay</w:t>
      </w:r>
      <w:r>
        <w:t xml:space="preserve"> to an incumbent for connecting a competitor’s tools or equipment to the incumbent’s equipment. </w:t>
      </w:r>
    </w:p>
    <w:p w:rsidR="00EC6D21" w:rsidRDefault="009566A5">
      <w:pPr>
        <w:pStyle w:val="NormalParagraph"/>
      </w:pPr>
      <w:r>
        <w:t>M</w:t>
      </w:r>
      <w:r w:rsidR="00EC6D21">
        <w:t xml:space="preserve">arket feedback suggests that </w:t>
      </w:r>
      <w:r>
        <w:t xml:space="preserve">both onshore and offshore E&amp;Ps </w:t>
      </w:r>
      <w:r w:rsidR="00EC6D21">
        <w:t>will</w:t>
      </w:r>
      <w:r w:rsidR="000B3623">
        <w:t>,</w:t>
      </w:r>
      <w:r w:rsidR="00EC6D21">
        <w:t xml:space="preserve"> </w:t>
      </w:r>
      <w:r w:rsidR="00B7091E">
        <w:t>at times</w:t>
      </w:r>
      <w:r w:rsidR="000B3623">
        <w:t>,</w:t>
      </w:r>
      <w:r w:rsidR="00B7091E">
        <w:t xml:space="preserve"> </w:t>
      </w:r>
      <w:r>
        <w:t xml:space="preserve">engage </w:t>
      </w:r>
      <w:r w:rsidR="00EC6D21">
        <w:t>a secondary provider to switch</w:t>
      </w:r>
      <w:r>
        <w:t xml:space="preserve"> to</w:t>
      </w:r>
      <w:r w:rsidR="00EC6D21">
        <w:t xml:space="preserve"> in the event of poor performance by the </w:t>
      </w:r>
      <w:r>
        <w:t>primary provider</w:t>
      </w:r>
      <w:r w:rsidR="00EC6D21">
        <w:t xml:space="preserve">. </w:t>
      </w:r>
    </w:p>
    <w:p w:rsidR="00F1314F" w:rsidRPr="004D3271" w:rsidRDefault="00F1314F" w:rsidP="00725B71">
      <w:pPr>
        <w:pStyle w:val="commentbox"/>
      </w:pPr>
      <w:r w:rsidRPr="004D3271">
        <w:t xml:space="preserve">The ACCC invites comments from market participants on its </w:t>
      </w:r>
      <w:r>
        <w:t>preliminary views about alternatives to the merged firm</w:t>
      </w:r>
      <w:r w:rsidRPr="004D3271">
        <w:t>. In particular</w:t>
      </w:r>
      <w:r w:rsidR="00C55333">
        <w:t>,</w:t>
      </w:r>
      <w:r w:rsidRPr="004D3271">
        <w:t xml:space="preserve"> market participants may wish to comment on:</w:t>
      </w:r>
    </w:p>
    <w:p w:rsidR="00F1314F" w:rsidRPr="00353B02" w:rsidRDefault="00F1314F" w:rsidP="00725B71">
      <w:pPr>
        <w:pStyle w:val="commentbox"/>
        <w:numPr>
          <w:ilvl w:val="0"/>
          <w:numId w:val="4"/>
        </w:numPr>
      </w:pPr>
      <w:r>
        <w:t>active or potential oilfield services providers in any of the produc</w:t>
      </w:r>
      <w:r w:rsidR="00353B02">
        <w:t xml:space="preserve">ts and services identified in </w:t>
      </w:r>
      <w:r w:rsidR="00353B02" w:rsidRPr="00353B02">
        <w:rPr>
          <w:b/>
        </w:rPr>
        <w:t>Annexure 3</w:t>
      </w:r>
    </w:p>
    <w:p w:rsidR="00353B02" w:rsidRDefault="00353B02">
      <w:pPr>
        <w:pStyle w:val="commentbox"/>
        <w:numPr>
          <w:ilvl w:val="0"/>
          <w:numId w:val="4"/>
        </w:numPr>
      </w:pPr>
      <w:r>
        <w:t xml:space="preserve">any suppliers not identified in </w:t>
      </w:r>
      <w:r w:rsidRPr="00353B02">
        <w:rPr>
          <w:b/>
        </w:rPr>
        <w:t>Annexure 3</w:t>
      </w:r>
      <w:r>
        <w:t xml:space="preserve"> </w:t>
      </w:r>
    </w:p>
    <w:p w:rsidR="00353B02" w:rsidRDefault="00353B02">
      <w:pPr>
        <w:pStyle w:val="commentbox"/>
        <w:numPr>
          <w:ilvl w:val="0"/>
          <w:numId w:val="4"/>
        </w:numPr>
      </w:pPr>
      <w:r>
        <w:t xml:space="preserve">the competitive strength of any of the market participants identified in </w:t>
      </w:r>
      <w:r w:rsidRPr="00353B02">
        <w:rPr>
          <w:b/>
        </w:rPr>
        <w:t>Annexure 3</w:t>
      </w:r>
    </w:p>
    <w:p w:rsidR="00353B02" w:rsidRDefault="00353B02">
      <w:pPr>
        <w:pStyle w:val="commentbox"/>
        <w:numPr>
          <w:ilvl w:val="0"/>
          <w:numId w:val="4"/>
        </w:numPr>
      </w:pPr>
      <w:r>
        <w:t xml:space="preserve">the nature and extent of customer switching either during a project or between projects.  </w:t>
      </w:r>
    </w:p>
    <w:p w:rsidR="007D582C" w:rsidRDefault="007D582C" w:rsidP="007D582C">
      <w:pPr>
        <w:pStyle w:val="Heading3"/>
      </w:pPr>
      <w:r w:rsidRPr="0098363B">
        <w:t>Competitive advantages of the major provide</w:t>
      </w:r>
      <w:r>
        <w:t>rs</w:t>
      </w:r>
    </w:p>
    <w:p w:rsidR="007D582C" w:rsidRDefault="007D582C" w:rsidP="00D97EEC">
      <w:pPr>
        <w:pStyle w:val="NormalParagraph"/>
      </w:pPr>
      <w:r>
        <w:t xml:space="preserve">Anti-competitive effects in mergers can arise in different ways, depending on market characteristics. </w:t>
      </w:r>
    </w:p>
    <w:p w:rsidR="007D582C" w:rsidRDefault="007D582C">
      <w:pPr>
        <w:pStyle w:val="NormalParagraph"/>
      </w:pPr>
      <w:r>
        <w:t>An important feature of the oilfiel</w:t>
      </w:r>
      <w:r w:rsidR="0098363B">
        <w:t>d services markets in Australia</w:t>
      </w:r>
      <w:r>
        <w:t xml:space="preserve"> </w:t>
      </w:r>
      <w:r w:rsidR="006978A6">
        <w:t>is</w:t>
      </w:r>
      <w:r>
        <w:t xml:space="preserve"> the competitive advantages that major suppliers have relative to smaller competitors and potential entrants. </w:t>
      </w:r>
    </w:p>
    <w:p w:rsidR="00E3679A" w:rsidRDefault="007D582C">
      <w:pPr>
        <w:pStyle w:val="NormalParagraph"/>
      </w:pPr>
      <w:r>
        <w:t>These advantages include economies of scope</w:t>
      </w:r>
      <w:r w:rsidR="00FC3C96">
        <w:t xml:space="preserve"> and scale</w:t>
      </w:r>
      <w:r>
        <w:t>; significant industry experience</w:t>
      </w:r>
      <w:r w:rsidR="00D43FD8">
        <w:t>, particularly on complex projects,</w:t>
      </w:r>
      <w:r>
        <w:t xml:space="preserve"> which has led to strong customer relationships and established</w:t>
      </w:r>
      <w:r w:rsidR="006978A6">
        <w:t xml:space="preserve"> reputations</w:t>
      </w:r>
      <w:r w:rsidR="000B3623">
        <w:t>;</w:t>
      </w:r>
      <w:r w:rsidR="006978A6">
        <w:t xml:space="preserve"> and large R&amp;D and innovation expenditures keeping them at the forefront of technological developments.</w:t>
      </w:r>
      <w:r>
        <w:t xml:space="preserve"> </w:t>
      </w:r>
      <w:r w:rsidR="00B7091E">
        <w:t xml:space="preserve">These advantages mean that any switching is more likely to be to another large supplier, particularly </w:t>
      </w:r>
      <w:r w:rsidR="009566A5">
        <w:t>offshore</w:t>
      </w:r>
      <w:r w:rsidR="00B7091E">
        <w:t xml:space="preserve"> projects.</w:t>
      </w:r>
    </w:p>
    <w:p w:rsidR="00E3679A" w:rsidRDefault="00E3679A" w:rsidP="0012089E">
      <w:pPr>
        <w:pStyle w:val="NormalParagraph"/>
      </w:pPr>
      <w:r>
        <w:t xml:space="preserve">Customers frequently described the ‘scope’ (understood to mean support infrastructure and networks) of the merger parties as providing comfort </w:t>
      </w:r>
      <w:r w:rsidR="0027778D">
        <w:t xml:space="preserve">that </w:t>
      </w:r>
      <w:r>
        <w:t>the merger parties could source additional resources if required. The ACCC understands the merger parties will source equipment and personnel from anywhere in their global network to fulfil contracts</w:t>
      </w:r>
      <w:r w:rsidR="0027778D">
        <w:t>.</w:t>
      </w:r>
      <w:r>
        <w:t xml:space="preserve">  </w:t>
      </w:r>
    </w:p>
    <w:p w:rsidR="007D582C" w:rsidRDefault="007D582C">
      <w:pPr>
        <w:pStyle w:val="NormalParagraph"/>
      </w:pPr>
      <w:r>
        <w:t xml:space="preserve">With such advantages, post-acquisition a combined Halliburton – Baker Hughes and Schlumberger are not likely to face strong competitive pressures from rivals </w:t>
      </w:r>
      <w:r>
        <w:lastRenderedPageBreak/>
        <w:t>or entrants. The ACCC’s preliminary view is that these market characteristics significantly incr</w:t>
      </w:r>
      <w:r w:rsidR="000B3623">
        <w:t>ease the risk of unilateral and/</w:t>
      </w:r>
      <w:r>
        <w:t>or coordinated effects arising from the proposed acquisition.</w:t>
      </w:r>
    </w:p>
    <w:p w:rsidR="00515F6C" w:rsidRDefault="0048542C" w:rsidP="00515F6C">
      <w:pPr>
        <w:pStyle w:val="Heading3"/>
      </w:pPr>
      <w:r>
        <w:t>Ability to provide</w:t>
      </w:r>
      <w:r w:rsidR="0027778D">
        <w:t xml:space="preserve"> an integrated offer</w:t>
      </w:r>
      <w:r>
        <w:t xml:space="preserve"> </w:t>
      </w:r>
    </w:p>
    <w:p w:rsidR="00ED67D0" w:rsidRDefault="00ED67D0" w:rsidP="00ED67D0">
      <w:pPr>
        <w:pStyle w:val="Numbered"/>
      </w:pPr>
      <w:bookmarkStart w:id="6" w:name="_Ref433117924"/>
      <w:r>
        <w:t xml:space="preserve">The ACCC is considering </w:t>
      </w:r>
      <w:r w:rsidRPr="00DA4D42">
        <w:t>integrated services</w:t>
      </w:r>
      <w:r>
        <w:t xml:space="preserve"> as a separate market as identified in the </w:t>
      </w:r>
      <w:r w:rsidRPr="00E4500A">
        <w:rPr>
          <w:b/>
        </w:rPr>
        <w:t>Market Definition</w:t>
      </w:r>
      <w:r>
        <w:t xml:space="preserve"> section above and as discussed in the </w:t>
      </w:r>
      <w:r w:rsidRPr="00E5480E">
        <w:rPr>
          <w:b/>
        </w:rPr>
        <w:t>Statement of Issues</w:t>
      </w:r>
      <w:r>
        <w:t xml:space="preserve"> section below. It appears there is a spectrum of integration, ranging from packaging</w:t>
      </w:r>
      <w:r w:rsidRPr="00DA4D42">
        <w:t xml:space="preserve"> </w:t>
      </w:r>
      <w:r>
        <w:t xml:space="preserve">through to integrated or coordinated services. </w:t>
      </w:r>
    </w:p>
    <w:p w:rsidR="003148A0" w:rsidRDefault="00526BED" w:rsidP="00F1213F">
      <w:pPr>
        <w:pStyle w:val="Numbered"/>
      </w:pPr>
      <w:r>
        <w:t>Market participants have spoken of a trend toward</w:t>
      </w:r>
      <w:r w:rsidR="000F397A">
        <w:t>s larger oilfield services providers</w:t>
      </w:r>
      <w:r w:rsidR="001918B6">
        <w:t xml:space="preserve"> offering integrated </w:t>
      </w:r>
      <w:r w:rsidR="005254AB">
        <w:t>services over</w:t>
      </w:r>
      <w:r>
        <w:t xml:space="preserve"> recent years.</w:t>
      </w:r>
      <w:r w:rsidR="003148A0">
        <w:t xml:space="preserve"> This has particularly been the case for complex drilling projects</w:t>
      </w:r>
      <w:r w:rsidR="00DA4D42">
        <w:t xml:space="preserve"> (such as </w:t>
      </w:r>
      <w:proofErr w:type="spellStart"/>
      <w:r w:rsidR="00DA4D42">
        <w:t>deepwater</w:t>
      </w:r>
      <w:proofErr w:type="spellEnd"/>
      <w:r w:rsidR="00DA4D42">
        <w:t xml:space="preserve"> or HPHT projects)</w:t>
      </w:r>
      <w:r w:rsidR="003148A0">
        <w:t>.</w:t>
      </w:r>
      <w:bookmarkEnd w:id="6"/>
      <w:r w:rsidR="003148A0">
        <w:t xml:space="preserve"> </w:t>
      </w:r>
    </w:p>
    <w:p w:rsidR="00515F6C" w:rsidRDefault="00515F6C" w:rsidP="009A2051">
      <w:pPr>
        <w:pStyle w:val="Heading5"/>
      </w:pPr>
      <w:r>
        <w:t xml:space="preserve">Integrated </w:t>
      </w:r>
      <w:r w:rsidR="00ED67D0">
        <w:t>services</w:t>
      </w:r>
    </w:p>
    <w:p w:rsidR="000F397A" w:rsidRDefault="0052490E" w:rsidP="009A2051">
      <w:pPr>
        <w:pStyle w:val="Numbered"/>
      </w:pPr>
      <w:r>
        <w:t>Integrated services involve</w:t>
      </w:r>
      <w:r w:rsidR="00515F6C">
        <w:t xml:space="preserve"> the oilfield services provider offering </w:t>
      </w:r>
      <w:r w:rsidR="0011647C">
        <w:t xml:space="preserve">some form of </w:t>
      </w:r>
      <w:r w:rsidR="00066C70">
        <w:t xml:space="preserve">project management or project coordination, as well as a </w:t>
      </w:r>
      <w:r w:rsidR="00117D13">
        <w:t xml:space="preserve">comprehensive </w:t>
      </w:r>
      <w:r>
        <w:t>range</w:t>
      </w:r>
      <w:r w:rsidR="00066C70">
        <w:t xml:space="preserve"> of individual </w:t>
      </w:r>
      <w:r w:rsidR="00117D13">
        <w:t>goods</w:t>
      </w:r>
      <w:r w:rsidR="00066C70">
        <w:t xml:space="preserve"> and services</w:t>
      </w:r>
      <w:r w:rsidR="00515F6C">
        <w:t>.</w:t>
      </w:r>
      <w:r w:rsidR="00BD46E6">
        <w:t xml:space="preserve">   </w:t>
      </w:r>
    </w:p>
    <w:p w:rsidR="0052490E" w:rsidRDefault="0052490E">
      <w:pPr>
        <w:pStyle w:val="Numbered"/>
      </w:pPr>
      <w:r>
        <w:t xml:space="preserve">Demand for integrated services </w:t>
      </w:r>
      <w:r w:rsidR="00FC3274">
        <w:t xml:space="preserve">appears </w:t>
      </w:r>
      <w:r>
        <w:t>relate</w:t>
      </w:r>
      <w:r w:rsidR="00FC3274">
        <w:t>d</w:t>
      </w:r>
      <w:r>
        <w:t xml:space="preserve"> to project complexity. In complex and remote environments, </w:t>
      </w:r>
      <w:r w:rsidR="00DE663B">
        <w:t xml:space="preserve">customers </w:t>
      </w:r>
      <w:r w:rsidR="00FC3274">
        <w:t xml:space="preserve">appear </w:t>
      </w:r>
      <w:r w:rsidR="00DE663B">
        <w:t>more likely to require</w:t>
      </w:r>
      <w:r>
        <w:t xml:space="preserve"> integrated services as the financial, environmental and reputational risks are higher.  </w:t>
      </w:r>
    </w:p>
    <w:p w:rsidR="00BD46E6" w:rsidRDefault="00066C70">
      <w:pPr>
        <w:pStyle w:val="Numbered"/>
      </w:pPr>
      <w:r>
        <w:t xml:space="preserve">Integrated </w:t>
      </w:r>
      <w:r w:rsidR="00ED67D0">
        <w:t xml:space="preserve">project management </w:t>
      </w:r>
      <w:r w:rsidR="003148A0">
        <w:t>may be</w:t>
      </w:r>
      <w:r w:rsidR="00515F6C">
        <w:t xml:space="preserve"> tendered as a separate service</w:t>
      </w:r>
      <w:r w:rsidR="00B04486">
        <w:t>. Fi</w:t>
      </w:r>
      <w:r w:rsidR="00515F6C">
        <w:t xml:space="preserve">xed-fee, performance based </w:t>
      </w:r>
      <w:r w:rsidR="002B4A93">
        <w:t xml:space="preserve">and/or </w:t>
      </w:r>
      <w:r w:rsidR="00515F6C">
        <w:t>risk-sharing arrangements</w:t>
      </w:r>
      <w:r w:rsidR="000B3623">
        <w:t xml:space="preserve"> </w:t>
      </w:r>
      <w:r w:rsidR="005828E9">
        <w:t>may be included in</w:t>
      </w:r>
      <w:r w:rsidR="00DE663B">
        <w:t xml:space="preserve"> the</w:t>
      </w:r>
      <w:r w:rsidR="005828E9">
        <w:t xml:space="preserve"> pricing for the relevant package of individual products and services</w:t>
      </w:r>
      <w:r w:rsidR="00515F6C">
        <w:t xml:space="preserve">. </w:t>
      </w:r>
    </w:p>
    <w:p w:rsidR="00515F6C" w:rsidRDefault="00515F6C">
      <w:pPr>
        <w:pStyle w:val="Numbered"/>
      </w:pPr>
      <w:r>
        <w:t>Integrated services</w:t>
      </w:r>
      <w:r w:rsidR="003148A0">
        <w:t xml:space="preserve"> </w:t>
      </w:r>
      <w:r>
        <w:t>includes project coordination, where</w:t>
      </w:r>
      <w:r w:rsidR="00B77A1F">
        <w:t xml:space="preserve"> a</w:t>
      </w:r>
      <w:r>
        <w:t xml:space="preserve"> supplier coordinate</w:t>
      </w:r>
      <w:r w:rsidR="00B77A1F">
        <w:t>s</w:t>
      </w:r>
      <w:r>
        <w:t xml:space="preserve"> the </w:t>
      </w:r>
      <w:r w:rsidR="005828E9">
        <w:t xml:space="preserve">various </w:t>
      </w:r>
      <w:r>
        <w:t>products and services</w:t>
      </w:r>
      <w:r w:rsidR="005828E9">
        <w:t xml:space="preserve"> </w:t>
      </w:r>
      <w:r w:rsidR="00D43FD8">
        <w:t xml:space="preserve">it supplies </w:t>
      </w:r>
      <w:r w:rsidR="005828E9">
        <w:t>on the project</w:t>
      </w:r>
      <w:r w:rsidR="00E02527">
        <w:t xml:space="preserve">, through to </w:t>
      </w:r>
      <w:r>
        <w:t>project management where the supplier is heavily involved in designing, planning and executing the project.</w:t>
      </w:r>
      <w:r>
        <w:rPr>
          <w:rStyle w:val="FootnoteReference"/>
        </w:rPr>
        <w:footnoteReference w:id="20"/>
      </w:r>
      <w:r>
        <w:t xml:space="preserve"> </w:t>
      </w:r>
      <w:r w:rsidR="0052490E">
        <w:t>Integrated project management</w:t>
      </w:r>
      <w:r>
        <w:t xml:space="preserve"> may also include ‘turnkey’ arrangements where the oilfield services provider carries financial risk for the performance of a well until certain milestones are met.</w:t>
      </w:r>
      <w:r>
        <w:rPr>
          <w:rStyle w:val="FootnoteReference"/>
        </w:rPr>
        <w:footnoteReference w:id="21"/>
      </w:r>
      <w:r>
        <w:t xml:space="preserve"> </w:t>
      </w:r>
    </w:p>
    <w:p w:rsidR="00BD46E6" w:rsidRDefault="00515F6C">
      <w:pPr>
        <w:pStyle w:val="Numbered"/>
      </w:pPr>
      <w:r>
        <w:t xml:space="preserve">An example of </w:t>
      </w:r>
      <w:r w:rsidR="0052490E">
        <w:t>integrated services</w:t>
      </w:r>
      <w:r>
        <w:t xml:space="preserve"> in Australia is QGC’s contract with Schlumberger for rig management on its CSG operations in QLD.</w:t>
      </w:r>
      <w:r>
        <w:rPr>
          <w:rStyle w:val="FootnoteReference"/>
        </w:rPr>
        <w:footnoteReference w:id="22"/>
      </w:r>
      <w:r>
        <w:t xml:space="preserve"> Under this contract, Schlumberger p</w:t>
      </w:r>
      <w:r w:rsidR="000B3623">
        <w:t>rovided an integrated service for</w:t>
      </w:r>
      <w:r>
        <w:t xml:space="preserve"> well construction and well intervention. </w:t>
      </w:r>
    </w:p>
    <w:p w:rsidR="00BD46E6" w:rsidRDefault="00BD46E6">
      <w:pPr>
        <w:pStyle w:val="Numbered"/>
      </w:pPr>
      <w:r>
        <w:t xml:space="preserve">An integrated services contract includes the underlying </w:t>
      </w:r>
      <w:r w:rsidR="00725B71">
        <w:t>goods</w:t>
      </w:r>
      <w:r>
        <w:t xml:space="preserve"> and services necessary for drilling a well and therefore drives sales of those products and services.</w:t>
      </w:r>
      <w:r w:rsidR="00515F6C">
        <w:t xml:space="preserve"> </w:t>
      </w:r>
      <w:r>
        <w:t xml:space="preserve">Consequently, market power in integrated services can </w:t>
      </w:r>
      <w:r w:rsidR="00FC3274">
        <w:t xml:space="preserve">have an </w:t>
      </w:r>
      <w:r>
        <w:t xml:space="preserve">impact </w:t>
      </w:r>
      <w:r w:rsidR="00FC3274">
        <w:lastRenderedPageBreak/>
        <w:t xml:space="preserve">on a supplier’s overall </w:t>
      </w:r>
      <w:r>
        <w:t>share</w:t>
      </w:r>
      <w:r w:rsidR="00FC3274">
        <w:t xml:space="preserve"> of sales</w:t>
      </w:r>
      <w:r>
        <w:t xml:space="preserve"> </w:t>
      </w:r>
      <w:r w:rsidR="00FC3274">
        <w:t>of</w:t>
      </w:r>
      <w:r>
        <w:t xml:space="preserve"> the</w:t>
      </w:r>
      <w:r w:rsidR="00D257A4">
        <w:t xml:space="preserve"> products and services included as part of</w:t>
      </w:r>
      <w:r w:rsidR="00331054">
        <w:t xml:space="preserve"> an</w:t>
      </w:r>
      <w:r w:rsidR="00D257A4">
        <w:t xml:space="preserve"> integrated service. </w:t>
      </w:r>
      <w:r w:rsidR="00737C5E">
        <w:t xml:space="preserve"> </w:t>
      </w:r>
    </w:p>
    <w:p w:rsidR="00D257A4" w:rsidRDefault="00D257A4">
      <w:pPr>
        <w:pStyle w:val="Numbered"/>
      </w:pPr>
      <w:r>
        <w:t>Market feedback suggests it is rare for smaller suppliers to</w:t>
      </w:r>
      <w:r w:rsidR="00B04486">
        <w:t xml:space="preserve"> enter</w:t>
      </w:r>
      <w:r>
        <w:t xml:space="preserve"> partner</w:t>
      </w:r>
      <w:r w:rsidR="00B04486">
        <w:t>ships</w:t>
      </w:r>
      <w:r>
        <w:t xml:space="preserve"> to offer an integrated service. Competitors identified challenges in establishing partnerships with the ability to compete effectively with a single integrated firm. The inability to efficiently provide a range of products and services constrains the ability of smaller suppliers to compete in the provision of integrated services. These suppliers do not have the necessary expertise and are unable to capture the efficiencies across product or service lines </w:t>
      </w:r>
      <w:r w:rsidR="00331054">
        <w:t xml:space="preserve">that </w:t>
      </w:r>
      <w:r>
        <w:t xml:space="preserve">the large providers can.  </w:t>
      </w:r>
    </w:p>
    <w:p w:rsidR="006D177C" w:rsidRDefault="006D177C">
      <w:pPr>
        <w:pStyle w:val="Numbered"/>
      </w:pPr>
      <w:r>
        <w:t xml:space="preserve">The ACCC understands that the merger parties currently package products in Australia, but do not currently </w:t>
      </w:r>
      <w:r w:rsidR="00ED67D0">
        <w:t>supply</w:t>
      </w:r>
      <w:r>
        <w:t xml:space="preserve"> integrated </w:t>
      </w:r>
      <w:r w:rsidR="00ED67D0">
        <w:t>project management</w:t>
      </w:r>
      <w:r w:rsidR="00246E0F">
        <w:t xml:space="preserve"> as a</w:t>
      </w:r>
      <w:r w:rsidR="00E02E4C">
        <w:t>n</w:t>
      </w:r>
      <w:r w:rsidR="00246E0F">
        <w:t xml:space="preserve"> </w:t>
      </w:r>
      <w:r w:rsidR="00E02E4C">
        <w:t>additional</w:t>
      </w:r>
      <w:r w:rsidR="00725B71">
        <w:t xml:space="preserve"> </w:t>
      </w:r>
      <w:r w:rsidR="00246E0F">
        <w:t>service</w:t>
      </w:r>
      <w:r w:rsidR="00E02E4C">
        <w:t xml:space="preserve"> line</w:t>
      </w:r>
      <w:r w:rsidR="00725B71">
        <w:t>, although they have the capacity to do so</w:t>
      </w:r>
      <w:r>
        <w:t xml:space="preserve">. However, this is not necessarily indicative of future behaviour because </w:t>
      </w:r>
      <w:r w:rsidR="00246E0F">
        <w:t xml:space="preserve">market feedback indicates that </w:t>
      </w:r>
      <w:r w:rsidR="003329C9">
        <w:t xml:space="preserve">demand for integrated services in Australia may be increasing. </w:t>
      </w:r>
      <w:r>
        <w:t>.</w:t>
      </w:r>
    </w:p>
    <w:p w:rsidR="00515F6C" w:rsidRDefault="000B3623" w:rsidP="004F1238">
      <w:pPr>
        <w:pStyle w:val="Heading5"/>
      </w:pPr>
      <w:r>
        <w:t>Bundling</w:t>
      </w:r>
    </w:p>
    <w:p w:rsidR="00A032FA" w:rsidRDefault="00515F6C" w:rsidP="004F1238">
      <w:pPr>
        <w:pStyle w:val="Numbered"/>
      </w:pPr>
      <w:r>
        <w:t xml:space="preserve">Oilfield services </w:t>
      </w:r>
      <w:r w:rsidR="00C201F2">
        <w:t>providers</w:t>
      </w:r>
      <w:r w:rsidR="00331054">
        <w:t xml:space="preserve"> appear to</w:t>
      </w:r>
      <w:r>
        <w:t xml:space="preserve"> frequently offer pricing discounts</w:t>
      </w:r>
      <w:r w:rsidR="00A032FA">
        <w:t xml:space="preserve"> or service improvements</w:t>
      </w:r>
      <w:r>
        <w:t xml:space="preserve"> in return for the </w:t>
      </w:r>
      <w:r w:rsidR="00A032FA">
        <w:t>award of</w:t>
      </w:r>
      <w:r w:rsidR="00956C7E">
        <w:t xml:space="preserve"> </w:t>
      </w:r>
      <w:r w:rsidR="0052490E">
        <w:t>more than one product or service contract</w:t>
      </w:r>
      <w:r>
        <w:t>.</w:t>
      </w:r>
      <w:r w:rsidR="00A032FA">
        <w:t xml:space="preserve"> </w:t>
      </w:r>
      <w:r w:rsidR="004D0A2D">
        <w:t xml:space="preserve">The ability of large oilfield services providers to bundle from their extensive portfolios is a competitive advantage in all individual product and service markets. The merger parties both have </w:t>
      </w:r>
      <w:r w:rsidR="0011647C">
        <w:t>extensive</w:t>
      </w:r>
      <w:r w:rsidR="004D0A2D">
        <w:t xml:space="preserve"> portfolios and post-acquisition would have a more extensive product and service offering.</w:t>
      </w:r>
    </w:p>
    <w:p w:rsidR="00515F6C" w:rsidRDefault="00A032FA">
      <w:pPr>
        <w:pStyle w:val="Numbered"/>
      </w:pPr>
      <w:r>
        <w:t xml:space="preserve">. A </w:t>
      </w:r>
      <w:r w:rsidR="000B3623">
        <w:t>bundle</w:t>
      </w:r>
      <w:r>
        <w:t xml:space="preserve"> may take the form o</w:t>
      </w:r>
      <w:r w:rsidR="007732F1">
        <w:t>f a single</w:t>
      </w:r>
      <w:r>
        <w:t xml:space="preserve"> contract for multiple products and services</w:t>
      </w:r>
      <w:r w:rsidR="002552FC">
        <w:t xml:space="preserve"> (but not including project management or project coordination)</w:t>
      </w:r>
      <w:r w:rsidR="00B04486">
        <w:t xml:space="preserve">. However, it </w:t>
      </w:r>
      <w:r w:rsidR="0052490E">
        <w:t>more commonly</w:t>
      </w:r>
      <w:r w:rsidR="007732F1">
        <w:t xml:space="preserve"> take</w:t>
      </w:r>
      <w:r w:rsidR="00DE663B">
        <w:t>s</w:t>
      </w:r>
      <w:r w:rsidR="007732F1">
        <w:t xml:space="preserve"> the form of multiple separate contracts with pricing discounts across the </w:t>
      </w:r>
      <w:r w:rsidR="00725B71">
        <w:t>bundle</w:t>
      </w:r>
      <w:r>
        <w:t>.</w:t>
      </w:r>
      <w:r w:rsidR="007732F1">
        <w:t xml:space="preserve"> </w:t>
      </w:r>
    </w:p>
    <w:p w:rsidR="00515F6C" w:rsidRDefault="00725B71">
      <w:pPr>
        <w:pStyle w:val="Numbered"/>
      </w:pPr>
      <w:r>
        <w:t>Bundle</w:t>
      </w:r>
      <w:r w:rsidR="00A032FA">
        <w:t xml:space="preserve"> d</w:t>
      </w:r>
      <w:r w:rsidR="00515F6C">
        <w:t xml:space="preserve">iscounts may vary depending on the number of contracts secured. For example, customers </w:t>
      </w:r>
      <w:r w:rsidR="007732F1">
        <w:t>will sometimes</w:t>
      </w:r>
      <w:r w:rsidR="00515F6C">
        <w:t xml:space="preserve"> include a discount matrix as part of a request for tender</w:t>
      </w:r>
      <w:r w:rsidR="007732F1">
        <w:t xml:space="preserve"> or simply invite suppliers to identify opportunities for </w:t>
      </w:r>
      <w:r w:rsidR="000B3623">
        <w:t>bundling</w:t>
      </w:r>
      <w:r w:rsidR="00515F6C">
        <w:t xml:space="preserve">. A discount matrix offers suppliers the opportunity to specify discounts </w:t>
      </w:r>
      <w:r w:rsidR="00E02527">
        <w:t>contingent on the number</w:t>
      </w:r>
      <w:r w:rsidR="00515F6C">
        <w:t xml:space="preserve"> of contracts secured. </w:t>
      </w:r>
    </w:p>
    <w:p w:rsidR="00FC3C96" w:rsidRDefault="00FC3C96" w:rsidP="004F1238">
      <w:pPr>
        <w:pStyle w:val="NormalParagraph"/>
      </w:pPr>
      <w:r w:rsidRPr="00A20A27">
        <w:t>Although bundling can offer customers benefits, it can also raise the cost of entry as new entrants may have to offer substantial discounts to induce customers to ‘un</w:t>
      </w:r>
      <w:r>
        <w:t xml:space="preserve">bundle’ the incumbent’s offer. </w:t>
      </w:r>
      <w:r w:rsidRPr="00A20A27">
        <w:t xml:space="preserve">New entrants may also have to enter in multiple markets </w:t>
      </w:r>
      <w:r w:rsidR="00117D13">
        <w:t>in order</w:t>
      </w:r>
      <w:r w:rsidRPr="00A20A27">
        <w:t xml:space="preserve"> to compete with the bundle</w:t>
      </w:r>
      <w:r>
        <w:t xml:space="preserve">. </w:t>
      </w:r>
    </w:p>
    <w:p w:rsidR="00353B02" w:rsidRPr="004D3271" w:rsidRDefault="00353B02" w:rsidP="004F1238">
      <w:pPr>
        <w:pStyle w:val="commentbox"/>
      </w:pPr>
      <w:r w:rsidRPr="004D3271">
        <w:t xml:space="preserve">The ACCC invites comments from market participants on its </w:t>
      </w:r>
      <w:r>
        <w:t>preliminary views about</w:t>
      </w:r>
      <w:r w:rsidR="00C55333">
        <w:t xml:space="preserve"> int</w:t>
      </w:r>
      <w:r w:rsidR="000B3623">
        <w:t>egrated services and bundling/</w:t>
      </w:r>
      <w:r w:rsidR="00C55333">
        <w:t>packaging</w:t>
      </w:r>
      <w:r w:rsidRPr="004D3271">
        <w:t>. In particular</w:t>
      </w:r>
      <w:r w:rsidR="00C55333">
        <w:t>,</w:t>
      </w:r>
      <w:r w:rsidRPr="004D3271">
        <w:t xml:space="preserve"> market participants may wish to comment on:</w:t>
      </w:r>
    </w:p>
    <w:p w:rsidR="00353B02" w:rsidRDefault="00C55333" w:rsidP="00F1213F">
      <w:pPr>
        <w:pStyle w:val="commentbox"/>
        <w:numPr>
          <w:ilvl w:val="0"/>
          <w:numId w:val="4"/>
        </w:numPr>
      </w:pPr>
      <w:r>
        <w:t>the distinction between i</w:t>
      </w:r>
      <w:r w:rsidR="000B3623">
        <w:t>ntegrated services and bundling</w:t>
      </w:r>
    </w:p>
    <w:p w:rsidR="002552FC" w:rsidRDefault="002552FC" w:rsidP="0012089E">
      <w:pPr>
        <w:pStyle w:val="commentbox"/>
        <w:numPr>
          <w:ilvl w:val="0"/>
          <w:numId w:val="4"/>
        </w:numPr>
      </w:pPr>
      <w:r>
        <w:t>current and expected future demand for integrated services</w:t>
      </w:r>
    </w:p>
    <w:p w:rsidR="002552FC" w:rsidRPr="00353B02" w:rsidRDefault="002552FC" w:rsidP="000769AD">
      <w:pPr>
        <w:pStyle w:val="commentbox"/>
        <w:numPr>
          <w:ilvl w:val="0"/>
          <w:numId w:val="4"/>
        </w:numPr>
      </w:pPr>
      <w:r>
        <w:t xml:space="preserve">the companies </w:t>
      </w:r>
      <w:r w:rsidR="006D177C">
        <w:t xml:space="preserve">that offer or are </w:t>
      </w:r>
      <w:r>
        <w:t>able to offer integrated services currently or in the foreseeable future</w:t>
      </w:r>
    </w:p>
    <w:p w:rsidR="00353B02" w:rsidRDefault="00C55333" w:rsidP="00725B71">
      <w:pPr>
        <w:pStyle w:val="commentbox"/>
        <w:numPr>
          <w:ilvl w:val="0"/>
          <w:numId w:val="4"/>
        </w:numPr>
      </w:pPr>
      <w:r>
        <w:t>th</w:t>
      </w:r>
      <w:r w:rsidR="000B3623">
        <w:t>e extent and effect of bundling</w:t>
      </w:r>
      <w:r w:rsidR="00353B02">
        <w:t xml:space="preserve">.  </w:t>
      </w:r>
    </w:p>
    <w:p w:rsidR="001A3A59" w:rsidRDefault="001A3A59" w:rsidP="001A3A59">
      <w:pPr>
        <w:pStyle w:val="Heading3"/>
      </w:pPr>
      <w:r>
        <w:lastRenderedPageBreak/>
        <w:t>Threat of entry and expansion</w:t>
      </w:r>
    </w:p>
    <w:p w:rsidR="00D10775" w:rsidRDefault="00D10775" w:rsidP="00F1213F">
      <w:pPr>
        <w:pStyle w:val="Heading5"/>
      </w:pPr>
      <w:r>
        <w:t xml:space="preserve">High entry and expansion barriers </w:t>
      </w:r>
    </w:p>
    <w:p w:rsidR="001A3A59" w:rsidRDefault="001A3A59" w:rsidP="0012089E">
      <w:pPr>
        <w:pStyle w:val="NormalParagraph"/>
      </w:pPr>
      <w:r>
        <w:t>The ACCC consider</w:t>
      </w:r>
      <w:r w:rsidR="00B67648">
        <w:t xml:space="preserve">s the </w:t>
      </w:r>
      <w:r w:rsidR="006C2243">
        <w:t xml:space="preserve">merged firm is not likely to be constrained by the credible </w:t>
      </w:r>
      <w:r w:rsidR="00B67648">
        <w:t xml:space="preserve">threat of entry </w:t>
      </w:r>
      <w:r w:rsidR="006C2243">
        <w:t xml:space="preserve">or expansion.  </w:t>
      </w:r>
      <w:r>
        <w:t>Barriers to entry</w:t>
      </w:r>
      <w:r w:rsidR="00E01189">
        <w:t xml:space="preserve"> and expansion</w:t>
      </w:r>
      <w:r>
        <w:t xml:space="preserve"> are</w:t>
      </w:r>
      <w:r w:rsidR="00623E89">
        <w:t xml:space="preserve"> significantly higher in offshore</w:t>
      </w:r>
      <w:r>
        <w:t xml:space="preserve"> marke</w:t>
      </w:r>
      <w:r w:rsidR="00E01189">
        <w:t xml:space="preserve">ts than in </w:t>
      </w:r>
      <w:r w:rsidR="00623E89">
        <w:t>onshore</w:t>
      </w:r>
      <w:r w:rsidR="00E01189">
        <w:t xml:space="preserve"> markets and </w:t>
      </w:r>
      <w:r w:rsidR="00623E89">
        <w:t>are amplified in integrated services</w:t>
      </w:r>
      <w:r>
        <w:t xml:space="preserve">. </w:t>
      </w:r>
      <w:r w:rsidR="00415F52">
        <w:t>Barriers to expansion are particularly significant for any competitor to attain the scale and breadth of the merger parties.</w:t>
      </w:r>
    </w:p>
    <w:p w:rsidR="00C72BED" w:rsidRDefault="001A3A59" w:rsidP="00213FF0">
      <w:pPr>
        <w:pStyle w:val="NormalParagraph"/>
      </w:pPr>
      <w:r>
        <w:t xml:space="preserve">This Statement of Issues does not explore the differences </w:t>
      </w:r>
      <w:r w:rsidR="00E01189">
        <w:t>in</w:t>
      </w:r>
      <w:r>
        <w:t xml:space="preserve"> barriers to entry</w:t>
      </w:r>
      <w:r w:rsidR="00E01189">
        <w:t xml:space="preserve"> or expansion</w:t>
      </w:r>
      <w:r>
        <w:t xml:space="preserve"> </w:t>
      </w:r>
      <w:r w:rsidR="00FE6A46">
        <w:t>for</w:t>
      </w:r>
      <w:r>
        <w:t xml:space="preserve"> each potential market in detail. </w:t>
      </w:r>
    </w:p>
    <w:p w:rsidR="001A3A59" w:rsidRDefault="00415F52">
      <w:pPr>
        <w:pStyle w:val="NormalParagraph"/>
      </w:pPr>
      <w:r>
        <w:t xml:space="preserve">Certain </w:t>
      </w:r>
      <w:r w:rsidR="00C72BED">
        <w:t>products and services have higher barriers to entry than others</w:t>
      </w:r>
      <w:r w:rsidR="001A3A59">
        <w:t>.</w:t>
      </w:r>
      <w:r w:rsidR="00C72BED">
        <w:t xml:space="preserve"> </w:t>
      </w:r>
      <w:r w:rsidR="001A3A59">
        <w:t>For example,</w:t>
      </w:r>
      <w:r w:rsidR="006C2243">
        <w:t xml:space="preserve"> entry into</w:t>
      </w:r>
      <w:r w:rsidR="001A3A59">
        <w:t xml:space="preserve"> </w:t>
      </w:r>
      <w:r w:rsidR="001A3A59" w:rsidRPr="00E4500A">
        <w:rPr>
          <w:i/>
        </w:rPr>
        <w:t>wireline –</w:t>
      </w:r>
      <w:r w:rsidR="00E01189" w:rsidRPr="00E4500A">
        <w:rPr>
          <w:i/>
        </w:rPr>
        <w:t xml:space="preserve"> </w:t>
      </w:r>
      <w:r w:rsidR="001A3A59" w:rsidRPr="00E4500A">
        <w:rPr>
          <w:i/>
        </w:rPr>
        <w:t>open hole</w:t>
      </w:r>
      <w:r w:rsidR="001A3A59">
        <w:t xml:space="preserve"> </w:t>
      </w:r>
      <w:r w:rsidR="00B77A1F">
        <w:t xml:space="preserve">is </w:t>
      </w:r>
      <w:r w:rsidR="006C2243">
        <w:t>difficult</w:t>
      </w:r>
      <w:r w:rsidR="00B67648">
        <w:t>,</w:t>
      </w:r>
      <w:r w:rsidR="00E01189">
        <w:t xml:space="preserve"> due to </w:t>
      </w:r>
      <w:r w:rsidR="006C2243">
        <w:t xml:space="preserve">high R&amp;D </w:t>
      </w:r>
      <w:r w:rsidR="00E01189">
        <w:t>costs</w:t>
      </w:r>
      <w:r w:rsidR="00B67648">
        <w:t xml:space="preserve"> and lead time</w:t>
      </w:r>
      <w:r w:rsidR="006C2243">
        <w:t xml:space="preserve">. </w:t>
      </w:r>
      <w:r w:rsidR="00E01189">
        <w:t xml:space="preserve"> </w:t>
      </w:r>
    </w:p>
    <w:p w:rsidR="001A3A59" w:rsidRDefault="00B67648">
      <w:pPr>
        <w:pStyle w:val="NormalParagraph"/>
      </w:pPr>
      <w:r>
        <w:t>There are examples of new entry over</w:t>
      </w:r>
      <w:r w:rsidR="001A3A59">
        <w:t xml:space="preserve"> the past 10</w:t>
      </w:r>
      <w:r w:rsidR="00E01189">
        <w:t xml:space="preserve"> years in </w:t>
      </w:r>
      <w:r>
        <w:t>onshore</w:t>
      </w:r>
      <w:r w:rsidR="00E01189">
        <w:t xml:space="preserve"> markets.</w:t>
      </w:r>
      <w:r w:rsidR="00DE084F">
        <w:t xml:space="preserve"> However, entry has typically been into one or two product markets and has not been of the scale or scope necessary to compete effectively with the merged firm.</w:t>
      </w:r>
      <w:r w:rsidR="004E6980">
        <w:t xml:space="preserve"> </w:t>
      </w:r>
      <w:r w:rsidR="00E01189">
        <w:t>F</w:t>
      </w:r>
      <w:r w:rsidR="001A3A59">
        <w:t>or example</w:t>
      </w:r>
      <w:r w:rsidR="0098363B">
        <w:t>,</w:t>
      </w:r>
      <w:r w:rsidR="001A3A59">
        <w:t xml:space="preserve"> </w:t>
      </w:r>
      <w:proofErr w:type="spellStart"/>
      <w:r w:rsidR="001A3A59">
        <w:t>Trican</w:t>
      </w:r>
      <w:proofErr w:type="spellEnd"/>
      <w:r w:rsidR="001A3A59">
        <w:t xml:space="preserve"> and Superior </w:t>
      </w:r>
      <w:r w:rsidR="00E01189">
        <w:t>entered in Queensland’s CSG basins</w:t>
      </w:r>
      <w:r w:rsidR="001A3A59">
        <w:t>.</w:t>
      </w:r>
      <w:r w:rsidR="00E01189">
        <w:t xml:space="preserve"> Both companies supply cementing</w:t>
      </w:r>
      <w:r w:rsidR="0021446E">
        <w:t xml:space="preserve"> and other</w:t>
      </w:r>
      <w:r w:rsidR="00E01189">
        <w:t xml:space="preserve"> services.</w:t>
      </w:r>
      <w:r w:rsidR="001A3A59">
        <w:t xml:space="preserve"> </w:t>
      </w:r>
      <w:r>
        <w:t>Condor</w:t>
      </w:r>
      <w:r w:rsidR="00E01189">
        <w:t xml:space="preserve"> entered hydraulic fracturing and related services in 2014 after securing a contract with Beach Energy</w:t>
      </w:r>
      <w:r w:rsidR="001A3A59">
        <w:t>.</w:t>
      </w:r>
      <w:r w:rsidR="009652C9">
        <w:rPr>
          <w:rStyle w:val="FootnoteReference"/>
        </w:rPr>
        <w:footnoteReference w:id="23"/>
      </w:r>
      <w:r w:rsidR="009652C9">
        <w:t xml:space="preserve"> </w:t>
      </w:r>
    </w:p>
    <w:p w:rsidR="001A3A59" w:rsidRDefault="001A3A59">
      <w:pPr>
        <w:pStyle w:val="NormalParagraph"/>
      </w:pPr>
      <w:r>
        <w:t xml:space="preserve">As noted, entry or expansion on a scale sufficient to constrain the merged </w:t>
      </w:r>
      <w:r w:rsidR="00C201F2">
        <w:t xml:space="preserve">firm </w:t>
      </w:r>
      <w:r>
        <w:t>across its entire</w:t>
      </w:r>
      <w:r w:rsidR="002A1619">
        <w:t xml:space="preserve"> product range </w:t>
      </w:r>
      <w:r w:rsidR="00BA303F">
        <w:t>is</w:t>
      </w:r>
      <w:r w:rsidR="002A1619">
        <w:t xml:space="preserve"> unlikely. </w:t>
      </w:r>
      <w:r>
        <w:t xml:space="preserve">In reality, the only firms with the potential to constrain the merged </w:t>
      </w:r>
      <w:r w:rsidR="00C201F2">
        <w:t xml:space="preserve">firm </w:t>
      </w:r>
      <w:r>
        <w:t xml:space="preserve">across </w:t>
      </w:r>
      <w:r w:rsidR="0021446E">
        <w:t xml:space="preserve">the </w:t>
      </w:r>
      <w:r>
        <w:t xml:space="preserve">entire product range are the large multinational oilfield services providers (Schlumberger and </w:t>
      </w:r>
      <w:r w:rsidR="00BA303F">
        <w:t xml:space="preserve">to a lesser extent </w:t>
      </w:r>
      <w:r>
        <w:t xml:space="preserve">Weatherford). </w:t>
      </w:r>
    </w:p>
    <w:p w:rsidR="00D257A4" w:rsidRDefault="0021446E">
      <w:pPr>
        <w:pStyle w:val="NormalParagraph"/>
      </w:pPr>
      <w:r>
        <w:t>T</w:t>
      </w:r>
      <w:r w:rsidR="00D257A4">
        <w:t>he ACCC understands Weatherford has a less extensive offering</w:t>
      </w:r>
      <w:r>
        <w:t xml:space="preserve"> </w:t>
      </w:r>
      <w:r w:rsidR="00D257A4">
        <w:t>in Australia than it does in other jurisdictions. Weatherford may be able to expand its offering post-acquisition if the merged firm exercise</w:t>
      </w:r>
      <w:r w:rsidR="00C1035C">
        <w:t>d</w:t>
      </w:r>
      <w:r w:rsidR="00D257A4">
        <w:t xml:space="preserve"> market power. </w:t>
      </w:r>
      <w:r>
        <w:t xml:space="preserve">This is an issue the ACCC is still assessing. </w:t>
      </w:r>
      <w:r w:rsidR="00D257A4">
        <w:t xml:space="preserve"> </w:t>
      </w:r>
    </w:p>
    <w:p w:rsidR="00DE084F" w:rsidRDefault="001A3A59">
      <w:pPr>
        <w:pStyle w:val="NormalParagraph"/>
      </w:pPr>
      <w:r>
        <w:t xml:space="preserve">The ACCC is considering whether other multi-national oilfield services </w:t>
      </w:r>
      <w:r w:rsidR="00C201F2">
        <w:t>providers</w:t>
      </w:r>
      <w:r>
        <w:t xml:space="preserve"> </w:t>
      </w:r>
      <w:r w:rsidR="00DE084F">
        <w:t xml:space="preserve">currently present in Australia </w:t>
      </w:r>
      <w:r>
        <w:t xml:space="preserve">(such as GE Oil and Gas, NOV or Superior) present a credible threat of entry </w:t>
      </w:r>
      <w:r w:rsidR="00C1035C">
        <w:t>into markets affected by the acquisition</w:t>
      </w:r>
      <w:r w:rsidR="0021446E">
        <w:t>.</w:t>
      </w:r>
      <w:r>
        <w:t xml:space="preserve"> The ACCC’s preliminary view is that this is unlikely. </w:t>
      </w:r>
      <w:r w:rsidR="00C1035C">
        <w:t xml:space="preserve">These </w:t>
      </w:r>
      <w:r>
        <w:t>companies have limited offerings relative to the merger parties</w:t>
      </w:r>
      <w:r w:rsidR="00C1035C">
        <w:t>,</w:t>
      </w:r>
      <w:r w:rsidR="00EF2D1A">
        <w:t xml:space="preserve"> meaning extensive entry would be required</w:t>
      </w:r>
      <w:r w:rsidR="0021446E">
        <w:t>.</w:t>
      </w:r>
      <w:r w:rsidR="00EF2D1A">
        <w:t xml:space="preserve"> </w:t>
      </w:r>
    </w:p>
    <w:p w:rsidR="00374B5B" w:rsidRDefault="00DE084F">
      <w:pPr>
        <w:pStyle w:val="NormalParagraph"/>
      </w:pPr>
      <w:r>
        <w:t>As noted above, many customers are unwilling to switch to new entrants regardless of price advantages because of the risks involved</w:t>
      </w:r>
      <w:r w:rsidR="00F21F2D">
        <w:t>, particularly for offshore drilling projects</w:t>
      </w:r>
      <w:r>
        <w:t xml:space="preserve">. </w:t>
      </w:r>
    </w:p>
    <w:p w:rsidR="00A552EF" w:rsidRDefault="00374B5B">
      <w:pPr>
        <w:pStyle w:val="NormalParagraph"/>
      </w:pPr>
      <w:r>
        <w:t xml:space="preserve">The ACCC is also considering whether other overseas </w:t>
      </w:r>
      <w:r w:rsidR="00CD5A54">
        <w:t xml:space="preserve">suppliers </w:t>
      </w:r>
      <w:r>
        <w:t>could enter Australia</w:t>
      </w:r>
      <w:r w:rsidR="00CD5A54">
        <w:t>.</w:t>
      </w:r>
      <w:r>
        <w:t xml:space="preserve"> Some market participants suggested there may be </w:t>
      </w:r>
      <w:r w:rsidR="00CD5A54">
        <w:t xml:space="preserve">South East Asian </w:t>
      </w:r>
      <w:r>
        <w:t xml:space="preserve">suppliers with the ability to enter Australia. </w:t>
      </w:r>
      <w:r w:rsidR="001A3A59">
        <w:t xml:space="preserve"> </w:t>
      </w:r>
    </w:p>
    <w:p w:rsidR="00A552EF" w:rsidRDefault="00DE663B">
      <w:pPr>
        <w:pStyle w:val="NormalParagraph"/>
      </w:pPr>
      <w:r>
        <w:t>I</w:t>
      </w:r>
      <w:r w:rsidR="00A552EF">
        <w:t xml:space="preserve">t is likely oilfield services providers </w:t>
      </w:r>
      <w:r w:rsidR="00361A58">
        <w:t xml:space="preserve">currently </w:t>
      </w:r>
      <w:r w:rsidR="00A552EF">
        <w:t>have excess capacity</w:t>
      </w:r>
      <w:r w:rsidR="00361A58">
        <w:t xml:space="preserve">. </w:t>
      </w:r>
      <w:r w:rsidR="00A552EF">
        <w:t>The recent downturn in the industry has led to significant cut backs in or deferrals of projects</w:t>
      </w:r>
      <w:r w:rsidR="00361A58">
        <w:t>.</w:t>
      </w:r>
      <w:r w:rsidR="00A552EF">
        <w:t xml:space="preserve"> In these conditions, providers are more likely to have excess capacity and are, therefore, more likely to provide a competitive constraint on the merged </w:t>
      </w:r>
      <w:r w:rsidR="00A552EF">
        <w:lastRenderedPageBreak/>
        <w:t xml:space="preserve">firm. </w:t>
      </w:r>
      <w:r w:rsidR="004E6980">
        <w:t xml:space="preserve">This is a cyclical condition, however, in contrast to the </w:t>
      </w:r>
      <w:r w:rsidR="00BD239D">
        <w:t xml:space="preserve">permanent effect </w:t>
      </w:r>
      <w:r w:rsidR="004E6980">
        <w:t xml:space="preserve">of the proposed acquisition. </w:t>
      </w:r>
      <w:r w:rsidR="00A552EF">
        <w:t xml:space="preserve">  </w:t>
      </w:r>
    </w:p>
    <w:p w:rsidR="00097D6C" w:rsidRDefault="00097D6C">
      <w:pPr>
        <w:pStyle w:val="NormalParagraph"/>
      </w:pPr>
      <w:r>
        <w:t xml:space="preserve">It is the ACCC’s preliminary view that the threat of new entry or further expansion would not be sufficiently timely to defeat an exercise of market power by the merged firm. The ACCC also considers the proposed acquisition would likely increase barriers to entry.  </w:t>
      </w:r>
    </w:p>
    <w:p w:rsidR="001A3A59" w:rsidRDefault="001A3A59">
      <w:pPr>
        <w:pStyle w:val="NormalParagraph"/>
      </w:pPr>
      <w:r>
        <w:t>In the following sections, the ACCC explore</w:t>
      </w:r>
      <w:r w:rsidR="00361A58">
        <w:t>s certain</w:t>
      </w:r>
      <w:r>
        <w:t xml:space="preserve"> barriers to entry</w:t>
      </w:r>
      <w:r w:rsidR="00361A58">
        <w:t xml:space="preserve"> that are</w:t>
      </w:r>
      <w:r>
        <w:t xml:space="preserve"> </w:t>
      </w:r>
      <w:r w:rsidR="00361A58">
        <w:t xml:space="preserve">most </w:t>
      </w:r>
      <w:r>
        <w:t>relevant to oilfield services.</w:t>
      </w:r>
      <w:r w:rsidR="00C72BED">
        <w:t xml:space="preserve"> </w:t>
      </w:r>
    </w:p>
    <w:p w:rsidR="00AF2DA0" w:rsidRDefault="0098363B" w:rsidP="00D97EEC">
      <w:pPr>
        <w:pStyle w:val="Heading5"/>
      </w:pPr>
      <w:r>
        <w:t xml:space="preserve">Economies of </w:t>
      </w:r>
      <w:r w:rsidR="00725B71">
        <w:t xml:space="preserve">scale and </w:t>
      </w:r>
      <w:r>
        <w:t xml:space="preserve">scope </w:t>
      </w:r>
    </w:p>
    <w:p w:rsidR="00AF2DA0" w:rsidRDefault="0098363B" w:rsidP="00725B71">
      <w:pPr>
        <w:pStyle w:val="NormalParagraph"/>
      </w:pPr>
      <w:r>
        <w:t xml:space="preserve">There are economies of </w:t>
      </w:r>
      <w:r w:rsidR="00AF2DA0">
        <w:t xml:space="preserve">scale and </w:t>
      </w:r>
      <w:r>
        <w:t xml:space="preserve">scope in the provision of oilfield services. </w:t>
      </w:r>
      <w:r w:rsidR="00AF2DA0">
        <w:t xml:space="preserve"> Scale economies limit the viability of entry below a minimum efficient scale.</w:t>
      </w:r>
      <w:r w:rsidR="001F512C">
        <w:t xml:space="preserve">  Entry on the scale needed to constrain the merged firm would add significantly to industry capacity relative to demand and thus be likely to reduce the expected returns from entry.</w:t>
      </w:r>
      <w:r w:rsidR="00012A0A">
        <w:t xml:space="preserve"> The small size of the Australian oilfield service market relative to other geographic areas increases the difficulty for new entrant suppliers to achieve minimum efficient scale.</w:t>
      </w:r>
    </w:p>
    <w:p w:rsidR="005C4437" w:rsidRDefault="00AF2DA0" w:rsidP="00725B71">
      <w:pPr>
        <w:pStyle w:val="NormalParagraph"/>
      </w:pPr>
      <w:r>
        <w:t>Economies of scope exist as t</w:t>
      </w:r>
      <w:r w:rsidR="0098363B">
        <w:t xml:space="preserve">he merged </w:t>
      </w:r>
      <w:r w:rsidR="00C201F2">
        <w:t xml:space="preserve">firm </w:t>
      </w:r>
      <w:r w:rsidR="0098363B">
        <w:t>will be a global conglomerate firm able to spread its fixed costs across many product</w:t>
      </w:r>
      <w:r w:rsidR="0016311C">
        <w:t>s</w:t>
      </w:r>
      <w:r w:rsidR="0098363B">
        <w:t xml:space="preserve"> and jurisdictions. </w:t>
      </w:r>
      <w:r w:rsidR="005C4437">
        <w:t xml:space="preserve">Overheads (including support infrastructure, transport costs etc.) and administrative costs </w:t>
      </w:r>
      <w:r w:rsidR="0016311C">
        <w:t xml:space="preserve">will be </w:t>
      </w:r>
      <w:r w:rsidR="005C4437">
        <w:t>spread across the merger parties</w:t>
      </w:r>
      <w:r w:rsidR="00E3679A">
        <w:t>’ global network</w:t>
      </w:r>
      <w:r w:rsidR="005C4437">
        <w:t xml:space="preserve">. </w:t>
      </w:r>
    </w:p>
    <w:p w:rsidR="00E3679A" w:rsidRDefault="00117D13">
      <w:pPr>
        <w:pStyle w:val="NormalParagraph"/>
      </w:pPr>
      <w:r>
        <w:t>D</w:t>
      </w:r>
      <w:r w:rsidR="005C4437">
        <w:t xml:space="preserve">ue to the cyclical and lumpy nature of the industry, large firms gain significant operational advantages through diversification across product and service categories, and geographic areas. </w:t>
      </w:r>
      <w:r w:rsidR="0098363B">
        <w:t xml:space="preserve">For example, market participants suggested one supplier had recently shifted certain onshore assets from Australia to the Middle East in response to shifting demands. </w:t>
      </w:r>
    </w:p>
    <w:p w:rsidR="0098363B" w:rsidRDefault="0098363B" w:rsidP="00087F58">
      <w:pPr>
        <w:pStyle w:val="Heading5"/>
      </w:pPr>
      <w:r>
        <w:t>Experience, reputation and relationships</w:t>
      </w:r>
    </w:p>
    <w:p w:rsidR="0098363B" w:rsidRDefault="00835EDE" w:rsidP="00087F58">
      <w:pPr>
        <w:pStyle w:val="NormalParagraph"/>
      </w:pPr>
      <w:r>
        <w:t>E&amp;Ps</w:t>
      </w:r>
      <w:r w:rsidR="0098363B">
        <w:t xml:space="preserve"> bear</w:t>
      </w:r>
      <w:r w:rsidR="00DE084F">
        <w:t xml:space="preserve"> significant</w:t>
      </w:r>
      <w:r w:rsidR="0098363B">
        <w:t xml:space="preserve"> </w:t>
      </w:r>
      <w:r w:rsidR="00BD239D">
        <w:t xml:space="preserve">environmental, financial and reputational </w:t>
      </w:r>
      <w:r w:rsidR="0098363B">
        <w:t>risks associated with projects.</w:t>
      </w:r>
      <w:r w:rsidR="00DE084F">
        <w:t xml:space="preserve"> </w:t>
      </w:r>
      <w:r w:rsidR="00BD239D">
        <w:t xml:space="preserve">These risks become more significant as the drilling project becomes more complex.  </w:t>
      </w:r>
    </w:p>
    <w:p w:rsidR="0098363B" w:rsidRDefault="00DE084F">
      <w:pPr>
        <w:pStyle w:val="NormalParagraph"/>
      </w:pPr>
      <w:r>
        <w:t xml:space="preserve">The products and services required by </w:t>
      </w:r>
      <w:r w:rsidR="00835EDE">
        <w:t xml:space="preserve">E&amp;Ps </w:t>
      </w:r>
      <w:r>
        <w:t xml:space="preserve">are highly technical and must also be reliable. </w:t>
      </w:r>
      <w:r w:rsidR="0098363B">
        <w:t>Market feedback suggests that experience, reputation and relationships are important for providers to participate and be successful in tenders. Offshore</w:t>
      </w:r>
      <w:r w:rsidR="00FA7243">
        <w:t xml:space="preserve"> and complex</w:t>
      </w:r>
      <w:r w:rsidR="0098363B">
        <w:t xml:space="preserve"> drilling projects are especially high risk</w:t>
      </w:r>
      <w:r w:rsidR="00DB6AA2">
        <w:t xml:space="preserve"> meaning</w:t>
      </w:r>
      <w:r w:rsidR="0098363B">
        <w:t xml:space="preserve"> these </w:t>
      </w:r>
      <w:r w:rsidR="00FA7243">
        <w:t>factors</w:t>
      </w:r>
      <w:r w:rsidR="0098363B">
        <w:t xml:space="preserve"> tend to be</w:t>
      </w:r>
      <w:r>
        <w:t xml:space="preserve"> </w:t>
      </w:r>
      <w:r w:rsidR="0098363B">
        <w:t xml:space="preserve">more important in offshore markets. </w:t>
      </w:r>
    </w:p>
    <w:p w:rsidR="0098363B" w:rsidRDefault="0098363B">
      <w:pPr>
        <w:pStyle w:val="NormalParagraph"/>
      </w:pPr>
      <w:r>
        <w:t xml:space="preserve">Some </w:t>
      </w:r>
      <w:r w:rsidR="00BD239D">
        <w:t>customers</w:t>
      </w:r>
      <w:r w:rsidR="00FA7243">
        <w:t xml:space="preserve"> </w:t>
      </w:r>
      <w:r>
        <w:t xml:space="preserve">described requiring many kilometres of drilling experience in </w:t>
      </w:r>
      <w:r w:rsidR="00835EDE">
        <w:t>a</w:t>
      </w:r>
      <w:r>
        <w:t xml:space="preserve"> product or service before considering a new entrant</w:t>
      </w:r>
      <w:r w:rsidR="00835EDE">
        <w:t>.</w:t>
      </w:r>
      <w:r>
        <w:t xml:space="preserve"> Several </w:t>
      </w:r>
      <w:r w:rsidR="00835EDE">
        <w:t xml:space="preserve">E&amp;Ps </w:t>
      </w:r>
      <w:r>
        <w:t>advised the ACCC</w:t>
      </w:r>
      <w:r w:rsidR="00331054">
        <w:t xml:space="preserve"> that, due to a desire to protect their reputation,</w:t>
      </w:r>
      <w:r>
        <w:t xml:space="preserve"> they would not even consider a new entrant for offshore </w:t>
      </w:r>
      <w:r w:rsidR="00835EDE">
        <w:t>work regardless of any price advantage</w:t>
      </w:r>
      <w:r>
        <w:t>.</w:t>
      </w:r>
    </w:p>
    <w:p w:rsidR="00FA7243" w:rsidRDefault="003E281E">
      <w:pPr>
        <w:pStyle w:val="NormalParagraph"/>
      </w:pPr>
      <w:r>
        <w:t>A new entrant must overcome</w:t>
      </w:r>
      <w:r w:rsidR="0098363B">
        <w:t xml:space="preserve"> </w:t>
      </w:r>
      <w:r w:rsidR="00835EDE">
        <w:t>the</w:t>
      </w:r>
      <w:r w:rsidR="0098363B">
        <w:t xml:space="preserve"> experience and reputational advantages</w:t>
      </w:r>
      <w:r>
        <w:t xml:space="preserve"> </w:t>
      </w:r>
      <w:r w:rsidR="00835EDE">
        <w:t xml:space="preserve">of incumbents </w:t>
      </w:r>
      <w:r>
        <w:t>either through superior pricing, service or technology</w:t>
      </w:r>
      <w:r w:rsidR="0098363B">
        <w:t xml:space="preserve">. </w:t>
      </w:r>
    </w:p>
    <w:p w:rsidR="0098363B" w:rsidRDefault="003E281E">
      <w:pPr>
        <w:pStyle w:val="NormalParagraph"/>
      </w:pPr>
      <w:r>
        <w:t xml:space="preserve">E&amp;Ps </w:t>
      </w:r>
      <w:r w:rsidR="00FA7243">
        <w:t>have long and d</w:t>
      </w:r>
      <w:r w:rsidR="00BD239D">
        <w:t xml:space="preserve">etailed </w:t>
      </w:r>
      <w:r w:rsidR="00835EDE">
        <w:t xml:space="preserve">pre-contractual </w:t>
      </w:r>
      <w:r w:rsidR="00BD239D">
        <w:t xml:space="preserve">qualification processes, </w:t>
      </w:r>
      <w:r w:rsidR="00835EDE">
        <w:t xml:space="preserve">involving </w:t>
      </w:r>
      <w:r w:rsidR="00FA7243">
        <w:t>issues such as: staff</w:t>
      </w:r>
      <w:r w:rsidR="009A3EE1">
        <w:t>,</w:t>
      </w:r>
      <w:r w:rsidR="00FA7243">
        <w:t xml:space="preserve"> health and safety</w:t>
      </w:r>
      <w:r w:rsidR="009A3EE1">
        <w:t>,</w:t>
      </w:r>
      <w:r w:rsidR="00FA7243">
        <w:t xml:space="preserve"> management</w:t>
      </w:r>
      <w:r w:rsidR="009A3EE1">
        <w:t>,</w:t>
      </w:r>
      <w:r w:rsidR="00FA7243">
        <w:t xml:space="preserve"> tool testing and scope/support infrastructure. These processes can take </w:t>
      </w:r>
      <w:r w:rsidR="00D8711D">
        <w:t>1</w:t>
      </w:r>
      <w:r w:rsidR="00FA7243">
        <w:t xml:space="preserve">2 months or more </w:t>
      </w:r>
      <w:r w:rsidR="00835EDE">
        <w:t xml:space="preserve">for providers </w:t>
      </w:r>
      <w:r w:rsidR="00FA7243">
        <w:t>to complete</w:t>
      </w:r>
      <w:r w:rsidR="006261CF">
        <w:t xml:space="preserve"> and are </w:t>
      </w:r>
      <w:r w:rsidR="00FA7243">
        <w:t>a considerable barrier to new entrants</w:t>
      </w:r>
      <w:r w:rsidR="009C0C06">
        <w:t xml:space="preserve">. </w:t>
      </w:r>
      <w:r w:rsidR="00FA7243">
        <w:t xml:space="preserve"> </w:t>
      </w:r>
    </w:p>
    <w:p w:rsidR="0098363B" w:rsidRDefault="0098363B" w:rsidP="00D97EEC">
      <w:pPr>
        <w:pStyle w:val="Heading5"/>
      </w:pPr>
      <w:r>
        <w:lastRenderedPageBreak/>
        <w:t>Research and Development (</w:t>
      </w:r>
      <w:r w:rsidRPr="00CB427C">
        <w:rPr>
          <w:b/>
        </w:rPr>
        <w:t>R&amp;D</w:t>
      </w:r>
      <w:r>
        <w:t xml:space="preserve">) </w:t>
      </w:r>
      <w:r w:rsidR="000F454F">
        <w:t>and innovation</w:t>
      </w:r>
    </w:p>
    <w:p w:rsidR="0098363B" w:rsidRDefault="0098363B" w:rsidP="00D97EEC">
      <w:pPr>
        <w:pStyle w:val="NormalParagraph"/>
      </w:pPr>
      <w:r>
        <w:t>R&amp;D</w:t>
      </w:r>
      <w:r w:rsidR="000F454F">
        <w:t xml:space="preserve"> and innovation</w:t>
      </w:r>
      <w:r>
        <w:t xml:space="preserve"> costs present a significant barrier</w:t>
      </w:r>
      <w:r w:rsidR="00FA7243">
        <w:t xml:space="preserve"> to</w:t>
      </w:r>
      <w:r>
        <w:t xml:space="preserve"> entry. This is particularly important for highly technical equipment, such as </w:t>
      </w:r>
      <w:r w:rsidRPr="00BD239D">
        <w:rPr>
          <w:i/>
        </w:rPr>
        <w:t>wireline</w:t>
      </w:r>
      <w:r w:rsidR="00BD239D" w:rsidRPr="00BD239D">
        <w:rPr>
          <w:i/>
        </w:rPr>
        <w:t xml:space="preserve"> – open hole</w:t>
      </w:r>
      <w:r>
        <w:t xml:space="preserve"> and </w:t>
      </w:r>
      <w:r w:rsidRPr="00BD239D">
        <w:rPr>
          <w:i/>
        </w:rPr>
        <w:t>MWD</w:t>
      </w:r>
      <w:r>
        <w:t>. The ACCC understands R&amp;D</w:t>
      </w:r>
      <w:r w:rsidR="000F454F">
        <w:t xml:space="preserve"> and innovation</w:t>
      </w:r>
      <w:r>
        <w:t xml:space="preserve"> by the </w:t>
      </w:r>
      <w:r w:rsidR="006261CF">
        <w:t>merger parties</w:t>
      </w:r>
      <w:r>
        <w:t xml:space="preserve"> takes place in the United States. </w:t>
      </w:r>
    </w:p>
    <w:p w:rsidR="0098363B" w:rsidRPr="00F12B49" w:rsidRDefault="00770E5E">
      <w:pPr>
        <w:pStyle w:val="NormalParagraph"/>
      </w:pPr>
      <w:r>
        <w:t>The ACCC understands the market leaders</w:t>
      </w:r>
      <w:r w:rsidR="009A3EE1">
        <w:t>;</w:t>
      </w:r>
      <w:r>
        <w:t xml:space="preserve"> Schlumberger, Halliburton and Baker Hughes spent US$1.2 billion, US$601 million and US$430 million respectively on R&amp;D</w:t>
      </w:r>
      <w:r w:rsidR="00BD239D">
        <w:t xml:space="preserve"> in 2014</w:t>
      </w:r>
      <w:r>
        <w:t xml:space="preserve">. </w:t>
      </w:r>
      <w:r w:rsidR="00467B53">
        <w:t xml:space="preserve">This </w:t>
      </w:r>
      <w:r w:rsidR="00695E76">
        <w:t xml:space="preserve">contrasts </w:t>
      </w:r>
      <w:r w:rsidR="00467B53">
        <w:t>with Wea</w:t>
      </w:r>
      <w:r w:rsidR="003E281E">
        <w:t xml:space="preserve">therford </w:t>
      </w:r>
      <w:r w:rsidR="00A04176">
        <w:t>which spent US$2</w:t>
      </w:r>
      <w:r w:rsidR="003E281E">
        <w:t>65 million in 2013</w:t>
      </w:r>
      <w:r w:rsidR="00467B53">
        <w:t>.</w:t>
      </w:r>
      <w:r w:rsidR="00BC2FC0">
        <w:rPr>
          <w:rStyle w:val="FootnoteReference"/>
        </w:rPr>
        <w:footnoteReference w:id="24"/>
      </w:r>
      <w:r w:rsidR="00467B53">
        <w:t xml:space="preserve"> </w:t>
      </w:r>
    </w:p>
    <w:p w:rsidR="00F80D22" w:rsidRDefault="00F80D22">
      <w:pPr>
        <w:pStyle w:val="NormalParagraph"/>
      </w:pPr>
      <w:r>
        <w:t>T</w:t>
      </w:r>
      <w:r w:rsidR="0098363B">
        <w:t>echnologies developed in the U</w:t>
      </w:r>
      <w:r w:rsidR="00BD239D">
        <w:t>nited States</w:t>
      </w:r>
      <w:r w:rsidR="0098363B">
        <w:t xml:space="preserve"> can be used globally with </w:t>
      </w:r>
      <w:r w:rsidR="00467B53">
        <w:t>little customisation required for</w:t>
      </w:r>
      <w:r w:rsidR="0098363B">
        <w:t xml:space="preserve"> different geographies. The global companies are able to spread the sunk R&amp;D </w:t>
      </w:r>
      <w:r w:rsidR="00770E5E">
        <w:t xml:space="preserve">costs </w:t>
      </w:r>
      <w:r w:rsidR="0098363B">
        <w:t>across multiple jurisdictions.</w:t>
      </w:r>
    </w:p>
    <w:p w:rsidR="00770E5E" w:rsidRDefault="00F80D22">
      <w:pPr>
        <w:pStyle w:val="NormalParagraph"/>
      </w:pPr>
      <w:r>
        <w:t>R&amp;D and</w:t>
      </w:r>
      <w:r w:rsidR="00D8711D">
        <w:t xml:space="preserve"> innovation therefore represent</w:t>
      </w:r>
      <w:r>
        <w:t xml:space="preserve"> a significant</w:t>
      </w:r>
      <w:r w:rsidR="00DE084F">
        <w:t xml:space="preserve"> competitive</w:t>
      </w:r>
      <w:r>
        <w:t xml:space="preserve"> difference between incumbent providers and new entrants. New entrants must match</w:t>
      </w:r>
      <w:r w:rsidR="00D8711D">
        <w:t>,</w:t>
      </w:r>
      <w:r>
        <w:t xml:space="preserve"> or better</w:t>
      </w:r>
      <w:r w:rsidR="00D8711D">
        <w:t>,</w:t>
      </w:r>
      <w:r>
        <w:t xml:space="preserve"> the technical expertise of the incumbent providers</w:t>
      </w:r>
      <w:r w:rsidR="006261CF">
        <w:t xml:space="preserve">. </w:t>
      </w:r>
      <w:r w:rsidR="00770E5E">
        <w:t xml:space="preserve">Market participants suggested it would take </w:t>
      </w:r>
      <w:r w:rsidR="009A3EE1">
        <w:t>three to five</w:t>
      </w:r>
      <w:r w:rsidR="00770E5E">
        <w:t xml:space="preserve"> years to develop any new technology, plus additional testing. It may be open for prospective rivals to access any essential proprietary technology through licensing arrangements. However, some market participants raised concerns</w:t>
      </w:r>
      <w:r w:rsidR="006261CF">
        <w:t xml:space="preserve"> about the feasibility of this. </w:t>
      </w:r>
      <w:r w:rsidR="00770E5E">
        <w:t xml:space="preserve"> </w:t>
      </w:r>
    </w:p>
    <w:p w:rsidR="0098363B" w:rsidRDefault="0098363B">
      <w:pPr>
        <w:pStyle w:val="NormalParagraph"/>
      </w:pPr>
      <w:r>
        <w:t>The ACCC understands there is little product development occurr</w:t>
      </w:r>
      <w:r w:rsidR="00905892">
        <w:t>ing in Australia or specific to</w:t>
      </w:r>
      <w:r>
        <w:t xml:space="preserve"> Australia. </w:t>
      </w:r>
      <w:r w:rsidR="006261CF">
        <w:t>T</w:t>
      </w:r>
      <w:r>
        <w:t>he ACCC</w:t>
      </w:r>
      <w:r w:rsidR="006261CF">
        <w:t xml:space="preserve"> has not</w:t>
      </w:r>
      <w:r>
        <w:t xml:space="preserve"> identified any companies which entered through local product innovation. Recent entry has occurred through the use of tools and equipment developed in other jurisdictions</w:t>
      </w:r>
      <w:r w:rsidR="006261CF">
        <w:t xml:space="preserve">. </w:t>
      </w:r>
    </w:p>
    <w:p w:rsidR="0098363B" w:rsidRDefault="006843D3">
      <w:pPr>
        <w:pStyle w:val="NormalParagraph"/>
      </w:pPr>
      <w:r>
        <w:t xml:space="preserve">There are tools and equipment available ‘off the shelf’, </w:t>
      </w:r>
      <w:r w:rsidR="00331054">
        <w:t xml:space="preserve">which are </w:t>
      </w:r>
      <w:r>
        <w:t>manufactured in the United States and China in particular. The ACCC understands</w:t>
      </w:r>
      <w:r w:rsidR="0098363B">
        <w:t xml:space="preserve"> the </w:t>
      </w:r>
      <w:r w:rsidR="006261CF">
        <w:t xml:space="preserve">recent </w:t>
      </w:r>
      <w:r w:rsidR="0098363B">
        <w:t xml:space="preserve">expansion of </w:t>
      </w:r>
      <w:r w:rsidR="00623E89">
        <w:t>onshore</w:t>
      </w:r>
      <w:r w:rsidR="0098363B">
        <w:t xml:space="preserve"> drilling projects in the United States has le</w:t>
      </w:r>
      <w:r w:rsidR="00D8711D">
        <w:t xml:space="preserve">d to the commoditisation of </w:t>
      </w:r>
      <w:r w:rsidR="006261CF">
        <w:t xml:space="preserve">certain </w:t>
      </w:r>
      <w:r w:rsidR="0098363B">
        <w:t>tools and equipment. Where tools</w:t>
      </w:r>
      <w:r w:rsidR="00DE084F">
        <w:t xml:space="preserve"> </w:t>
      </w:r>
      <w:r w:rsidR="0098363B">
        <w:t xml:space="preserve">are available ‘off the shelf’, R&amp;D is unlikely to present a material barrier to entry. The ACCC is </w:t>
      </w:r>
      <w:r w:rsidR="00D8711D">
        <w:t xml:space="preserve">considering </w:t>
      </w:r>
      <w:r w:rsidR="0098363B">
        <w:t xml:space="preserve">the </w:t>
      </w:r>
      <w:r w:rsidR="006261CF">
        <w:t>availability of</w:t>
      </w:r>
      <w:r w:rsidR="0098363B">
        <w:t xml:space="preserve"> </w:t>
      </w:r>
      <w:r w:rsidR="009A3EE1">
        <w:t>‘</w:t>
      </w:r>
      <w:r w:rsidR="0098363B">
        <w:t>off the shelf</w:t>
      </w:r>
      <w:r w:rsidR="009A3EE1">
        <w:t>’</w:t>
      </w:r>
      <w:r w:rsidR="006261CF">
        <w:t xml:space="preserve"> equipment. </w:t>
      </w:r>
    </w:p>
    <w:p w:rsidR="007C67A3" w:rsidRDefault="007C67A3" w:rsidP="00D97EEC">
      <w:pPr>
        <w:pStyle w:val="Numbered"/>
      </w:pPr>
      <w:r>
        <w:t>The ACCC is exploring the nature of R&amp;D in oilfield services</w:t>
      </w:r>
      <w:r w:rsidR="002E60E9">
        <w:t xml:space="preserve">, including whether or not </w:t>
      </w:r>
      <w:r w:rsidR="00912939">
        <w:t>patent protection for technologies in the industry</w:t>
      </w:r>
      <w:r w:rsidR="002E60E9" w:rsidRPr="002E60E9">
        <w:t xml:space="preserve"> </w:t>
      </w:r>
      <w:r w:rsidR="002E60E9">
        <w:t>is strong</w:t>
      </w:r>
      <w:r w:rsidR="00912939">
        <w:t xml:space="preserve">. </w:t>
      </w:r>
      <w:r w:rsidR="00FE0FE9">
        <w:t>M</w:t>
      </w:r>
      <w:r w:rsidR="00912939">
        <w:t xml:space="preserve">uch of the investment in R&amp;D and innovation </w:t>
      </w:r>
      <w:r w:rsidR="00FE0FE9">
        <w:t>appears to be</w:t>
      </w:r>
      <w:r w:rsidR="00912939">
        <w:t xml:space="preserve"> in developing products and services and updating and upgrading existing products. </w:t>
      </w:r>
    </w:p>
    <w:p w:rsidR="00AA1499" w:rsidRDefault="00CC5E29" w:rsidP="00D97EEC">
      <w:pPr>
        <w:pStyle w:val="Heading5"/>
      </w:pPr>
      <w:r>
        <w:t>Sunk cost</w:t>
      </w:r>
      <w:r w:rsidR="00AA1499">
        <w:t>s</w:t>
      </w:r>
      <w:r w:rsidR="00FC3C96">
        <w:t xml:space="preserve"> and deterrence of entry</w:t>
      </w:r>
      <w:r w:rsidR="00AA1499">
        <w:t xml:space="preserve">   </w:t>
      </w:r>
    </w:p>
    <w:p w:rsidR="00AA1499" w:rsidRDefault="00AA1499" w:rsidP="00D97EEC">
      <w:pPr>
        <w:pStyle w:val="NormalParagraph"/>
      </w:pPr>
      <w:r>
        <w:t>Typically, one or more of the market leaders in oilfield services (Schlumberger, Halliburton and Baker Hughes) will be active and dominant in each</w:t>
      </w:r>
      <w:r w:rsidR="00905892">
        <w:t xml:space="preserve"> geographic or product</w:t>
      </w:r>
      <w:r>
        <w:t xml:space="preserve"> market. </w:t>
      </w:r>
      <w:r w:rsidR="00FC3C96">
        <w:t>The</w:t>
      </w:r>
      <w:r>
        <w:t xml:space="preserve"> scope</w:t>
      </w:r>
      <w:r w:rsidR="00CC5E29">
        <w:t xml:space="preserve"> of these suppliers</w:t>
      </w:r>
      <w:r>
        <w:t xml:space="preserve"> and the presence of </w:t>
      </w:r>
      <w:r w:rsidR="000857A3">
        <w:t>large</w:t>
      </w:r>
      <w:r>
        <w:t xml:space="preserve"> sunk costs</w:t>
      </w:r>
      <w:r w:rsidR="00FC3C96">
        <w:t xml:space="preserve"> creates</w:t>
      </w:r>
      <w:r w:rsidR="00CC5E29">
        <w:t xml:space="preserve"> high barriers to </w:t>
      </w:r>
      <w:r>
        <w:t xml:space="preserve">new entry or expansion.  </w:t>
      </w:r>
    </w:p>
    <w:p w:rsidR="00AA1499" w:rsidRDefault="00FC3C96">
      <w:pPr>
        <w:pStyle w:val="NormalParagraph"/>
      </w:pPr>
      <w:r>
        <w:t xml:space="preserve">New entrants will likely face difficulties in competing against </w:t>
      </w:r>
      <w:r w:rsidR="00AA1499">
        <w:t xml:space="preserve">incumbents </w:t>
      </w:r>
      <w:r>
        <w:t xml:space="preserve">that </w:t>
      </w:r>
      <w:r w:rsidR="00AA1499">
        <w:t>might not take</w:t>
      </w:r>
      <w:r>
        <w:t xml:space="preserve"> their</w:t>
      </w:r>
      <w:r w:rsidR="00AA1499">
        <w:t xml:space="preserve"> sunk costs into account when setting prices in response to </w:t>
      </w:r>
      <w:r w:rsidR="005C3FEC">
        <w:t xml:space="preserve">the threat of </w:t>
      </w:r>
      <w:r w:rsidR="00AA1499">
        <w:t>entry</w:t>
      </w:r>
      <w:r w:rsidR="002552FC">
        <w:t>.</w:t>
      </w:r>
      <w:r w:rsidR="00AA1499">
        <w:t xml:space="preserve"> </w:t>
      </w:r>
      <w:r w:rsidR="00AA1499" w:rsidRPr="00A20A27">
        <w:t xml:space="preserve">Faced with entry, the incumbent might choose to </w:t>
      </w:r>
      <w:r w:rsidR="005C3FEC">
        <w:t xml:space="preserve">reduce </w:t>
      </w:r>
      <w:r w:rsidR="00AA1499" w:rsidRPr="00A20A27">
        <w:t>price</w:t>
      </w:r>
      <w:r w:rsidR="005C3FEC">
        <w:t>s</w:t>
      </w:r>
      <w:r w:rsidR="00AA1499" w:rsidRPr="00A20A27">
        <w:t xml:space="preserve"> to </w:t>
      </w:r>
      <w:r w:rsidR="005C3FEC">
        <w:t>a</w:t>
      </w:r>
      <w:r w:rsidR="005C3FEC" w:rsidRPr="00A20A27">
        <w:t xml:space="preserve"> </w:t>
      </w:r>
      <w:r w:rsidR="00AA1499" w:rsidRPr="00A20A27">
        <w:t xml:space="preserve">point where it is not covering </w:t>
      </w:r>
      <w:r w:rsidR="00D8711D">
        <w:t xml:space="preserve">some or all of </w:t>
      </w:r>
      <w:r w:rsidR="00AA1499" w:rsidRPr="00A20A27">
        <w:t xml:space="preserve">its sunk costs. As the entrant has not yet incurred sunk costs, it will need to take these additional costs into account when determining its own pricing.  </w:t>
      </w:r>
    </w:p>
    <w:p w:rsidR="00AA1499" w:rsidRDefault="00331054">
      <w:pPr>
        <w:pStyle w:val="NormalParagraph"/>
      </w:pPr>
      <w:r>
        <w:lastRenderedPageBreak/>
        <w:t>In these circumstances an equally efficient, or e</w:t>
      </w:r>
      <w:r w:rsidR="00AA1499" w:rsidRPr="00A20A27">
        <w:t>ven a more efficient</w:t>
      </w:r>
      <w:r>
        <w:t>,</w:t>
      </w:r>
      <w:r w:rsidR="00AA1499" w:rsidRPr="00A20A27">
        <w:t xml:space="preserve"> entrant </w:t>
      </w:r>
      <w:r w:rsidR="00AA1499">
        <w:t xml:space="preserve">may </w:t>
      </w:r>
      <w:r w:rsidR="00AA1499" w:rsidRPr="00A20A27">
        <w:t xml:space="preserve">be </w:t>
      </w:r>
      <w:r w:rsidR="00AA1499">
        <w:t>un</w:t>
      </w:r>
      <w:r w:rsidR="00AA1499" w:rsidRPr="00A20A27">
        <w:t>able to price competitive</w:t>
      </w:r>
      <w:r w:rsidR="00AA1499">
        <w:t>ly. The ACCC understands incumbent suppliers</w:t>
      </w:r>
      <w:r w:rsidR="00AA1499" w:rsidRPr="00A20A27">
        <w:t xml:space="preserve"> have </w:t>
      </w:r>
      <w:r w:rsidR="00AA1499">
        <w:t>reacted strongly to new entry in the past</w:t>
      </w:r>
      <w:r w:rsidR="005C3FEC">
        <w:t xml:space="preserve"> by reducing prices</w:t>
      </w:r>
      <w:r w:rsidR="00AA1499">
        <w:t xml:space="preserve">. </w:t>
      </w:r>
      <w:r w:rsidR="00AA1499" w:rsidRPr="00A20A27">
        <w:t>A reputation for retaliation may</w:t>
      </w:r>
      <w:r w:rsidR="00AA1499">
        <w:t xml:space="preserve"> also</w:t>
      </w:r>
      <w:r w:rsidR="00AA1499" w:rsidRPr="00A20A27">
        <w:t xml:space="preserve"> be sufficient to deter new entr</w:t>
      </w:r>
      <w:r w:rsidR="00AA1499">
        <w:t xml:space="preserve">y. </w:t>
      </w:r>
    </w:p>
    <w:p w:rsidR="00912939" w:rsidRPr="004D3271" w:rsidRDefault="00912939" w:rsidP="00D97EEC">
      <w:pPr>
        <w:pStyle w:val="commentbox"/>
      </w:pPr>
      <w:r w:rsidRPr="004D3271">
        <w:t xml:space="preserve">The ACCC invites comments from market participants on its </w:t>
      </w:r>
      <w:r>
        <w:t>preliminary views about the threat of entry and barriers to entry</w:t>
      </w:r>
      <w:r w:rsidRPr="004D3271">
        <w:t>. In particular market participants may wish to comment on:</w:t>
      </w:r>
    </w:p>
    <w:p w:rsidR="00912939" w:rsidRDefault="001D7200" w:rsidP="0012089E">
      <w:pPr>
        <w:pStyle w:val="commentbox"/>
        <w:numPr>
          <w:ilvl w:val="0"/>
          <w:numId w:val="4"/>
        </w:numPr>
      </w:pPr>
      <w:r>
        <w:t xml:space="preserve">the importance of experience, reputation and relationships </w:t>
      </w:r>
    </w:p>
    <w:p w:rsidR="00C55333" w:rsidRDefault="00912939" w:rsidP="00D97EEC">
      <w:pPr>
        <w:pStyle w:val="commentbox"/>
        <w:numPr>
          <w:ilvl w:val="0"/>
          <w:numId w:val="4"/>
        </w:numPr>
      </w:pPr>
      <w:r>
        <w:t>the extent and importance of R&amp;D and innovation in oilfield services</w:t>
      </w:r>
      <w:r w:rsidR="00087F58">
        <w:t>(including the prevalence and importance of patents in oilfield services)</w:t>
      </w:r>
      <w:r w:rsidR="00C55333">
        <w:t xml:space="preserve"> </w:t>
      </w:r>
    </w:p>
    <w:p w:rsidR="000857A3" w:rsidRDefault="000857A3" w:rsidP="0012089E">
      <w:pPr>
        <w:pStyle w:val="commentbox"/>
        <w:numPr>
          <w:ilvl w:val="0"/>
          <w:numId w:val="4"/>
        </w:numPr>
      </w:pPr>
      <w:r>
        <w:t>the importance of offering a range of oilfield services and the ability of the global conglomerate firms to spread fixed costs across their global network</w:t>
      </w:r>
    </w:p>
    <w:p w:rsidR="00912939" w:rsidRPr="004D3271" w:rsidRDefault="001D7200" w:rsidP="0012089E">
      <w:pPr>
        <w:pStyle w:val="commentbox"/>
        <w:numPr>
          <w:ilvl w:val="0"/>
          <w:numId w:val="4"/>
        </w:numPr>
      </w:pPr>
      <w:r>
        <w:t xml:space="preserve">the </w:t>
      </w:r>
      <w:r w:rsidR="003E6A69">
        <w:t xml:space="preserve">likely </w:t>
      </w:r>
      <w:r>
        <w:t>strategic behaviour of market leaders</w:t>
      </w:r>
      <w:r w:rsidR="003E6A69">
        <w:t>.</w:t>
      </w:r>
    </w:p>
    <w:p w:rsidR="002401D7" w:rsidRDefault="002401D7" w:rsidP="002401D7">
      <w:pPr>
        <w:pStyle w:val="Heading3"/>
      </w:pPr>
      <w:r>
        <w:t>Countervailing power</w:t>
      </w:r>
    </w:p>
    <w:p w:rsidR="00DD1C16" w:rsidRDefault="00DD1C16" w:rsidP="0012089E">
      <w:pPr>
        <w:pStyle w:val="NormalParagraph"/>
      </w:pPr>
      <w:r>
        <w:t xml:space="preserve">The ACCC is exploring the extent of countervailing power held by </w:t>
      </w:r>
      <w:r w:rsidR="003D0ADD">
        <w:t>E&amp;Ps</w:t>
      </w:r>
      <w:r>
        <w:t xml:space="preserve">. </w:t>
      </w:r>
    </w:p>
    <w:p w:rsidR="00DD1C16" w:rsidRDefault="00DD1C16" w:rsidP="0012089E">
      <w:pPr>
        <w:pStyle w:val="NormalParagraph"/>
      </w:pPr>
      <w:r>
        <w:t>As set out in the ACCC Merger Guidelines, countervailing power exists when buyers have special characteristics which enable them to credibly threaten to bypass the merged firm, for example, by vertically integrating into the upstream market (</w:t>
      </w:r>
      <w:r w:rsidR="009A3EE1">
        <w:t>for example,</w:t>
      </w:r>
      <w:r>
        <w:t xml:space="preserve"> in this case providing oilfield services in-house) or by sponsoring new entry.</w:t>
      </w:r>
    </w:p>
    <w:p w:rsidR="00DD1C16" w:rsidRDefault="003D0ADD" w:rsidP="0012089E">
      <w:pPr>
        <w:pStyle w:val="NormalParagraph"/>
      </w:pPr>
      <w:r>
        <w:t>E&amp;Ps</w:t>
      </w:r>
      <w:r w:rsidR="00DD1C16">
        <w:t xml:space="preserve"> are typically large, multinational companies with sophisticated procurement processes and strategies. However, market feedback suggests that even the large multinational </w:t>
      </w:r>
      <w:r>
        <w:t>E&amp;Ps</w:t>
      </w:r>
      <w:r w:rsidR="00DD1C16">
        <w:t xml:space="preserve"> </w:t>
      </w:r>
      <w:r w:rsidR="00905892">
        <w:t>may not</w:t>
      </w:r>
      <w:r w:rsidR="00DD1C16">
        <w:t xml:space="preserve"> hold significant countervailing power</w:t>
      </w:r>
      <w:r w:rsidR="00407441">
        <w:t>.</w:t>
      </w:r>
      <w:r w:rsidR="004E2533">
        <w:t xml:space="preserve"> Countervailing power is more likely in onshore markets than offshore markets where barriers to entry are higher. </w:t>
      </w:r>
    </w:p>
    <w:p w:rsidR="00395DA5" w:rsidRDefault="005768F0" w:rsidP="0012089E">
      <w:pPr>
        <w:pStyle w:val="NormalParagraph"/>
      </w:pPr>
      <w:r>
        <w:t xml:space="preserve">The ACCC is exploring whether there are examples of vertical integration in oilfield services in Australia. The ACCC understands </w:t>
      </w:r>
      <w:r w:rsidR="00386840">
        <w:t>Sirius Well Manufacturing Services</w:t>
      </w:r>
      <w:r w:rsidR="00D32FC2">
        <w:t xml:space="preserve"> (</w:t>
      </w:r>
      <w:r w:rsidR="00D32FC2" w:rsidRPr="00D32FC2">
        <w:rPr>
          <w:b/>
        </w:rPr>
        <w:t>SWMS</w:t>
      </w:r>
      <w:r w:rsidR="00D32FC2">
        <w:t>)</w:t>
      </w:r>
      <w:r>
        <w:t xml:space="preserve"> </w:t>
      </w:r>
      <w:r w:rsidR="00D32FC2">
        <w:t>is</w:t>
      </w:r>
      <w:r>
        <w:t xml:space="preserve"> a joint venture between Shell and CNPC. </w:t>
      </w:r>
      <w:r w:rsidR="004E2533">
        <w:t>T</w:t>
      </w:r>
      <w:r w:rsidR="00395DA5">
        <w:t>his represent</w:t>
      </w:r>
      <w:r w:rsidR="00D32FC2">
        <w:t>s</w:t>
      </w:r>
      <w:r w:rsidR="00395DA5">
        <w:t xml:space="preserve"> an example of successful vertical integration by </w:t>
      </w:r>
      <w:r w:rsidR="003D0ADD">
        <w:t>E&amp;Ps</w:t>
      </w:r>
      <w:r w:rsidR="00395DA5">
        <w:t>.</w:t>
      </w:r>
      <w:r w:rsidR="00D32FC2">
        <w:t xml:space="preserve"> The ACCC is not yet aware of the extent of SWMS’s operations in Australia.</w:t>
      </w:r>
      <w:r w:rsidR="00395DA5">
        <w:t xml:space="preserve"> </w:t>
      </w:r>
    </w:p>
    <w:p w:rsidR="00DD1C16" w:rsidRDefault="00395DA5" w:rsidP="0012089E">
      <w:pPr>
        <w:pStyle w:val="NormalParagraph"/>
      </w:pPr>
      <w:r>
        <w:t>T</w:t>
      </w:r>
      <w:r w:rsidR="00DD1C16">
        <w:t xml:space="preserve">here have been some examples of sponsored entry in </w:t>
      </w:r>
      <w:r w:rsidR="00623E89">
        <w:t>onshore</w:t>
      </w:r>
      <w:r w:rsidR="00DD1C16">
        <w:t xml:space="preserve"> markets</w:t>
      </w:r>
      <w:r w:rsidR="004E2533">
        <w:t xml:space="preserve"> over the past decade</w:t>
      </w:r>
      <w:r w:rsidR="003E281E">
        <w:t xml:space="preserve">. </w:t>
      </w:r>
      <w:r w:rsidR="00DD1C16">
        <w:t xml:space="preserve">However, this has been generally </w:t>
      </w:r>
      <w:r w:rsidR="00B77A1F">
        <w:t xml:space="preserve">of </w:t>
      </w:r>
      <w:r w:rsidR="00DD1C16">
        <w:t>limited scale and</w:t>
      </w:r>
      <w:r w:rsidR="003E281E">
        <w:t xml:space="preserve"> in a small number of markets. </w:t>
      </w:r>
      <w:r w:rsidR="00DD1C16">
        <w:t xml:space="preserve">Sponsored entry </w:t>
      </w:r>
      <w:r w:rsidR="009D3A1A">
        <w:t xml:space="preserve">does not appear to be </w:t>
      </w:r>
      <w:r w:rsidR="00DD1C16">
        <w:t xml:space="preserve">of the magnitude necessary to constrain the merged </w:t>
      </w:r>
      <w:r w:rsidR="00C201F2">
        <w:t xml:space="preserve">firm </w:t>
      </w:r>
      <w:r>
        <w:t>across its entire operation</w:t>
      </w:r>
      <w:r w:rsidR="00DD1C16">
        <w:t>.</w:t>
      </w:r>
    </w:p>
    <w:p w:rsidR="00C55333" w:rsidRDefault="004E2533" w:rsidP="0012089E">
      <w:pPr>
        <w:pStyle w:val="NormalParagraph"/>
      </w:pPr>
      <w:r>
        <w:t xml:space="preserve">The ACCC understands multinational oil and gas operators will sometimes sponsor R&amp;D by oilfield services </w:t>
      </w:r>
      <w:r w:rsidR="00C201F2">
        <w:t>providers</w:t>
      </w:r>
      <w:r>
        <w:t xml:space="preserve"> where the operator has identified a need. Such sponsorship may provide an avenue for entry by a new competitor</w:t>
      </w:r>
      <w:r w:rsidR="0021043F">
        <w:t>, although the sponsor would retain ownership of the technology</w:t>
      </w:r>
      <w:r>
        <w:t>. However, the ACCC considers such sponsorship would likely only occur in a narrow product or service segment and would be unlikely to constrain an exercise of market power by the merged firm across a broad range of markets, although it may provide a constraint in a narrow market</w:t>
      </w:r>
      <w:r w:rsidR="00CF0439">
        <w:t xml:space="preserve"> or segment</w:t>
      </w:r>
      <w:r>
        <w:t xml:space="preserve">. </w:t>
      </w:r>
    </w:p>
    <w:p w:rsidR="00C55333" w:rsidRPr="004D3271" w:rsidRDefault="00C55333" w:rsidP="0012089E">
      <w:pPr>
        <w:pStyle w:val="commentbox"/>
      </w:pPr>
      <w:r w:rsidRPr="004D3271">
        <w:t xml:space="preserve">The ACCC invites comments from market participants on its </w:t>
      </w:r>
      <w:r>
        <w:t>preliminary views about countervailing power</w:t>
      </w:r>
      <w:r w:rsidRPr="004D3271">
        <w:t>. In particular market participants may wish to comment on:</w:t>
      </w:r>
    </w:p>
    <w:p w:rsidR="00C55333" w:rsidRDefault="00DB5F37" w:rsidP="0012089E">
      <w:pPr>
        <w:pStyle w:val="commentbox"/>
        <w:numPr>
          <w:ilvl w:val="0"/>
          <w:numId w:val="4"/>
        </w:numPr>
      </w:pPr>
      <w:r>
        <w:lastRenderedPageBreak/>
        <w:t>t</w:t>
      </w:r>
      <w:r w:rsidR="003E6A69">
        <w:t xml:space="preserve">he ability of </w:t>
      </w:r>
      <w:r w:rsidR="00677DB8">
        <w:t>E&amp;Ps</w:t>
      </w:r>
      <w:r w:rsidR="00677DB8" w:rsidDel="00677DB8">
        <w:t xml:space="preserve"> </w:t>
      </w:r>
      <w:r w:rsidR="003E6A69">
        <w:t>to bypass market leaders</w:t>
      </w:r>
    </w:p>
    <w:p w:rsidR="00C55333" w:rsidRDefault="00DB5F37" w:rsidP="0012089E">
      <w:pPr>
        <w:pStyle w:val="commentbox"/>
        <w:numPr>
          <w:ilvl w:val="0"/>
          <w:numId w:val="4"/>
        </w:numPr>
      </w:pPr>
      <w:r>
        <w:t>t</w:t>
      </w:r>
      <w:r w:rsidR="003E6A69">
        <w:t>he extent of any vertical integration or sponsored entry</w:t>
      </w:r>
      <w:r w:rsidR="00C55333">
        <w:t>.</w:t>
      </w:r>
    </w:p>
    <w:p w:rsidR="00633249" w:rsidRDefault="00633249" w:rsidP="00633249">
      <w:pPr>
        <w:pStyle w:val="Heading3"/>
      </w:pPr>
      <w:r>
        <w:t xml:space="preserve">Statement of Issues </w:t>
      </w:r>
    </w:p>
    <w:p w:rsidR="000D125E" w:rsidRDefault="000D125E" w:rsidP="0012089E">
      <w:pPr>
        <w:pStyle w:val="NormalParagraph"/>
      </w:pPr>
      <w:r>
        <w:t>In the following sections, this Statement of Issues considers the competition effects of the proposed acquisition in each of the areas of concern</w:t>
      </w:r>
      <w:r w:rsidR="00BB03B2">
        <w:t>,</w:t>
      </w:r>
      <w:r>
        <w:t xml:space="preserve"> or potential concern</w:t>
      </w:r>
      <w:r w:rsidR="00BB03B2">
        <w:t>,</w:t>
      </w:r>
      <w:r>
        <w:t xml:space="preserve"> the ACCC has identified. </w:t>
      </w:r>
    </w:p>
    <w:p w:rsidR="00413D48" w:rsidRDefault="000D125E" w:rsidP="0012089E">
      <w:pPr>
        <w:pStyle w:val="NormalParagraph"/>
      </w:pPr>
      <w:r>
        <w:t xml:space="preserve">As many of the competition issues are relevant across the areas of concern, much of the competition analysis is captured in the preceding sections. </w:t>
      </w:r>
      <w:r w:rsidR="00413D48">
        <w:t xml:space="preserve">The following sections expand on competition issues particular to each area of concern. </w:t>
      </w:r>
    </w:p>
    <w:p w:rsidR="00844E67" w:rsidRDefault="00413D48" w:rsidP="0012089E">
      <w:pPr>
        <w:pStyle w:val="NormalParagraph"/>
      </w:pPr>
      <w:r>
        <w:t>Common issues discussed above and relevant to</w:t>
      </w:r>
      <w:r w:rsidR="00844E67">
        <w:t xml:space="preserve"> all areas of concern are as follows:</w:t>
      </w:r>
    </w:p>
    <w:p w:rsidR="00413D48" w:rsidRDefault="0052490E" w:rsidP="0012089E">
      <w:pPr>
        <w:pStyle w:val="Bulletpointinpagragraph"/>
      </w:pPr>
      <w:r>
        <w:t xml:space="preserve">The major providers have competitive advantages over smaller competitors through </w:t>
      </w:r>
      <w:r w:rsidR="00413D48">
        <w:t xml:space="preserve">scale and scope; significant industry experience, particularly on complex projects, which has led to strong customer relationships and established reputations; large R&amp;D and innovation expenditures keeping them at the forefront of technological development and an enhanced ability to offer package discounts. </w:t>
      </w:r>
    </w:p>
    <w:p w:rsidR="000857A3" w:rsidRDefault="000857A3" w:rsidP="000857A3">
      <w:pPr>
        <w:pStyle w:val="Bulletpointinpagragraph"/>
      </w:pPr>
      <w:r>
        <w:t xml:space="preserve">The threat of entry </w:t>
      </w:r>
      <w:r w:rsidR="00AF2DA0">
        <w:t xml:space="preserve">and expansion </w:t>
      </w:r>
      <w:r>
        <w:t>is low as barriers are high in oilfield service</w:t>
      </w:r>
      <w:r w:rsidR="00AF2DA0">
        <w:t xml:space="preserve"> markets</w:t>
      </w:r>
      <w:r>
        <w:t xml:space="preserve"> in Australia. </w:t>
      </w:r>
    </w:p>
    <w:p w:rsidR="0052490E" w:rsidRDefault="00413D48" w:rsidP="0012089E">
      <w:pPr>
        <w:pStyle w:val="Bulletpointinpagragraph"/>
      </w:pPr>
      <w:r>
        <w:t>Although customers are often large multi-national co</w:t>
      </w:r>
      <w:r w:rsidR="00F21F2D">
        <w:t xml:space="preserve">mpanies, </w:t>
      </w:r>
      <w:r w:rsidR="00CC261B">
        <w:t xml:space="preserve">they do not necessarily have </w:t>
      </w:r>
      <w:r w:rsidR="00F21F2D">
        <w:t xml:space="preserve">countervailing power </w:t>
      </w:r>
      <w:r w:rsidR="00CC261B">
        <w:t>(being, the ability to credibly bypass the merged firm)</w:t>
      </w:r>
      <w:r>
        <w:t xml:space="preserve">. </w:t>
      </w:r>
    </w:p>
    <w:p w:rsidR="000D125E" w:rsidRDefault="000D125E" w:rsidP="0012089E">
      <w:pPr>
        <w:pStyle w:val="Heading4"/>
      </w:pPr>
      <w:r>
        <w:t>All drilling projects</w:t>
      </w:r>
    </w:p>
    <w:p w:rsidR="00687C6B" w:rsidRDefault="00687C6B" w:rsidP="0012089E">
      <w:pPr>
        <w:pStyle w:val="Heading5"/>
      </w:pPr>
      <w:r>
        <w:t>Issue</w:t>
      </w:r>
      <w:r w:rsidRPr="004B1DAE">
        <w:t xml:space="preserve"> of concern</w:t>
      </w:r>
      <w:r>
        <w:t xml:space="preserve">: </w:t>
      </w:r>
      <w:r w:rsidR="007A5E7D">
        <w:t>Unilateral effects in the s</w:t>
      </w:r>
      <w:r w:rsidRPr="00592B57">
        <w:t xml:space="preserve">upply of oilfield services to </w:t>
      </w:r>
      <w:r w:rsidR="00D2334B">
        <w:t>all</w:t>
      </w:r>
      <w:r>
        <w:t xml:space="preserve"> drilling </w:t>
      </w:r>
      <w:r w:rsidR="00151CE5">
        <w:t>projects</w:t>
      </w:r>
      <w:r w:rsidRPr="00592B57">
        <w:t xml:space="preserve">, in </w:t>
      </w:r>
      <w:r w:rsidR="00C45C03">
        <w:t xml:space="preserve">a market for </w:t>
      </w:r>
      <w:r w:rsidR="00633249">
        <w:t xml:space="preserve">integrated </w:t>
      </w:r>
      <w:r w:rsidR="00E90FD2">
        <w:t>services</w:t>
      </w:r>
      <w:r w:rsidRPr="00592B57">
        <w:t>.</w:t>
      </w:r>
    </w:p>
    <w:p w:rsidR="009260C3" w:rsidRDefault="00687C6B" w:rsidP="0012089E">
      <w:pPr>
        <w:pStyle w:val="NormalParagraph"/>
      </w:pPr>
      <w:r>
        <w:t xml:space="preserve">The ACCC’s preliminary view is that the proposed acquisition is likely to substantially lessen competition by removing </w:t>
      </w:r>
      <w:r w:rsidR="00D80A2F">
        <w:t>a significant competitor in a market for</w:t>
      </w:r>
      <w:r w:rsidR="00151CE5">
        <w:t xml:space="preserve"> integrated </w:t>
      </w:r>
      <w:r w:rsidR="00E90FD2">
        <w:t xml:space="preserve">services. </w:t>
      </w:r>
    </w:p>
    <w:p w:rsidR="00B37484" w:rsidRDefault="00B3727F" w:rsidP="0012089E">
      <w:pPr>
        <w:pStyle w:val="Numbered"/>
      </w:pPr>
      <w:r>
        <w:t>The ACCC unde</w:t>
      </w:r>
      <w:r w:rsidR="00D80A2F">
        <w:t xml:space="preserve">rstands that only Schlumberger and the merger parties </w:t>
      </w:r>
      <w:r>
        <w:t>are able to o</w:t>
      </w:r>
      <w:r w:rsidR="00B37484">
        <w:t xml:space="preserve">ffer </w:t>
      </w:r>
      <w:r w:rsidR="00E90FD2">
        <w:t>integrated</w:t>
      </w:r>
      <w:r w:rsidR="00D80A2F">
        <w:t xml:space="preserve"> services</w:t>
      </w:r>
      <w:r w:rsidR="006D177C">
        <w:t xml:space="preserve">. </w:t>
      </w:r>
      <w:r w:rsidR="000E2D28">
        <w:t xml:space="preserve">A </w:t>
      </w:r>
      <w:r w:rsidR="00AF2DA0">
        <w:t xml:space="preserve">significant </w:t>
      </w:r>
      <w:r w:rsidR="000E2D28">
        <w:t>portfolio is necessary</w:t>
      </w:r>
      <w:r w:rsidR="00AF2DA0">
        <w:t>,</w:t>
      </w:r>
      <w:r w:rsidR="000E2D28">
        <w:t xml:space="preserve"> as it </w:t>
      </w:r>
      <w:r w:rsidR="00FF6AFC">
        <w:t>results in</w:t>
      </w:r>
      <w:r w:rsidR="00DE5592">
        <w:t xml:space="preserve"> </w:t>
      </w:r>
      <w:r w:rsidR="000E2D28">
        <w:t xml:space="preserve">expertise across a broad range of products and services, and creates opportunities for cost savings through shared efficiencies. </w:t>
      </w:r>
      <w:r w:rsidR="00471D5B">
        <w:t xml:space="preserve">Thus Schlumberger, Halliburton and Baker Hughes are close competitors in this market. </w:t>
      </w:r>
    </w:p>
    <w:p w:rsidR="00E5480E" w:rsidRDefault="00B37484" w:rsidP="0012089E">
      <w:pPr>
        <w:pStyle w:val="Numbered"/>
      </w:pPr>
      <w:r>
        <w:t>The ACCC understands that Schlumberger has the most extensive portfolio of oilfield services and has been a strong driver of integrated services. Post-acquisition, S</w:t>
      </w:r>
      <w:r w:rsidR="00E5480E">
        <w:t>chlumberger would</w:t>
      </w:r>
      <w:r w:rsidR="009260C3">
        <w:t xml:space="preserve"> remain</w:t>
      </w:r>
      <w:r w:rsidR="00E5480E">
        <w:t xml:space="preserve"> </w:t>
      </w:r>
      <w:r w:rsidR="009260C3">
        <w:t>the market leader in the integrated services market in Australia</w:t>
      </w:r>
      <w:r>
        <w:t>.</w:t>
      </w:r>
    </w:p>
    <w:p w:rsidR="00B37484" w:rsidRDefault="009260C3" w:rsidP="0012089E">
      <w:pPr>
        <w:pStyle w:val="Numbered"/>
      </w:pPr>
      <w:r>
        <w:t xml:space="preserve">The ACCC </w:t>
      </w:r>
      <w:r w:rsidR="00AC3019">
        <w:t>is not aware of any integrated services contracts</w:t>
      </w:r>
      <w:r w:rsidR="00D97EEC">
        <w:t xml:space="preserve">, where the merger parties provide </w:t>
      </w:r>
      <w:r w:rsidR="00D47688">
        <w:t>‘</w:t>
      </w:r>
      <w:r w:rsidR="00D97EEC">
        <w:t>Integrated Project Management’ or ‘Integrated Services’</w:t>
      </w:r>
      <w:r w:rsidR="00AC3019">
        <w:t xml:space="preserve"> </w:t>
      </w:r>
      <w:r w:rsidR="00D47688">
        <w:t xml:space="preserve">that are </w:t>
      </w:r>
      <w:r w:rsidR="00D97EEC">
        <w:t>currently</w:t>
      </w:r>
      <w:r w:rsidR="00D47688">
        <w:t xml:space="preserve"> being</w:t>
      </w:r>
      <w:r w:rsidR="00D97EEC">
        <w:t xml:space="preserve"> supplied </w:t>
      </w:r>
      <w:r w:rsidR="00AC3019">
        <w:t xml:space="preserve"> </w:t>
      </w:r>
      <w:r w:rsidR="006776F4">
        <w:t>in Australia at present</w:t>
      </w:r>
      <w:r w:rsidR="004A3DD8">
        <w:t xml:space="preserve">, although it appears that they do </w:t>
      </w:r>
      <w:r w:rsidR="004A3DD8">
        <w:lastRenderedPageBreak/>
        <w:t xml:space="preserve">offer </w:t>
      </w:r>
      <w:r w:rsidR="00D47688">
        <w:t xml:space="preserve">these </w:t>
      </w:r>
      <w:r w:rsidR="004A3DD8">
        <w:t>integrated services globally</w:t>
      </w:r>
      <w:r>
        <w:t>.</w:t>
      </w:r>
      <w:r w:rsidR="004A3DD8">
        <w:rPr>
          <w:rStyle w:val="FootnoteReference"/>
        </w:rPr>
        <w:footnoteReference w:id="25"/>
      </w:r>
      <w:r>
        <w:t xml:space="preserve"> However, </w:t>
      </w:r>
      <w:r w:rsidR="00403F78">
        <w:t xml:space="preserve">the merger parties </w:t>
      </w:r>
      <w:r>
        <w:t xml:space="preserve">have been and will continue to be </w:t>
      </w:r>
      <w:r w:rsidR="00403F78">
        <w:t xml:space="preserve">the only competitors to Schlumberger for </w:t>
      </w:r>
      <w:r w:rsidR="00D47688">
        <w:t xml:space="preserve">these types of </w:t>
      </w:r>
      <w:r w:rsidR="00403F78">
        <w:t>integrated services contracts</w:t>
      </w:r>
      <w:r w:rsidR="006776F4">
        <w:t>.</w:t>
      </w:r>
      <w:r w:rsidR="00542F52">
        <w:t xml:space="preserve"> </w:t>
      </w:r>
      <w:r w:rsidR="006776F4">
        <w:t xml:space="preserve"> </w:t>
      </w:r>
    </w:p>
    <w:p w:rsidR="001B040E" w:rsidRDefault="00B37484" w:rsidP="0012089E">
      <w:pPr>
        <w:pStyle w:val="NormalParagraph"/>
      </w:pPr>
      <w:r>
        <w:t xml:space="preserve">Globally and in Australia, Weatherford is the next largest competitor after the three market leaders discussed above. Weatherford </w:t>
      </w:r>
      <w:r w:rsidR="000857A3">
        <w:t xml:space="preserve">also </w:t>
      </w:r>
      <w:r>
        <w:t>offer</w:t>
      </w:r>
      <w:r w:rsidR="004E6980">
        <w:t xml:space="preserve"> </w:t>
      </w:r>
      <w:r w:rsidR="009260C3">
        <w:t>a</w:t>
      </w:r>
      <w:r w:rsidR="004E6980">
        <w:t xml:space="preserve"> </w:t>
      </w:r>
      <w:r w:rsidR="000857A3">
        <w:t xml:space="preserve">broad range </w:t>
      </w:r>
      <w:r>
        <w:t xml:space="preserve"> </w:t>
      </w:r>
      <w:r w:rsidR="009260C3">
        <w:t xml:space="preserve">of </w:t>
      </w:r>
      <w:r w:rsidR="000857A3">
        <w:t>goods</w:t>
      </w:r>
      <w:r>
        <w:t xml:space="preserve"> and services. However, there are gaps in Weatherford’s portfolio</w:t>
      </w:r>
      <w:r w:rsidR="005E7595">
        <w:t xml:space="preserve"> limiti</w:t>
      </w:r>
      <w:r w:rsidR="00CB7150">
        <w:t>ng its ability to compete</w:t>
      </w:r>
      <w:r w:rsidR="005E7595">
        <w:t xml:space="preserve"> in</w:t>
      </w:r>
      <w:r w:rsidR="006D177C">
        <w:t xml:space="preserve"> the most sophisticated end of the bundled oilfield</w:t>
      </w:r>
      <w:r w:rsidR="005E7595">
        <w:t xml:space="preserve"> </w:t>
      </w:r>
      <w:r w:rsidR="006D177C">
        <w:t xml:space="preserve">services </w:t>
      </w:r>
      <w:r w:rsidR="005E7595">
        <w:t>market</w:t>
      </w:r>
      <w:r>
        <w:t>. Also, market feedback suggests Weatherford has a smaller presence in Australi</w:t>
      </w:r>
      <w:r w:rsidR="00D80A2F">
        <w:t>a than in some other geographic areas</w:t>
      </w:r>
      <w:r>
        <w:t>.</w:t>
      </w:r>
    </w:p>
    <w:p w:rsidR="007A39E3" w:rsidRDefault="007A39E3" w:rsidP="0012089E">
      <w:pPr>
        <w:pStyle w:val="commentbox"/>
      </w:pPr>
      <w:r w:rsidRPr="004D3271">
        <w:t xml:space="preserve">The ACCC invites comments from market participants on its </w:t>
      </w:r>
      <w:r>
        <w:t>preliminary views about the</w:t>
      </w:r>
      <w:r w:rsidRPr="004D3271">
        <w:t xml:space="preserve"> </w:t>
      </w:r>
      <w:r w:rsidR="00390BA9">
        <w:t>competition assessment outlined above</w:t>
      </w:r>
      <w:r w:rsidRPr="004D3271">
        <w:t>. In particular market participants may wish to comment on:</w:t>
      </w:r>
    </w:p>
    <w:p w:rsidR="00331054" w:rsidRDefault="00DB5F37" w:rsidP="0012089E">
      <w:pPr>
        <w:pStyle w:val="commentbox"/>
        <w:numPr>
          <w:ilvl w:val="0"/>
          <w:numId w:val="5"/>
        </w:numPr>
      </w:pPr>
      <w:r>
        <w:t>t</w:t>
      </w:r>
      <w:r w:rsidR="00331054">
        <w:t xml:space="preserve">he importance of </w:t>
      </w:r>
      <w:r w:rsidR="00BB5974">
        <w:t xml:space="preserve">bundled oilfield services, particularly when provided as </w:t>
      </w:r>
      <w:r w:rsidR="00331054">
        <w:t>integrated services</w:t>
      </w:r>
    </w:p>
    <w:p w:rsidR="007A39E3" w:rsidRDefault="00DB5F37" w:rsidP="0012089E">
      <w:pPr>
        <w:pStyle w:val="commentbox"/>
        <w:numPr>
          <w:ilvl w:val="0"/>
          <w:numId w:val="5"/>
        </w:numPr>
      </w:pPr>
      <w:r>
        <w:t>t</w:t>
      </w:r>
      <w:r w:rsidR="00BB03B2">
        <w:t>he importance of an extensive portfolio of oilfield services</w:t>
      </w:r>
    </w:p>
    <w:p w:rsidR="008E0EC0" w:rsidRDefault="008E0EC0" w:rsidP="0012089E">
      <w:pPr>
        <w:pStyle w:val="commentbox"/>
        <w:numPr>
          <w:ilvl w:val="0"/>
          <w:numId w:val="5"/>
        </w:numPr>
      </w:pPr>
      <w:r>
        <w:t>the ability of suppliers who do not supply a wide range of products and services to constrain suppliers who offer a broader range, including by teaming up with other suppliers to offer a competing integrated system</w:t>
      </w:r>
      <w:r w:rsidR="00CB427C">
        <w:t>.</w:t>
      </w:r>
    </w:p>
    <w:p w:rsidR="00DE7B9F" w:rsidRDefault="00DE7B9F" w:rsidP="0012089E">
      <w:pPr>
        <w:pStyle w:val="Heading5"/>
      </w:pPr>
      <w:r>
        <w:t>Issue</w:t>
      </w:r>
      <w:r w:rsidRPr="004B1DAE">
        <w:t xml:space="preserve"> </w:t>
      </w:r>
      <w:r w:rsidR="00BD46E6">
        <w:t>of</w:t>
      </w:r>
      <w:r>
        <w:t xml:space="preserve"> concern: Coordinated effects in the su</w:t>
      </w:r>
      <w:r w:rsidRPr="00B25A23">
        <w:t xml:space="preserve">pply of oilfield services </w:t>
      </w:r>
      <w:r w:rsidR="00245837">
        <w:t>for</w:t>
      </w:r>
      <w:r w:rsidR="00B77A1F">
        <w:t xml:space="preserve"> all drilling projects </w:t>
      </w:r>
      <w:r>
        <w:t>in Australia.</w:t>
      </w:r>
    </w:p>
    <w:p w:rsidR="00DE7B9F" w:rsidRDefault="00DE7B9F" w:rsidP="0012089E">
      <w:pPr>
        <w:pStyle w:val="NormalParagraph"/>
      </w:pPr>
      <w:r>
        <w:t xml:space="preserve">The ACCC’s preliminary view is that the proposed acquisition </w:t>
      </w:r>
      <w:r w:rsidR="00BD46E6">
        <w:t>is likely to</w:t>
      </w:r>
      <w:r>
        <w:t xml:space="preserve"> lead to a substantial lessening of competition in onshore and offshore markets through coordinated effects. </w:t>
      </w:r>
    </w:p>
    <w:p w:rsidR="00E768CC" w:rsidRDefault="00E768CC" w:rsidP="000769AD">
      <w:pPr>
        <w:pStyle w:val="NormalParagraph"/>
      </w:pPr>
      <w:r>
        <w:t xml:space="preserve">Market participants raised concerns about </w:t>
      </w:r>
      <w:r w:rsidR="00471D5B">
        <w:t>the merged firm engaging in coordinated rather than competitive conduct with Schlumberger post</w:t>
      </w:r>
      <w:r w:rsidR="00DB5F37">
        <w:t>-</w:t>
      </w:r>
      <w:r w:rsidR="00471D5B">
        <w:t>acquisition. This may be the case if t</w:t>
      </w:r>
      <w:r>
        <w:t>he proposed acquisition alter</w:t>
      </w:r>
      <w:r w:rsidR="00471D5B">
        <w:t>s</w:t>
      </w:r>
      <w:r>
        <w:t xml:space="preserve"> the nature of the interdependence between Halliburton and Schlumberger</w:t>
      </w:r>
      <w:r w:rsidR="00471D5B">
        <w:t xml:space="preserve"> in a way that makes coordination more likely, complete or sustainable</w:t>
      </w:r>
      <w:r>
        <w:t xml:space="preserve">. </w:t>
      </w:r>
      <w:r w:rsidR="00331054">
        <w:t xml:space="preserve">The ACCC notes that such co-ordination would not require explicit agreement, and may only involve tacit </w:t>
      </w:r>
      <w:r w:rsidR="00F052CA">
        <w:t>coordination</w:t>
      </w:r>
      <w:r w:rsidR="00331054">
        <w:t>.</w:t>
      </w:r>
      <w:r>
        <w:t xml:space="preserve"> </w:t>
      </w:r>
    </w:p>
    <w:p w:rsidR="00E768CC" w:rsidRDefault="00E768CC" w:rsidP="007325C9">
      <w:pPr>
        <w:pStyle w:val="Numbered"/>
      </w:pPr>
      <w:r>
        <w:t xml:space="preserve">The ACCC considers coordinated conduct possible where: </w:t>
      </w:r>
    </w:p>
    <w:p w:rsidR="00E768CC" w:rsidRDefault="00E768CC" w:rsidP="007325C9">
      <w:pPr>
        <w:pStyle w:val="Bulletpointinpagragraph"/>
      </w:pPr>
      <w:r>
        <w:t>firms have the ability and in</w:t>
      </w:r>
      <w:r w:rsidR="00695E76">
        <w:t>c</w:t>
      </w:r>
      <w:r>
        <w:t>entive to settle on terms that are profitable for all</w:t>
      </w:r>
    </w:p>
    <w:p w:rsidR="00E768CC" w:rsidRDefault="00E768CC">
      <w:pPr>
        <w:pStyle w:val="Bulletpointinpagragraph"/>
      </w:pPr>
      <w:r>
        <w:t>firms can detect deviations from the consensus</w:t>
      </w:r>
    </w:p>
    <w:p w:rsidR="00E768CC" w:rsidRDefault="00E768CC">
      <w:pPr>
        <w:pStyle w:val="Bulletpointinpagragraph"/>
      </w:pPr>
      <w:r>
        <w:t>the threat of retaliation from other firms involved is sufficiently costly to act as a deterrent to deviation</w:t>
      </w:r>
    </w:p>
    <w:p w:rsidR="00E768CC" w:rsidRDefault="00E768CC">
      <w:pPr>
        <w:pStyle w:val="Bulletpointinpagragraph"/>
      </w:pPr>
      <w:r>
        <w:t>the consensus is not undermined by competitive constraints in</w:t>
      </w:r>
      <w:r w:rsidR="000857A3">
        <w:t xml:space="preserve"> or outside</w:t>
      </w:r>
      <w:r>
        <w:t xml:space="preserve"> the market. </w:t>
      </w:r>
    </w:p>
    <w:p w:rsidR="00DE7B9F" w:rsidRDefault="00DE7B9F" w:rsidP="007325C9">
      <w:pPr>
        <w:pStyle w:val="NormalParagraph"/>
      </w:pPr>
      <w:r>
        <w:lastRenderedPageBreak/>
        <w:t>The ACCC is exploring two avenues in which coordinated conduct could potentially occur:</w:t>
      </w:r>
    </w:p>
    <w:p w:rsidR="00DE7B9F" w:rsidRDefault="00DE7B9F" w:rsidP="007325C9">
      <w:pPr>
        <w:pStyle w:val="Bulletpointinpagragraph"/>
      </w:pPr>
      <w:r>
        <w:t xml:space="preserve">through market sharing arrangements across the various </w:t>
      </w:r>
      <w:r w:rsidR="007325C9">
        <w:t>goods</w:t>
      </w:r>
      <w:r>
        <w:t xml:space="preserve"> and services, and geographies in which the merger parties compete with Schlumberger (for example, the merged firm could focus on particular </w:t>
      </w:r>
      <w:r w:rsidR="00A57DBC">
        <w:t>product</w:t>
      </w:r>
      <w:r>
        <w:t xml:space="preserve"> categories in which it has strength, such as pressure pumping or completions, while Schlumberger might focus on areas in which it has strength, such as wireline). </w:t>
      </w:r>
    </w:p>
    <w:p w:rsidR="00DE7B9F" w:rsidRDefault="00DE7B9F">
      <w:pPr>
        <w:pStyle w:val="Bulletpointinpagragraph"/>
      </w:pPr>
      <w:r>
        <w:t xml:space="preserve">through potential coordinated conduct within markets where post-acquisition, the merged firm and Schlumberger would be the only remaining competitors (such as offshore directional drilling). </w:t>
      </w:r>
    </w:p>
    <w:p w:rsidR="001E36F0" w:rsidRDefault="001E36F0" w:rsidP="007325C9">
      <w:pPr>
        <w:pStyle w:val="NormalParagraph"/>
      </w:pPr>
      <w:r>
        <w:t xml:space="preserve">The ACCC considers there are several factors that suggest coordination may be more likely, complete and sustainable as a result of the merger. </w:t>
      </w:r>
    </w:p>
    <w:p w:rsidR="007A5E7D" w:rsidRDefault="001E36F0">
      <w:pPr>
        <w:pStyle w:val="NormalParagraph"/>
      </w:pPr>
      <w:r>
        <w:t>T</w:t>
      </w:r>
      <w:r w:rsidR="007A5E7D">
        <w:t xml:space="preserve">he proposed acquisition significantly increases the level of concentration in oilfield services in Australia generally, and in many markets specifically. Such an increase in concentration makes it easier for market participants to </w:t>
      </w:r>
      <w:r w:rsidR="004B6379">
        <w:t xml:space="preserve">coordinate behaviour and to </w:t>
      </w:r>
      <w:r w:rsidR="007A5E7D">
        <w:t xml:space="preserve">monitor compliance </w:t>
      </w:r>
      <w:r w:rsidR="004B6379">
        <w:t>coordination</w:t>
      </w:r>
      <w:r w:rsidR="007A5E7D">
        <w:t xml:space="preserve">. </w:t>
      </w:r>
    </w:p>
    <w:p w:rsidR="001E36F0" w:rsidRDefault="001E36F0">
      <w:pPr>
        <w:pStyle w:val="NormalParagraph"/>
      </w:pPr>
      <w:r>
        <w:t xml:space="preserve">Post-acquisition there will be greater symmetry between the product range and size of the merged firm and Schlumberger. This may make it easier for the parties to </w:t>
      </w:r>
      <w:r w:rsidR="00CF0439">
        <w:t xml:space="preserve">co-ordinate in a way </w:t>
      </w:r>
      <w:r w:rsidR="00AC3019">
        <w:t xml:space="preserve">that </w:t>
      </w:r>
      <w:r w:rsidR="00CF0439">
        <w:t xml:space="preserve">is </w:t>
      </w:r>
      <w:r w:rsidR="00AC3019">
        <w:t>profitable for both parties</w:t>
      </w:r>
      <w:r>
        <w:t>. Similarly, greater symmetry is more likely to align incentives to deviate and to punish, th</w:t>
      </w:r>
      <w:r w:rsidR="00DB5F37">
        <w:t>us</w:t>
      </w:r>
      <w:r>
        <w:t xml:space="preserve"> making coordination more sustainable.  </w:t>
      </w:r>
    </w:p>
    <w:p w:rsidR="00DE7B9F" w:rsidRDefault="00DE7B9F">
      <w:pPr>
        <w:pStyle w:val="NormalParagraph"/>
      </w:pPr>
      <w:r>
        <w:t xml:space="preserve">As set out above, the ACCC’s preliminary view is that alternatives to the merged firm, the threat of new entry or expansion and countervailing power of customers are unlikely to provide effective competitive constraints. Consequently, these constraints would be unlikely to destabilise any potential coordinated conduct. </w:t>
      </w:r>
    </w:p>
    <w:p w:rsidR="00DE7B9F" w:rsidRDefault="00DE7B9F">
      <w:pPr>
        <w:pStyle w:val="NormalParagraph"/>
      </w:pPr>
      <w:r>
        <w:t xml:space="preserve">However, there are </w:t>
      </w:r>
      <w:r w:rsidR="00087F58">
        <w:t xml:space="preserve">certain </w:t>
      </w:r>
      <w:r>
        <w:t xml:space="preserve">features of the market which </w:t>
      </w:r>
      <w:r w:rsidR="00087F58">
        <w:t xml:space="preserve">may </w:t>
      </w:r>
      <w:r>
        <w:t xml:space="preserve">suggest coordinated conduct may be difficult in practice. For example, large projects tendered for on irregular intervals may increase the incentive for providers to compete and may make it harder for participants to punish </w:t>
      </w:r>
      <w:r w:rsidR="00551C70">
        <w:t>competitive</w:t>
      </w:r>
      <w:r>
        <w:t xml:space="preserve"> behaviour.</w:t>
      </w:r>
    </w:p>
    <w:p w:rsidR="00DE7B9F" w:rsidRDefault="00E768CC">
      <w:pPr>
        <w:pStyle w:val="NormalParagraph"/>
      </w:pPr>
      <w:r>
        <w:t>P</w:t>
      </w:r>
      <w:r w:rsidR="00DE7B9F">
        <w:t>roducts offered by oilfield services providers can be differentiated. For example, liner hangers differ between providers (</w:t>
      </w:r>
      <w:r w:rsidR="00F40B1B">
        <w:t xml:space="preserve">market feedback indicates that </w:t>
      </w:r>
      <w:r w:rsidR="00DE7B9F">
        <w:t xml:space="preserve">Baker Hughes  has </w:t>
      </w:r>
      <w:r w:rsidR="00F40B1B">
        <w:t xml:space="preserve">mostly </w:t>
      </w:r>
      <w:r w:rsidR="00DE7B9F">
        <w:t xml:space="preserve">conventional liner hangers whereas Halliburton has expandable liner hangers). Differentiation may make it more difficult for market participants to determine whether a tender was lost as a result of </w:t>
      </w:r>
      <w:r w:rsidR="001E36F0">
        <w:t>deviation from a coordinated arrangement</w:t>
      </w:r>
      <w:r w:rsidR="00DE7B9F">
        <w:t xml:space="preserve"> or simply a customer preference for a differentiated product. </w:t>
      </w:r>
      <w:r w:rsidR="00F40B1B">
        <w:t xml:space="preserve">However, the </w:t>
      </w:r>
      <w:r w:rsidR="00087F58">
        <w:t xml:space="preserve">acquisition </w:t>
      </w:r>
      <w:r w:rsidR="00F40B1B">
        <w:t xml:space="preserve">of Baker Hughes may mean there is less product differentiation </w:t>
      </w:r>
      <w:r w:rsidR="00087F58">
        <w:t xml:space="preserve">post-merger </w:t>
      </w:r>
      <w:r w:rsidR="00F40B1B">
        <w:t>and may therefore ma</w:t>
      </w:r>
      <w:r w:rsidR="00EE2C21">
        <w:t>ke</w:t>
      </w:r>
      <w:r w:rsidR="00F40B1B">
        <w:t xml:space="preserve"> it easier to identify deviation. </w:t>
      </w:r>
    </w:p>
    <w:p w:rsidR="00DE7B9F" w:rsidRDefault="00DE7B9F" w:rsidP="007325C9">
      <w:pPr>
        <w:pStyle w:val="commentbox"/>
      </w:pPr>
      <w:r w:rsidRPr="004D3271">
        <w:t xml:space="preserve">The ACCC invites comments from market participants on its </w:t>
      </w:r>
      <w:r>
        <w:t xml:space="preserve">preliminary views </w:t>
      </w:r>
      <w:r w:rsidR="00390BA9">
        <w:t>outlined above</w:t>
      </w:r>
      <w:r w:rsidRPr="004D3271">
        <w:t>. In particular market participants may wish to comment on:</w:t>
      </w:r>
    </w:p>
    <w:p w:rsidR="00DE7B9F" w:rsidRDefault="00CB427C" w:rsidP="0012089E">
      <w:pPr>
        <w:pStyle w:val="commentbox"/>
        <w:numPr>
          <w:ilvl w:val="0"/>
          <w:numId w:val="5"/>
        </w:numPr>
      </w:pPr>
      <w:r>
        <w:t>t</w:t>
      </w:r>
      <w:r w:rsidR="001E36F0">
        <w:t>he likelihood that the proposed acquisition will lead to coo</w:t>
      </w:r>
      <w:r>
        <w:t>rdinated effects in any market</w:t>
      </w:r>
    </w:p>
    <w:p w:rsidR="001E36F0" w:rsidRDefault="00CB427C" w:rsidP="0012089E">
      <w:pPr>
        <w:pStyle w:val="commentbox"/>
        <w:numPr>
          <w:ilvl w:val="0"/>
          <w:numId w:val="5"/>
        </w:numPr>
      </w:pPr>
      <w:r>
        <w:lastRenderedPageBreak/>
        <w:t>t</w:t>
      </w:r>
      <w:r w:rsidR="001E36F0">
        <w:t>he ways in which the proposed acquisition may change the nature of interdependence between rivals so that coordination is more l</w:t>
      </w:r>
      <w:r>
        <w:t>ikely, complete or sustainable</w:t>
      </w:r>
    </w:p>
    <w:p w:rsidR="00DE7B9F" w:rsidRDefault="00CB427C" w:rsidP="0012089E">
      <w:pPr>
        <w:pStyle w:val="commentbox"/>
        <w:numPr>
          <w:ilvl w:val="0"/>
          <w:numId w:val="5"/>
        </w:numPr>
      </w:pPr>
      <w:r>
        <w:t>t</w:t>
      </w:r>
      <w:r w:rsidR="001E36F0">
        <w:t xml:space="preserve">he ways in which coordination might occur, for example, market sharing, customer allocation or tacit agreements on price. </w:t>
      </w:r>
    </w:p>
    <w:p w:rsidR="00633249" w:rsidRDefault="00633249" w:rsidP="0012089E">
      <w:pPr>
        <w:pStyle w:val="Heading4"/>
      </w:pPr>
      <w:r>
        <w:t>Offshore drilling projects</w:t>
      </w:r>
    </w:p>
    <w:p w:rsidR="00415A17" w:rsidRDefault="00346285" w:rsidP="0012089E">
      <w:pPr>
        <w:pStyle w:val="Heading5"/>
      </w:pPr>
      <w:r>
        <w:t>Issue</w:t>
      </w:r>
      <w:r w:rsidR="00FB30A0" w:rsidRPr="004B1DAE">
        <w:t xml:space="preserve"> of concern</w:t>
      </w:r>
      <w:r>
        <w:t xml:space="preserve">: </w:t>
      </w:r>
      <w:r w:rsidR="004174AC">
        <w:t>U</w:t>
      </w:r>
      <w:r w:rsidR="004174AC" w:rsidRPr="004174AC">
        <w:t xml:space="preserve">nilateral effects in the supply of oilfield services to </w:t>
      </w:r>
      <w:r w:rsidR="00C45C03">
        <w:t>offshore</w:t>
      </w:r>
      <w:r w:rsidR="002401D7">
        <w:t xml:space="preserve"> drilling </w:t>
      </w:r>
      <w:r w:rsidR="00151CE5">
        <w:t>projects</w:t>
      </w:r>
      <w:r w:rsidR="004174AC" w:rsidRPr="004174AC">
        <w:t>, in</w:t>
      </w:r>
      <w:r w:rsidR="004174AC">
        <w:t xml:space="preserve"> a number of</w:t>
      </w:r>
      <w:r w:rsidR="004174AC" w:rsidRPr="004174AC">
        <w:t xml:space="preserve"> </w:t>
      </w:r>
      <w:r w:rsidR="000E2D28">
        <w:t xml:space="preserve">separate </w:t>
      </w:r>
      <w:r w:rsidR="004174AC" w:rsidRPr="004174AC">
        <w:t>markets</w:t>
      </w:r>
      <w:r w:rsidR="004174AC">
        <w:t>.</w:t>
      </w:r>
    </w:p>
    <w:p w:rsidR="002D73DC" w:rsidRDefault="0053151E" w:rsidP="0012089E">
      <w:pPr>
        <w:pStyle w:val="NormalParagraph"/>
      </w:pPr>
      <w:r>
        <w:t>T</w:t>
      </w:r>
      <w:r w:rsidR="00415A17">
        <w:t>he ACCC</w:t>
      </w:r>
      <w:r w:rsidR="001C42C7">
        <w:t>’s preliminary view</w:t>
      </w:r>
      <w:r w:rsidR="0021005E">
        <w:t xml:space="preserve"> </w:t>
      </w:r>
      <w:r w:rsidR="00415A17">
        <w:t>is</w:t>
      </w:r>
      <w:r w:rsidR="004174AC">
        <w:t xml:space="preserve"> that the </w:t>
      </w:r>
      <w:r w:rsidR="00415A17">
        <w:t xml:space="preserve">proposed acquisition </w:t>
      </w:r>
      <w:r w:rsidR="0021005E">
        <w:t xml:space="preserve">is likely </w:t>
      </w:r>
      <w:r w:rsidR="00415A17">
        <w:t xml:space="preserve">to </w:t>
      </w:r>
      <w:r w:rsidR="0021005E">
        <w:t xml:space="preserve">substantially lessen </w:t>
      </w:r>
      <w:r w:rsidR="00415A17">
        <w:t>competition by</w:t>
      </w:r>
      <w:r w:rsidR="00592B57">
        <w:t xml:space="preserve"> removing a significant supplier or potential supplier with the capability, expertise and experience to </w:t>
      </w:r>
      <w:r w:rsidR="00EE2CF5">
        <w:t xml:space="preserve">separately </w:t>
      </w:r>
      <w:r w:rsidR="00592B57">
        <w:t xml:space="preserve">provide </w:t>
      </w:r>
      <w:r w:rsidR="00EE2CF5">
        <w:t xml:space="preserve">each of </w:t>
      </w:r>
      <w:r w:rsidR="00E90FD2">
        <w:t>the</w:t>
      </w:r>
      <w:r w:rsidR="007325C9">
        <w:t xml:space="preserve"> goods</w:t>
      </w:r>
      <w:r w:rsidR="00592B57">
        <w:t xml:space="preserve">  a</w:t>
      </w:r>
      <w:r w:rsidR="00D621BB">
        <w:t>nd services</w:t>
      </w:r>
      <w:r w:rsidR="00E90FD2">
        <w:t xml:space="preserve"> identified in </w:t>
      </w:r>
      <w:r w:rsidR="00E90FD2" w:rsidRPr="00E90FD2">
        <w:rPr>
          <w:b/>
        </w:rPr>
        <w:t>Annexure 1</w:t>
      </w:r>
      <w:r w:rsidR="00E90FD2">
        <w:t xml:space="preserve">. </w:t>
      </w:r>
      <w:r w:rsidR="00761C43">
        <w:t xml:space="preserve">The ACCC’s preliminary view is that the constraints imposed on the merged firm post-acquisition will not be sufficient to prevent an exercise of market power. </w:t>
      </w:r>
    </w:p>
    <w:p w:rsidR="00823885" w:rsidRDefault="00615AB2" w:rsidP="0012089E">
      <w:pPr>
        <w:pStyle w:val="NormalParagraph"/>
      </w:pPr>
      <w:r>
        <w:t>As identified above</w:t>
      </w:r>
      <w:r w:rsidR="00DE5592">
        <w:t xml:space="preserve">, </w:t>
      </w:r>
      <w:r w:rsidR="00561ECF">
        <w:t xml:space="preserve">the ACCC understands </w:t>
      </w:r>
      <w:r>
        <w:t xml:space="preserve">the </w:t>
      </w:r>
      <w:r w:rsidR="00561ECF">
        <w:t>merged firm would</w:t>
      </w:r>
      <w:r>
        <w:t xml:space="preserve"> </w:t>
      </w:r>
      <w:r w:rsidR="00561ECF">
        <w:t xml:space="preserve">have a market leading position in certain </w:t>
      </w:r>
      <w:r w:rsidR="00A57DBC">
        <w:t>products</w:t>
      </w:r>
      <w:r w:rsidR="00592B57">
        <w:t>.</w:t>
      </w:r>
      <w:r w:rsidR="00922E6C">
        <w:t xml:space="preserve"> </w:t>
      </w:r>
      <w:r w:rsidR="00C56981">
        <w:t xml:space="preserve">This </w:t>
      </w:r>
      <w:r w:rsidR="00922E6C">
        <w:t>position</w:t>
      </w:r>
      <w:r w:rsidR="00C56981">
        <w:t xml:space="preserve"> would likely give the merged firm market power in these markets, particularly in those instances where there are few alternatives to the merged firm</w:t>
      </w:r>
      <w:r w:rsidR="00551C70">
        <w:t>.</w:t>
      </w:r>
    </w:p>
    <w:p w:rsidR="004174AC" w:rsidRDefault="00592B57" w:rsidP="0012089E">
      <w:pPr>
        <w:pStyle w:val="NormalParagraph"/>
      </w:pPr>
      <w:r>
        <w:t xml:space="preserve">With respect to </w:t>
      </w:r>
      <w:r w:rsidR="007325C9">
        <w:t>good</w:t>
      </w:r>
      <w:r>
        <w:t>s and services where</w:t>
      </w:r>
      <w:r w:rsidR="00695E76">
        <w:t xml:space="preserve"> one or both of</w:t>
      </w:r>
      <w:r>
        <w:t xml:space="preserve"> </w:t>
      </w:r>
      <w:r w:rsidR="0093588C">
        <w:t>the merger parties</w:t>
      </w:r>
      <w:r>
        <w:t xml:space="preserve">’ Australian sales are not </w:t>
      </w:r>
      <w:r w:rsidR="00EE592F">
        <w:t xml:space="preserve">currently </w:t>
      </w:r>
      <w:r>
        <w:t>high, the ACCC consider</w:t>
      </w:r>
      <w:r w:rsidR="009F1B42">
        <w:t>s</w:t>
      </w:r>
      <w:r w:rsidR="0093588C">
        <w:t xml:space="preserve"> their</w:t>
      </w:r>
      <w:r>
        <w:t xml:space="preserve"> existing Austr</w:t>
      </w:r>
      <w:r w:rsidR="0093588C">
        <w:t>alian presence combined with their global capabilities mean they are</w:t>
      </w:r>
      <w:r>
        <w:t xml:space="preserve"> potential new entrant</w:t>
      </w:r>
      <w:r w:rsidR="0093588C">
        <w:t>s</w:t>
      </w:r>
      <w:r>
        <w:t xml:space="preserve"> a</w:t>
      </w:r>
      <w:r w:rsidR="00551C70">
        <w:t>nd/</w:t>
      </w:r>
      <w:r w:rsidR="0093588C">
        <w:t>or capable of expanding their</w:t>
      </w:r>
      <w:r>
        <w:t xml:space="preserve"> existing offer</w:t>
      </w:r>
      <w:r w:rsidR="0093588C">
        <w:t>s</w:t>
      </w:r>
      <w:r w:rsidR="00561ECF">
        <w:t xml:space="preserve"> if profitable to do so</w:t>
      </w:r>
      <w:r>
        <w:t xml:space="preserve">. </w:t>
      </w:r>
      <w:r w:rsidR="0093588C">
        <w:t>The merger parties therefore provide</w:t>
      </w:r>
      <w:r>
        <w:t xml:space="preserve"> a constraint on</w:t>
      </w:r>
      <w:r w:rsidR="0093588C">
        <w:t xml:space="preserve"> one another in the relevant markets</w:t>
      </w:r>
      <w:r>
        <w:t>.</w:t>
      </w:r>
      <w:r w:rsidR="0093588C">
        <w:t xml:space="preserve"> This constraint would be removed post-acquisition. </w:t>
      </w:r>
      <w:r w:rsidR="004174AC">
        <w:t xml:space="preserve"> </w:t>
      </w:r>
    </w:p>
    <w:p w:rsidR="00761C43" w:rsidRDefault="00202826" w:rsidP="0012089E">
      <w:pPr>
        <w:pStyle w:val="NormalParagraph"/>
      </w:pPr>
      <w:r>
        <w:t xml:space="preserve">In markets for </w:t>
      </w:r>
      <w:r w:rsidR="00623E89">
        <w:t>offshore</w:t>
      </w:r>
      <w:r>
        <w:t xml:space="preserve"> drilling projects, there are varying levels of constraint from alt</w:t>
      </w:r>
      <w:r w:rsidR="002D73DC">
        <w:t>ernatives to the merger parties. A</w:t>
      </w:r>
      <w:r>
        <w:t xml:space="preserve">s identified in </w:t>
      </w:r>
      <w:r w:rsidR="00DA36CE">
        <w:rPr>
          <w:b/>
        </w:rPr>
        <w:t>Annexure 3</w:t>
      </w:r>
      <w:r w:rsidR="002D73DC">
        <w:t>, i</w:t>
      </w:r>
      <w:r>
        <w:t>n some markets there is one alternative, in others there are two or three.</w:t>
      </w:r>
      <w:r w:rsidR="00542B5D">
        <w:t xml:space="preserve"> The constraint provided by these alternative</w:t>
      </w:r>
      <w:r w:rsidR="003253FF">
        <w:t>s</w:t>
      </w:r>
      <w:r w:rsidR="00542B5D">
        <w:t xml:space="preserve"> varies, however, from one market to the next depending on the strength of </w:t>
      </w:r>
      <w:r w:rsidR="00761C43">
        <w:t>competitor</w:t>
      </w:r>
      <w:r w:rsidR="00542B5D">
        <w:t xml:space="preserve">. </w:t>
      </w:r>
      <w:r w:rsidR="002D73DC">
        <w:t xml:space="preserve">Market feedback suggests that across offshore markets, competitors to the big three </w:t>
      </w:r>
      <w:r w:rsidR="00551C70">
        <w:t xml:space="preserve">only </w:t>
      </w:r>
      <w:r w:rsidR="002D73DC">
        <w:t>capture a small share of total revenue.</w:t>
      </w:r>
    </w:p>
    <w:p w:rsidR="00202826" w:rsidRDefault="00761C43" w:rsidP="0012089E">
      <w:pPr>
        <w:pStyle w:val="NormalParagraph"/>
      </w:pPr>
      <w:r>
        <w:t xml:space="preserve">As discussed above, the merger parties have significant competitive advantages over smaller competitors. </w:t>
      </w:r>
      <w:r w:rsidR="00202826">
        <w:t xml:space="preserve"> </w:t>
      </w:r>
    </w:p>
    <w:p w:rsidR="00542B5D" w:rsidRDefault="00542B5D" w:rsidP="0012089E">
      <w:pPr>
        <w:pStyle w:val="commentbox"/>
      </w:pPr>
      <w:r w:rsidRPr="004D3271">
        <w:t xml:space="preserve">The ACCC invites comments from market participants on its </w:t>
      </w:r>
      <w:r>
        <w:t xml:space="preserve">preliminary views </w:t>
      </w:r>
      <w:r w:rsidR="00D662F5">
        <w:t>outlined above.</w:t>
      </w:r>
      <w:r w:rsidRPr="004D3271">
        <w:t xml:space="preserve"> In particular market participants may wish to comment on:</w:t>
      </w:r>
    </w:p>
    <w:p w:rsidR="006C2F15" w:rsidRDefault="00CB427C" w:rsidP="00F1213F">
      <w:pPr>
        <w:pStyle w:val="commentbox"/>
        <w:numPr>
          <w:ilvl w:val="0"/>
          <w:numId w:val="5"/>
        </w:numPr>
      </w:pPr>
      <w:r>
        <w:t>t</w:t>
      </w:r>
      <w:r w:rsidR="00551C70">
        <w:t xml:space="preserve">he likelihood the proposed acquisition would remove a significant supplier or potential supplier for particular offshore </w:t>
      </w:r>
      <w:r w:rsidR="007325C9">
        <w:t>good</w:t>
      </w:r>
      <w:r w:rsidR="00551C70">
        <w:t>s and services</w:t>
      </w:r>
    </w:p>
    <w:p w:rsidR="006C2F15" w:rsidRPr="004D3271" w:rsidRDefault="00CB427C" w:rsidP="0012089E">
      <w:pPr>
        <w:pStyle w:val="commentbox"/>
        <w:numPr>
          <w:ilvl w:val="0"/>
          <w:numId w:val="5"/>
        </w:numPr>
      </w:pPr>
      <w:r>
        <w:t>t</w:t>
      </w:r>
      <w:r w:rsidR="00551C70">
        <w:t xml:space="preserve">he nature and extent of constraint proved by alternative offshore providers. </w:t>
      </w:r>
    </w:p>
    <w:p w:rsidR="00CB7292" w:rsidRDefault="00BA1BC2" w:rsidP="0012089E">
      <w:pPr>
        <w:pStyle w:val="Heading4"/>
      </w:pPr>
      <w:r>
        <w:lastRenderedPageBreak/>
        <w:t>Onshore</w:t>
      </w:r>
      <w:r w:rsidR="00CB7292">
        <w:t xml:space="preserve"> drilling </w:t>
      </w:r>
      <w:r>
        <w:t>projects</w:t>
      </w:r>
    </w:p>
    <w:p w:rsidR="00CB7292" w:rsidRPr="002401D7" w:rsidRDefault="00CB7292" w:rsidP="0012089E">
      <w:pPr>
        <w:pStyle w:val="Heading5"/>
      </w:pPr>
      <w:r>
        <w:t>Issue</w:t>
      </w:r>
      <w:r w:rsidRPr="002401D7">
        <w:t xml:space="preserve"> that may raise concern</w:t>
      </w:r>
      <w:r w:rsidRPr="002401D7">
        <w:rPr>
          <w:rStyle w:val="Heading4Char"/>
          <w:b w:val="0"/>
        </w:rPr>
        <w:t xml:space="preserve">s: </w:t>
      </w:r>
      <w:r w:rsidR="007A5E7D">
        <w:rPr>
          <w:rStyle w:val="Heading4Char"/>
          <w:b w:val="0"/>
        </w:rPr>
        <w:t>Unilateral effects in the s</w:t>
      </w:r>
      <w:r w:rsidRPr="002401D7">
        <w:rPr>
          <w:rStyle w:val="Heading4Char"/>
          <w:b w:val="0"/>
        </w:rPr>
        <w:t xml:space="preserve">upply of oilfield services to onshore </w:t>
      </w:r>
      <w:r w:rsidR="0053151E">
        <w:rPr>
          <w:rStyle w:val="Heading4Char"/>
          <w:b w:val="0"/>
        </w:rPr>
        <w:t>drilling projects</w:t>
      </w:r>
      <w:r w:rsidR="000E2D28">
        <w:t>, in a number of separate</w:t>
      </w:r>
      <w:r w:rsidRPr="002401D7">
        <w:t xml:space="preserve"> markets.</w:t>
      </w:r>
    </w:p>
    <w:p w:rsidR="001D7964" w:rsidRDefault="0053151E" w:rsidP="0012089E">
      <w:pPr>
        <w:pStyle w:val="NormalParagraph"/>
      </w:pPr>
      <w:r>
        <w:t>T</w:t>
      </w:r>
      <w:r w:rsidR="001D7964">
        <w:t xml:space="preserve">he ACCC’s preliminary view is that the proposed acquisition </w:t>
      </w:r>
      <w:r w:rsidR="00D621BB">
        <w:t>may</w:t>
      </w:r>
      <w:r w:rsidR="001D7964">
        <w:t xml:space="preserve"> substantially lessen competition by removing a significant supplier or potential supplier with the capability, expertise and experience to </w:t>
      </w:r>
      <w:r w:rsidR="00E90FD2">
        <w:t>separately provide each of the</w:t>
      </w:r>
      <w:r w:rsidR="001D7964">
        <w:t xml:space="preserve"> </w:t>
      </w:r>
      <w:r w:rsidR="007325C9">
        <w:t>good</w:t>
      </w:r>
      <w:r w:rsidR="001D7964">
        <w:t>s and services</w:t>
      </w:r>
      <w:r w:rsidR="00E90FD2">
        <w:t xml:space="preserve"> identified in </w:t>
      </w:r>
      <w:r w:rsidR="00E90FD2" w:rsidRPr="00E4500A">
        <w:rPr>
          <w:b/>
        </w:rPr>
        <w:t>Annexure 2</w:t>
      </w:r>
      <w:r w:rsidR="00E90FD2">
        <w:t xml:space="preserve">. </w:t>
      </w:r>
    </w:p>
    <w:p w:rsidR="00F12B49" w:rsidRDefault="00DA36CE" w:rsidP="0012089E">
      <w:pPr>
        <w:pStyle w:val="NormalParagraph"/>
      </w:pPr>
      <w:r>
        <w:t xml:space="preserve">As discussed above, the merger parties have significant competitive advantages over smaller competitors. </w:t>
      </w:r>
      <w:r w:rsidR="00761C43">
        <w:t>A</w:t>
      </w:r>
      <w:r w:rsidR="003253FF">
        <w:t xml:space="preserve">s identified in </w:t>
      </w:r>
      <w:r w:rsidRPr="00DA36CE">
        <w:rPr>
          <w:b/>
        </w:rPr>
        <w:t xml:space="preserve">Annexure 3 </w:t>
      </w:r>
      <w:r w:rsidRPr="00DA36CE">
        <w:t>below</w:t>
      </w:r>
      <w:r w:rsidR="007A39E3">
        <w:t xml:space="preserve">, in </w:t>
      </w:r>
      <w:r w:rsidR="00761C43">
        <w:t xml:space="preserve">the </w:t>
      </w:r>
      <w:r w:rsidR="007325C9">
        <w:t>good</w:t>
      </w:r>
      <w:r w:rsidR="007A39E3">
        <w:t>s and services</w:t>
      </w:r>
      <w:r w:rsidR="00761C43">
        <w:t xml:space="preserve"> identified in </w:t>
      </w:r>
      <w:r w:rsidR="00761C43" w:rsidRPr="00E4500A">
        <w:rPr>
          <w:b/>
        </w:rPr>
        <w:t>Annexure 2</w:t>
      </w:r>
      <w:r w:rsidR="007A39E3">
        <w:t xml:space="preserve"> there are few competitors in Australia at present</w:t>
      </w:r>
      <w:r w:rsidR="00761C43">
        <w:t xml:space="preserve"> for onshore drilling projects</w:t>
      </w:r>
      <w:r w:rsidR="007A39E3">
        <w:t>.</w:t>
      </w:r>
    </w:p>
    <w:p w:rsidR="007A39E3" w:rsidRDefault="004F5A01" w:rsidP="0012089E">
      <w:pPr>
        <w:pStyle w:val="NormalParagraph"/>
      </w:pPr>
      <w:r>
        <w:t>T</w:t>
      </w:r>
      <w:r w:rsidR="007A39E3">
        <w:t>he ACCC understands</w:t>
      </w:r>
      <w:r w:rsidR="007D5221">
        <w:t xml:space="preserve"> from market feedback that the merged firm would have</w:t>
      </w:r>
      <w:r w:rsidR="007A39E3">
        <w:t xml:space="preserve"> </w:t>
      </w:r>
      <w:r w:rsidR="004E0468">
        <w:t xml:space="preserve">strong presence </w:t>
      </w:r>
      <w:r w:rsidR="007A39E3">
        <w:t xml:space="preserve"> in</w:t>
      </w:r>
      <w:r>
        <w:t xml:space="preserve"> </w:t>
      </w:r>
      <w:r w:rsidRPr="00C56981">
        <w:rPr>
          <w:i/>
        </w:rPr>
        <w:t>coring</w:t>
      </w:r>
      <w:r>
        <w:t>,</w:t>
      </w:r>
      <w:r w:rsidR="007D5221">
        <w:t xml:space="preserve"> and</w:t>
      </w:r>
      <w:r>
        <w:t xml:space="preserve"> </w:t>
      </w:r>
      <w:r w:rsidRPr="00C56981">
        <w:rPr>
          <w:i/>
        </w:rPr>
        <w:t>hydraulic fracturing and acidizing</w:t>
      </w:r>
      <w:r>
        <w:t>,</w:t>
      </w:r>
      <w:r w:rsidR="007D5221">
        <w:t xml:space="preserve"> </w:t>
      </w:r>
      <w:r w:rsidR="007A39E3">
        <w:t xml:space="preserve"> </w:t>
      </w:r>
      <w:r w:rsidR="007A39E3" w:rsidRPr="00C56981">
        <w:rPr>
          <w:i/>
        </w:rPr>
        <w:t xml:space="preserve">completions – core </w:t>
      </w:r>
      <w:r w:rsidRPr="00C56981">
        <w:rPr>
          <w:i/>
        </w:rPr>
        <w:t xml:space="preserve">completions </w:t>
      </w:r>
      <w:r>
        <w:t>and</w:t>
      </w:r>
      <w:r w:rsidR="007A39E3">
        <w:t xml:space="preserve"> </w:t>
      </w:r>
      <w:r w:rsidR="007A39E3" w:rsidRPr="00C56981">
        <w:rPr>
          <w:i/>
        </w:rPr>
        <w:t>completions – wellbore intervention</w:t>
      </w:r>
      <w:r w:rsidR="007A39E3">
        <w:t>.</w:t>
      </w:r>
      <w:r w:rsidR="0022118C">
        <w:t xml:space="preserve"> </w:t>
      </w:r>
    </w:p>
    <w:p w:rsidR="0022118C" w:rsidRDefault="007A39E3" w:rsidP="0012089E">
      <w:pPr>
        <w:pStyle w:val="NormalParagraph"/>
      </w:pPr>
      <w:r>
        <w:t xml:space="preserve">The ACCC understands one or other of the merger parties has a small presence in </w:t>
      </w:r>
      <w:r w:rsidRPr="00C56981">
        <w:rPr>
          <w:i/>
        </w:rPr>
        <w:t>surface data logging</w:t>
      </w:r>
      <w:r>
        <w:t xml:space="preserve"> and </w:t>
      </w:r>
      <w:r w:rsidRPr="00C56981">
        <w:rPr>
          <w:i/>
        </w:rPr>
        <w:t>wireline – open hole</w:t>
      </w:r>
      <w:r>
        <w:t xml:space="preserve"> in Australia at present</w:t>
      </w:r>
      <w:r w:rsidR="004F5A01">
        <w:t>.</w:t>
      </w:r>
      <w:r w:rsidR="007D5221">
        <w:t xml:space="preserve"> However,</w:t>
      </w:r>
      <w:r w:rsidR="0022118C">
        <w:t xml:space="preserve"> these markets </w:t>
      </w:r>
      <w:r w:rsidR="00F57A89">
        <w:t xml:space="preserve">appear to be </w:t>
      </w:r>
      <w:r w:rsidR="0022118C">
        <w:t xml:space="preserve"> characterised by a relatively small numb</w:t>
      </w:r>
      <w:r w:rsidR="00C56981">
        <w:t xml:space="preserve">er of competitors and </w:t>
      </w:r>
      <w:r w:rsidR="00761C43">
        <w:t>face</w:t>
      </w:r>
      <w:r w:rsidR="0022118C">
        <w:t xml:space="preserve"> limited constraint from the available alternatives. </w:t>
      </w:r>
    </w:p>
    <w:p w:rsidR="0022118C" w:rsidRDefault="0022118C" w:rsidP="0012089E">
      <w:pPr>
        <w:pStyle w:val="NormalParagraph"/>
      </w:pPr>
      <w:r>
        <w:t xml:space="preserve">As discussed in more detail above, there are high barriers to entry across all markets, including </w:t>
      </w:r>
      <w:r w:rsidR="00BA1BC2">
        <w:t>onshore</w:t>
      </w:r>
      <w:r>
        <w:t xml:space="preserve"> markets. Barriers to entry are likely particularly high in </w:t>
      </w:r>
      <w:r w:rsidRPr="00C56981">
        <w:rPr>
          <w:i/>
        </w:rPr>
        <w:t>wireline – open hole</w:t>
      </w:r>
      <w:r>
        <w:t xml:space="preserve"> where </w:t>
      </w:r>
      <w:r w:rsidR="00761C43">
        <w:t xml:space="preserve">sophisticated </w:t>
      </w:r>
      <w:r w:rsidR="00C56981">
        <w:t>electronics are</w:t>
      </w:r>
      <w:r>
        <w:t xml:space="preserve"> used.  </w:t>
      </w:r>
    </w:p>
    <w:p w:rsidR="007D5221" w:rsidRDefault="0022118C" w:rsidP="0012089E">
      <w:pPr>
        <w:pStyle w:val="NormalParagraph"/>
      </w:pPr>
      <w:r>
        <w:t>A</w:t>
      </w:r>
      <w:r w:rsidR="004F5A01">
        <w:t>s</w:t>
      </w:r>
      <w:r>
        <w:t xml:space="preserve"> also</w:t>
      </w:r>
      <w:r w:rsidR="004F5A01">
        <w:t xml:space="preserve"> discussed in more detail above, the proposed acquisition removes the most likely competitor to enter or expand </w:t>
      </w:r>
      <w:r w:rsidR="007D5221">
        <w:t xml:space="preserve">into these </w:t>
      </w:r>
      <w:r w:rsidR="007325C9">
        <w:t>good</w:t>
      </w:r>
      <w:r w:rsidR="007D5221">
        <w:t>s or services.</w:t>
      </w:r>
    </w:p>
    <w:p w:rsidR="004F5A01" w:rsidRDefault="00F12B49" w:rsidP="0012089E">
      <w:pPr>
        <w:pStyle w:val="NormalParagraph"/>
      </w:pPr>
      <w:r>
        <w:t>The competition concerns identified for onshore markets are particularly relevant to the Cooper Basin segment of the market. The remoteness and particular geological characteristics in the Cooper Basin increase the barriers to entry and expansion. The ACCC’s preliminary view is</w:t>
      </w:r>
      <w:r w:rsidR="00F40B1B">
        <w:t xml:space="preserve"> that</w:t>
      </w:r>
      <w:r>
        <w:t xml:space="preserve"> the proposed acquisition is likely </w:t>
      </w:r>
      <w:r w:rsidR="00F40B1B">
        <w:t xml:space="preserve">to be </w:t>
      </w:r>
      <w:r>
        <w:t xml:space="preserve">most problematic in the Cooper Basin in the </w:t>
      </w:r>
      <w:r w:rsidR="007325C9">
        <w:t>good</w:t>
      </w:r>
      <w:r>
        <w:t xml:space="preserve">s and services identified </w:t>
      </w:r>
      <w:r w:rsidR="00761C43">
        <w:t xml:space="preserve">in </w:t>
      </w:r>
      <w:r w:rsidR="00761C43" w:rsidRPr="00E4500A">
        <w:rPr>
          <w:b/>
        </w:rPr>
        <w:t>Annexure 2</w:t>
      </w:r>
      <w:r>
        <w:t xml:space="preserve">.   </w:t>
      </w:r>
    </w:p>
    <w:p w:rsidR="004F5A01" w:rsidRDefault="004F5A01" w:rsidP="0012089E">
      <w:pPr>
        <w:pStyle w:val="commentbox"/>
      </w:pPr>
      <w:r w:rsidRPr="004D3271">
        <w:t xml:space="preserve">The ACCC invites comments from market participants on its </w:t>
      </w:r>
      <w:r>
        <w:t>preliminary views about the</w:t>
      </w:r>
      <w:r w:rsidRPr="004D3271">
        <w:t xml:space="preserve"> definition of the relevant market</w:t>
      </w:r>
      <w:r>
        <w:t>(s)</w:t>
      </w:r>
      <w:r w:rsidRPr="004D3271">
        <w:t>. In particular market participants may wish to comment on:</w:t>
      </w:r>
    </w:p>
    <w:p w:rsidR="004F5A01" w:rsidRDefault="00CB427C" w:rsidP="0012089E">
      <w:pPr>
        <w:pStyle w:val="commentbox"/>
        <w:numPr>
          <w:ilvl w:val="0"/>
          <w:numId w:val="5"/>
        </w:numPr>
      </w:pPr>
      <w:r>
        <w:t>t</w:t>
      </w:r>
      <w:r w:rsidR="00551C70">
        <w:t>he likelihood that the proposed acquisition would remove a significant competitor or poten</w:t>
      </w:r>
      <w:r w:rsidR="0060470F">
        <w:t>tial competitor for particular o</w:t>
      </w:r>
      <w:r w:rsidR="00551C70">
        <w:t xml:space="preserve">nshore </w:t>
      </w:r>
      <w:r w:rsidR="007325C9">
        <w:t>good</w:t>
      </w:r>
      <w:r w:rsidR="00551C70">
        <w:t>s and services</w:t>
      </w:r>
    </w:p>
    <w:p w:rsidR="004F5A01" w:rsidRPr="006C2F15" w:rsidRDefault="00CB427C" w:rsidP="0012089E">
      <w:pPr>
        <w:pStyle w:val="commentbox"/>
        <w:numPr>
          <w:ilvl w:val="0"/>
          <w:numId w:val="5"/>
        </w:numPr>
      </w:pPr>
      <w:r>
        <w:t>t</w:t>
      </w:r>
      <w:r w:rsidR="00551C70">
        <w:t xml:space="preserve">he impact on particular projects such as </w:t>
      </w:r>
      <w:r>
        <w:t xml:space="preserve">those in </w:t>
      </w:r>
      <w:r w:rsidR="00551C70">
        <w:t>the Co</w:t>
      </w:r>
      <w:r w:rsidR="006504DC">
        <w:t>o</w:t>
      </w:r>
      <w:r w:rsidR="00551C70">
        <w:t>per Basin.</w:t>
      </w:r>
    </w:p>
    <w:p w:rsidR="00FB30A0" w:rsidRDefault="00FB30A0" w:rsidP="00A26C2D">
      <w:pPr>
        <w:pStyle w:val="Heading3"/>
      </w:pPr>
      <w:r>
        <w:t xml:space="preserve">ACCC's </w:t>
      </w:r>
      <w:r w:rsidRPr="009D1890">
        <w:t>future</w:t>
      </w:r>
      <w:r>
        <w:t xml:space="preserve"> steps</w:t>
      </w:r>
    </w:p>
    <w:p w:rsidR="00FB30A0" w:rsidRDefault="00FB30A0" w:rsidP="0012089E">
      <w:pPr>
        <w:pStyle w:val="NormalParagraph"/>
      </w:pPr>
      <w:r>
        <w:t xml:space="preserve">The ACCC will finalise its view on this matter after it considers </w:t>
      </w:r>
      <w:r w:rsidR="001C42C7">
        <w:t>submissions</w:t>
      </w:r>
      <w:r>
        <w:t xml:space="preserve"> invited by this Statement of Issues.</w:t>
      </w:r>
    </w:p>
    <w:p w:rsidR="00FB30A0" w:rsidRDefault="00F835E1" w:rsidP="0012089E">
      <w:pPr>
        <w:pStyle w:val="NormalParagraph"/>
      </w:pPr>
      <w:r>
        <w:t>As noted above, t</w:t>
      </w:r>
      <w:r w:rsidR="00FB30A0">
        <w:t>he ACCC now seeks submissions from market participants on each of the issues identified in this Statement of Issues and on any other issue that may be relevant to the ACCC's assessment of this matter.</w:t>
      </w:r>
      <w:r w:rsidRPr="00F835E1">
        <w:t xml:space="preserve"> </w:t>
      </w:r>
      <w:r>
        <w:t xml:space="preserve">Submissions are to be received by the ACCC no later </w:t>
      </w:r>
      <w:r w:rsidRPr="00C01999">
        <w:t xml:space="preserve">than </w:t>
      </w:r>
      <w:r w:rsidR="00C01999" w:rsidRPr="00E4500A">
        <w:t>12 November</w:t>
      </w:r>
      <w:r w:rsidR="00C01999">
        <w:t xml:space="preserve"> 2015</w:t>
      </w:r>
      <w:r w:rsidRPr="00C01999">
        <w:t xml:space="preserve"> and</w:t>
      </w:r>
      <w:r>
        <w:t xml:space="preserve"> should be emailed to </w:t>
      </w:r>
      <w:hyperlink r:id="rId11" w:history="1">
        <w:r w:rsidRPr="00C8672F">
          <w:rPr>
            <w:rStyle w:val="Hyperlink"/>
          </w:rPr>
          <w:t>mergers@accc.gov.au</w:t>
        </w:r>
      </w:hyperlink>
      <w:r>
        <w:t>.</w:t>
      </w:r>
    </w:p>
    <w:p w:rsidR="00592B57" w:rsidRDefault="00FB30A0" w:rsidP="0012089E">
      <w:pPr>
        <w:pStyle w:val="NormalParagraph"/>
      </w:pPr>
      <w:r>
        <w:lastRenderedPageBreak/>
        <w:t>The ACCC intends to publicly announce its final view by</w:t>
      </w:r>
      <w:r w:rsidR="00C01999">
        <w:t xml:space="preserve"> 17 December 2015</w:t>
      </w:r>
      <w:r>
        <w:t xml:space="preserve">. However the anticipated timeline may change in line with the </w:t>
      </w:r>
      <w:r w:rsidRPr="007F75F1">
        <w:t>Merger Review Process Guidelines</w:t>
      </w:r>
      <w:r>
        <w:t xml:space="preserve">. A </w:t>
      </w:r>
      <w:r w:rsidR="005F1F0B">
        <w:t>P</w:t>
      </w:r>
      <w:r>
        <w:t>ublic Competition Assessment for the purpose of explaining the ACCC's final view may be published following the ACCC's public announcement.</w:t>
      </w:r>
    </w:p>
    <w:p w:rsidR="00A32DC0" w:rsidRDefault="00A32DC0" w:rsidP="0012089E">
      <w:pPr>
        <w:pStyle w:val="NormalParagraph"/>
        <w:numPr>
          <w:ilvl w:val="0"/>
          <w:numId w:val="0"/>
        </w:numPr>
        <w:ind w:left="567"/>
      </w:pPr>
    </w:p>
    <w:p w:rsidR="00A32DC0" w:rsidRDefault="00A32DC0" w:rsidP="0012089E">
      <w:pPr>
        <w:pStyle w:val="NormalParagraph"/>
        <w:numPr>
          <w:ilvl w:val="0"/>
          <w:numId w:val="0"/>
        </w:numPr>
        <w:ind w:left="567"/>
        <w:sectPr w:rsidR="00A32DC0">
          <w:headerReference w:type="even" r:id="rId12"/>
          <w:headerReference w:type="default" r:id="rId13"/>
          <w:footerReference w:type="even" r:id="rId14"/>
          <w:footerReference w:type="default" r:id="rId15"/>
          <w:headerReference w:type="first" r:id="rId16"/>
          <w:footerReference w:type="first" r:id="rId17"/>
          <w:pgSz w:w="11906" w:h="16838" w:code="9"/>
          <w:pgMar w:top="1440" w:right="1729" w:bottom="1582" w:left="1729" w:header="709" w:footer="1009" w:gutter="0"/>
          <w:cols w:space="708"/>
          <w:titlePg/>
          <w:docGrid w:linePitch="360"/>
        </w:sectPr>
      </w:pPr>
    </w:p>
    <w:p w:rsidR="00BA4035" w:rsidRPr="00A32CEB" w:rsidRDefault="00A3396C" w:rsidP="00F1213F">
      <w:pPr>
        <w:pStyle w:val="Annexureheading"/>
        <w:ind w:firstLine="0"/>
      </w:pPr>
      <w:r w:rsidRPr="00A32CEB">
        <w:lastRenderedPageBreak/>
        <w:t xml:space="preserve">ANNEXURE </w:t>
      </w:r>
      <w:r w:rsidR="00C01999">
        <w:t>1</w:t>
      </w:r>
      <w:bookmarkStart w:id="7" w:name="_GoBack"/>
      <w:bookmarkEnd w:id="7"/>
    </w:p>
    <w:p w:rsidR="00A32DC0" w:rsidRDefault="00A32DC0" w:rsidP="0012089E">
      <w:pPr>
        <w:pStyle w:val="NormalParagraph"/>
        <w:numPr>
          <w:ilvl w:val="0"/>
          <w:numId w:val="0"/>
        </w:numPr>
        <w:ind w:left="567"/>
      </w:pPr>
    </w:p>
    <w:p w:rsidR="00C01999" w:rsidRDefault="00C01999" w:rsidP="0012089E">
      <w:pPr>
        <w:pStyle w:val="NormalParagraph"/>
        <w:numPr>
          <w:ilvl w:val="0"/>
          <w:numId w:val="0"/>
        </w:numPr>
        <w:ind w:left="567"/>
      </w:pPr>
      <w:r>
        <w:t xml:space="preserve">Offshore </w:t>
      </w:r>
      <w:r w:rsidR="007325C9">
        <w:t>good</w:t>
      </w:r>
      <w:r>
        <w:t>s and services where the ACCC has concerns are:</w:t>
      </w:r>
    </w:p>
    <w:p w:rsidR="00F02A0B" w:rsidRPr="008F137A" w:rsidRDefault="00F02A0B" w:rsidP="00F1213F">
      <w:pPr>
        <w:pStyle w:val="Numbered"/>
        <w:numPr>
          <w:ilvl w:val="1"/>
          <w:numId w:val="10"/>
        </w:numPr>
      </w:pPr>
      <w:r>
        <w:t>c</w:t>
      </w:r>
      <w:r w:rsidRPr="008F137A">
        <w:t>oring</w:t>
      </w:r>
    </w:p>
    <w:p w:rsidR="00F02A0B" w:rsidRPr="008F137A" w:rsidRDefault="00F02A0B" w:rsidP="0012089E">
      <w:pPr>
        <w:pStyle w:val="Numbered"/>
        <w:numPr>
          <w:ilvl w:val="1"/>
          <w:numId w:val="10"/>
        </w:numPr>
      </w:pPr>
      <w:r>
        <w:t>drill b</w:t>
      </w:r>
      <w:r w:rsidRPr="008F137A">
        <w:t>its – fixed</w:t>
      </w:r>
    </w:p>
    <w:p w:rsidR="00F02A0B" w:rsidRPr="008F137A" w:rsidRDefault="00F02A0B" w:rsidP="0012089E">
      <w:pPr>
        <w:pStyle w:val="Numbered"/>
        <w:numPr>
          <w:ilvl w:val="1"/>
          <w:numId w:val="10"/>
        </w:numPr>
      </w:pPr>
      <w:r>
        <w:t>d</w:t>
      </w:r>
      <w:r w:rsidRPr="008F137A">
        <w:t>rill bits – roller</w:t>
      </w:r>
    </w:p>
    <w:p w:rsidR="00F02A0B" w:rsidRPr="008F137A" w:rsidRDefault="00F02A0B" w:rsidP="0012089E">
      <w:pPr>
        <w:pStyle w:val="Numbered"/>
        <w:numPr>
          <w:ilvl w:val="1"/>
          <w:numId w:val="10"/>
        </w:numPr>
      </w:pPr>
      <w:r>
        <w:t>d</w:t>
      </w:r>
      <w:r w:rsidRPr="008F137A">
        <w:t>rilling – directional</w:t>
      </w:r>
    </w:p>
    <w:p w:rsidR="00F02A0B" w:rsidRPr="008F137A" w:rsidRDefault="00F02A0B" w:rsidP="0012089E">
      <w:pPr>
        <w:pStyle w:val="Numbered"/>
        <w:numPr>
          <w:ilvl w:val="1"/>
          <w:numId w:val="10"/>
        </w:numPr>
      </w:pPr>
      <w:r>
        <w:t>l</w:t>
      </w:r>
      <w:r w:rsidRPr="008F137A">
        <w:t>o</w:t>
      </w:r>
      <w:r>
        <w:t>gging while drilling (LWD) and m</w:t>
      </w:r>
      <w:r w:rsidRPr="008F137A">
        <w:t>easurement while drilling (MWD)</w:t>
      </w:r>
    </w:p>
    <w:p w:rsidR="00F02A0B" w:rsidRPr="008F137A" w:rsidRDefault="00F02A0B" w:rsidP="0012089E">
      <w:pPr>
        <w:pStyle w:val="Numbered"/>
        <w:numPr>
          <w:ilvl w:val="1"/>
          <w:numId w:val="10"/>
        </w:numPr>
      </w:pPr>
      <w:r>
        <w:t>c</w:t>
      </w:r>
      <w:r w:rsidRPr="008F137A">
        <w:t>ompletion fluids</w:t>
      </w:r>
    </w:p>
    <w:p w:rsidR="00F02A0B" w:rsidRPr="008F137A" w:rsidRDefault="00F02A0B" w:rsidP="0012089E">
      <w:pPr>
        <w:pStyle w:val="Numbered"/>
        <w:numPr>
          <w:ilvl w:val="1"/>
          <w:numId w:val="10"/>
        </w:numPr>
      </w:pPr>
      <w:r>
        <w:t>d</w:t>
      </w:r>
      <w:r w:rsidRPr="008F137A">
        <w:t>rilling fluids</w:t>
      </w:r>
    </w:p>
    <w:p w:rsidR="00F02A0B" w:rsidRPr="008F137A" w:rsidRDefault="00F02A0B" w:rsidP="0012089E">
      <w:pPr>
        <w:pStyle w:val="Numbered"/>
        <w:numPr>
          <w:ilvl w:val="1"/>
          <w:numId w:val="10"/>
        </w:numPr>
      </w:pPr>
      <w:r>
        <w:t>s</w:t>
      </w:r>
      <w:r w:rsidRPr="008F137A">
        <w:t>oftware</w:t>
      </w:r>
    </w:p>
    <w:p w:rsidR="00F02A0B" w:rsidRPr="008F137A" w:rsidRDefault="00F02A0B" w:rsidP="0012089E">
      <w:pPr>
        <w:pStyle w:val="Numbered"/>
        <w:numPr>
          <w:ilvl w:val="1"/>
          <w:numId w:val="10"/>
        </w:numPr>
      </w:pPr>
      <w:r>
        <w:t>s</w:t>
      </w:r>
      <w:r w:rsidRPr="008F137A">
        <w:t>urface data logging</w:t>
      </w:r>
    </w:p>
    <w:p w:rsidR="00F02A0B" w:rsidRPr="008F137A" w:rsidRDefault="00F02A0B" w:rsidP="0012089E">
      <w:pPr>
        <w:pStyle w:val="Numbered"/>
        <w:numPr>
          <w:ilvl w:val="1"/>
          <w:numId w:val="10"/>
        </w:numPr>
      </w:pPr>
      <w:r>
        <w:t>w</w:t>
      </w:r>
      <w:r w:rsidRPr="008F137A">
        <w:t>ireline – cased hole</w:t>
      </w:r>
    </w:p>
    <w:p w:rsidR="00F02A0B" w:rsidRPr="008F137A" w:rsidRDefault="00F02A0B" w:rsidP="0012089E">
      <w:pPr>
        <w:pStyle w:val="Numbered"/>
        <w:numPr>
          <w:ilvl w:val="1"/>
          <w:numId w:val="10"/>
        </w:numPr>
      </w:pPr>
      <w:r>
        <w:t>w</w:t>
      </w:r>
      <w:r w:rsidRPr="008F137A">
        <w:t>ireline – open hole</w:t>
      </w:r>
    </w:p>
    <w:p w:rsidR="00F02A0B" w:rsidRPr="008F137A" w:rsidRDefault="00F02A0B" w:rsidP="0012089E">
      <w:pPr>
        <w:pStyle w:val="Numbered"/>
        <w:numPr>
          <w:ilvl w:val="1"/>
          <w:numId w:val="10"/>
        </w:numPr>
      </w:pPr>
      <w:r>
        <w:t>c</w:t>
      </w:r>
      <w:r w:rsidRPr="008F137A">
        <w:t>ementing</w:t>
      </w:r>
    </w:p>
    <w:p w:rsidR="00F02A0B" w:rsidRPr="008F137A" w:rsidRDefault="00F02A0B" w:rsidP="0012089E">
      <w:pPr>
        <w:pStyle w:val="Numbered"/>
        <w:numPr>
          <w:ilvl w:val="1"/>
          <w:numId w:val="10"/>
        </w:numPr>
      </w:pPr>
      <w:r>
        <w:t>c</w:t>
      </w:r>
      <w:r w:rsidRPr="008F137A">
        <w:t xml:space="preserve">oiled tubing </w:t>
      </w:r>
    </w:p>
    <w:p w:rsidR="00F02A0B" w:rsidRPr="008F137A" w:rsidRDefault="00F02A0B" w:rsidP="0012089E">
      <w:pPr>
        <w:pStyle w:val="Numbered"/>
        <w:numPr>
          <w:ilvl w:val="1"/>
          <w:numId w:val="10"/>
        </w:numPr>
      </w:pPr>
      <w:r>
        <w:t>c</w:t>
      </w:r>
      <w:r w:rsidRPr="008F137A">
        <w:t>ompletions – well construction</w:t>
      </w:r>
    </w:p>
    <w:p w:rsidR="00F02A0B" w:rsidRPr="008F137A" w:rsidRDefault="00F02A0B" w:rsidP="0012089E">
      <w:pPr>
        <w:pStyle w:val="Numbered"/>
        <w:numPr>
          <w:ilvl w:val="1"/>
          <w:numId w:val="10"/>
        </w:numPr>
      </w:pPr>
      <w:r>
        <w:t>c</w:t>
      </w:r>
      <w:r w:rsidRPr="008F137A">
        <w:t>ompletions</w:t>
      </w:r>
      <w:r w:rsidR="00A3396C">
        <w:t xml:space="preserve"> –</w:t>
      </w:r>
      <w:r w:rsidRPr="008F137A">
        <w:t xml:space="preserve"> core</w:t>
      </w:r>
      <w:r w:rsidR="00A3396C">
        <w:t xml:space="preserve"> </w:t>
      </w:r>
      <w:r w:rsidRPr="008F137A">
        <w:t>completions</w:t>
      </w:r>
    </w:p>
    <w:p w:rsidR="00F02A0B" w:rsidRPr="008F137A" w:rsidRDefault="00F02A0B" w:rsidP="0012089E">
      <w:pPr>
        <w:pStyle w:val="Numbered"/>
        <w:numPr>
          <w:ilvl w:val="1"/>
          <w:numId w:val="10"/>
        </w:numPr>
      </w:pPr>
      <w:r>
        <w:t>completions – well</w:t>
      </w:r>
      <w:r w:rsidRPr="008F137A">
        <w:t>bore intervention</w:t>
      </w:r>
    </w:p>
    <w:p w:rsidR="00F02A0B" w:rsidRPr="00C01999" w:rsidRDefault="00A3396C" w:rsidP="0012089E">
      <w:pPr>
        <w:pStyle w:val="Annexureheading"/>
        <w:ind w:firstLine="0"/>
      </w:pPr>
      <w:r>
        <w:br w:type="page"/>
      </w:r>
      <w:r w:rsidR="00782229" w:rsidRPr="00C01999">
        <w:lastRenderedPageBreak/>
        <w:t>ANNEXURE 2</w:t>
      </w:r>
    </w:p>
    <w:p w:rsidR="00C01999" w:rsidRDefault="00C01999" w:rsidP="0012089E">
      <w:pPr>
        <w:pStyle w:val="Numbered"/>
        <w:numPr>
          <w:ilvl w:val="0"/>
          <w:numId w:val="0"/>
        </w:numPr>
      </w:pPr>
    </w:p>
    <w:p w:rsidR="00A3396C" w:rsidRDefault="00C01999" w:rsidP="0012089E">
      <w:pPr>
        <w:pStyle w:val="Numbered"/>
        <w:numPr>
          <w:ilvl w:val="0"/>
          <w:numId w:val="0"/>
        </w:numPr>
      </w:pPr>
      <w:r>
        <w:t xml:space="preserve">Onshore </w:t>
      </w:r>
      <w:r w:rsidR="007325C9">
        <w:t>good</w:t>
      </w:r>
      <w:r>
        <w:t xml:space="preserve">s and services where the ACCC has concerns are: </w:t>
      </w:r>
    </w:p>
    <w:p w:rsidR="00A3396C" w:rsidRPr="008F137A" w:rsidRDefault="00A3396C" w:rsidP="0012089E">
      <w:pPr>
        <w:pStyle w:val="Numbered"/>
        <w:numPr>
          <w:ilvl w:val="0"/>
          <w:numId w:val="26"/>
        </w:numPr>
      </w:pPr>
      <w:r>
        <w:t>d</w:t>
      </w:r>
      <w:r w:rsidRPr="008F137A">
        <w:t>rilling – directional</w:t>
      </w:r>
    </w:p>
    <w:p w:rsidR="00A3396C" w:rsidRPr="008F137A" w:rsidRDefault="00A3396C" w:rsidP="0012089E">
      <w:pPr>
        <w:pStyle w:val="Numbered"/>
        <w:numPr>
          <w:ilvl w:val="0"/>
          <w:numId w:val="26"/>
        </w:numPr>
      </w:pPr>
      <w:r>
        <w:t>s</w:t>
      </w:r>
      <w:r w:rsidRPr="008F137A">
        <w:t>urface data logging</w:t>
      </w:r>
    </w:p>
    <w:p w:rsidR="00A3396C" w:rsidRPr="008F137A" w:rsidRDefault="00A3396C" w:rsidP="0012089E">
      <w:pPr>
        <w:pStyle w:val="Numbered"/>
        <w:numPr>
          <w:ilvl w:val="0"/>
          <w:numId w:val="26"/>
        </w:numPr>
      </w:pPr>
      <w:r>
        <w:t>w</w:t>
      </w:r>
      <w:r w:rsidRPr="008F137A">
        <w:t>ireline – open hole</w:t>
      </w:r>
    </w:p>
    <w:p w:rsidR="00A3396C" w:rsidRPr="008F137A" w:rsidRDefault="00A3396C" w:rsidP="0012089E">
      <w:pPr>
        <w:pStyle w:val="Numbered"/>
        <w:numPr>
          <w:ilvl w:val="0"/>
          <w:numId w:val="26"/>
        </w:numPr>
      </w:pPr>
      <w:r>
        <w:t>c</w:t>
      </w:r>
      <w:r w:rsidRPr="008F137A">
        <w:t>ementing</w:t>
      </w:r>
    </w:p>
    <w:p w:rsidR="00A3396C" w:rsidRPr="008F137A" w:rsidRDefault="00A3396C" w:rsidP="0012089E">
      <w:pPr>
        <w:pStyle w:val="Numbered"/>
        <w:numPr>
          <w:ilvl w:val="0"/>
          <w:numId w:val="26"/>
        </w:numPr>
      </w:pPr>
      <w:r>
        <w:t>h</w:t>
      </w:r>
      <w:r w:rsidRPr="008F137A">
        <w:t xml:space="preserve">ydraulic fracturing and acidizing </w:t>
      </w:r>
    </w:p>
    <w:p w:rsidR="00A3396C" w:rsidRPr="008F137A" w:rsidRDefault="00A3396C" w:rsidP="0012089E">
      <w:pPr>
        <w:pStyle w:val="Numbered"/>
        <w:numPr>
          <w:ilvl w:val="0"/>
          <w:numId w:val="26"/>
        </w:numPr>
      </w:pPr>
      <w:r>
        <w:t>c</w:t>
      </w:r>
      <w:r w:rsidRPr="008F137A">
        <w:t>ompletions</w:t>
      </w:r>
      <w:r>
        <w:t xml:space="preserve"> –</w:t>
      </w:r>
      <w:r w:rsidRPr="008F137A">
        <w:t xml:space="preserve"> core</w:t>
      </w:r>
      <w:r>
        <w:t xml:space="preserve"> </w:t>
      </w:r>
      <w:r w:rsidRPr="008F137A">
        <w:t>completions</w:t>
      </w:r>
    </w:p>
    <w:p w:rsidR="00A3396C" w:rsidRDefault="00A3396C" w:rsidP="0012089E">
      <w:pPr>
        <w:pStyle w:val="Numbered"/>
        <w:numPr>
          <w:ilvl w:val="0"/>
          <w:numId w:val="26"/>
        </w:numPr>
      </w:pPr>
      <w:r>
        <w:t>completions – well</w:t>
      </w:r>
      <w:r w:rsidRPr="008F137A">
        <w:t>bore intervention</w:t>
      </w:r>
    </w:p>
    <w:p w:rsidR="00F02A0B" w:rsidRDefault="00F02A0B" w:rsidP="0012089E">
      <w:pPr>
        <w:pStyle w:val="NormalParagraph"/>
        <w:numPr>
          <w:ilvl w:val="0"/>
          <w:numId w:val="0"/>
        </w:numPr>
      </w:pPr>
    </w:p>
    <w:p w:rsidR="00F02A0B" w:rsidRDefault="00F02A0B" w:rsidP="0012089E">
      <w:pPr>
        <w:pStyle w:val="NormalParagraph"/>
        <w:numPr>
          <w:ilvl w:val="0"/>
          <w:numId w:val="0"/>
        </w:numPr>
        <w:ind w:left="567"/>
      </w:pPr>
    </w:p>
    <w:p w:rsidR="00F02A0B" w:rsidRDefault="00F02A0B" w:rsidP="0012089E">
      <w:pPr>
        <w:pStyle w:val="NormalParagraph"/>
        <w:numPr>
          <w:ilvl w:val="0"/>
          <w:numId w:val="0"/>
        </w:numPr>
        <w:ind w:left="567"/>
      </w:pPr>
    </w:p>
    <w:p w:rsidR="00F02A0B" w:rsidRDefault="00F02A0B" w:rsidP="0012089E">
      <w:pPr>
        <w:pStyle w:val="NormalParagraph"/>
        <w:numPr>
          <w:ilvl w:val="0"/>
          <w:numId w:val="0"/>
        </w:numPr>
        <w:ind w:left="567"/>
        <w:sectPr w:rsidR="00F02A0B">
          <w:headerReference w:type="first" r:id="rId18"/>
          <w:pgSz w:w="11906" w:h="16838" w:code="9"/>
          <w:pgMar w:top="1440" w:right="1729" w:bottom="1582" w:left="1729" w:header="709" w:footer="1009" w:gutter="0"/>
          <w:cols w:space="708"/>
          <w:titlePg/>
          <w:docGrid w:linePitch="360"/>
        </w:sectPr>
      </w:pPr>
    </w:p>
    <w:p w:rsidR="00A32DC0" w:rsidRPr="00E4500A" w:rsidRDefault="00BA4035" w:rsidP="0012089E">
      <w:pPr>
        <w:pStyle w:val="NormalParagraph"/>
        <w:numPr>
          <w:ilvl w:val="0"/>
          <w:numId w:val="0"/>
        </w:numPr>
        <w:ind w:left="567"/>
      </w:pPr>
      <w:r w:rsidRPr="00E4500A">
        <w:lastRenderedPageBreak/>
        <w:t>ANNEXURE</w:t>
      </w:r>
      <w:r w:rsidR="00F02A0B" w:rsidRPr="00E4500A">
        <w:t xml:space="preserve"> </w:t>
      </w:r>
      <w:r w:rsidR="0027462F" w:rsidRPr="00E4500A">
        <w:t>3</w:t>
      </w:r>
      <w:r w:rsidRPr="00E4500A">
        <w:tab/>
        <w:t xml:space="preserve"> </w:t>
      </w:r>
    </w:p>
    <w:p w:rsidR="00C01999" w:rsidRDefault="00C01999" w:rsidP="0012089E">
      <w:pPr>
        <w:pStyle w:val="NormalParagraph"/>
        <w:numPr>
          <w:ilvl w:val="0"/>
          <w:numId w:val="0"/>
        </w:numPr>
        <w:ind w:left="567"/>
      </w:pPr>
    </w:p>
    <w:p w:rsidR="00C01999" w:rsidRDefault="000A41BF" w:rsidP="0012089E">
      <w:pPr>
        <w:pStyle w:val="NormalParagraph"/>
        <w:numPr>
          <w:ilvl w:val="0"/>
          <w:numId w:val="0"/>
        </w:numPr>
        <w:ind w:left="567"/>
      </w:pPr>
      <w:r>
        <w:t xml:space="preserve">The table below outlines the </w:t>
      </w:r>
      <w:proofErr w:type="gramStart"/>
      <w:r>
        <w:t>ACCC’s understanding</w:t>
      </w:r>
      <w:proofErr w:type="gramEnd"/>
      <w:r>
        <w:t xml:space="preserve"> of the suppliers offering each </w:t>
      </w:r>
      <w:proofErr w:type="spellStart"/>
      <w:r w:rsidR="007325C9">
        <w:t>good</w:t>
      </w:r>
      <w:r>
        <w:t>or</w:t>
      </w:r>
      <w:proofErr w:type="spellEnd"/>
      <w:r>
        <w:t xml:space="preserve"> service to onshore</w:t>
      </w:r>
      <w:r w:rsidR="00C01999">
        <w:t xml:space="preserve"> and offshore drilling projects.</w:t>
      </w:r>
    </w:p>
    <w:p w:rsidR="00C01999" w:rsidRDefault="00C01999" w:rsidP="0012089E">
      <w:pPr>
        <w:pStyle w:val="NormalParagraph"/>
        <w:numPr>
          <w:ilvl w:val="0"/>
          <w:numId w:val="0"/>
        </w:numPr>
        <w:ind w:left="567"/>
      </w:pPr>
      <w:r>
        <w:t xml:space="preserve"> </w:t>
      </w:r>
    </w:p>
    <w:p w:rsidR="00F92D27" w:rsidRPr="00BA4035" w:rsidRDefault="00C01999" w:rsidP="00E4500A">
      <w:pPr>
        <w:pStyle w:val="Caption"/>
      </w:pPr>
      <w:r>
        <w:t xml:space="preserve">Table </w:t>
      </w:r>
      <w:r w:rsidR="00D42E5A">
        <w:fldChar w:fldCharType="begin"/>
      </w:r>
      <w:r w:rsidR="00D42E5A">
        <w:instrText xml:space="preserve"> SEQ Table \* ARABIC </w:instrText>
      </w:r>
      <w:r w:rsidR="00D42E5A">
        <w:fldChar w:fldCharType="separate"/>
      </w:r>
      <w:r w:rsidR="00D42E5A">
        <w:rPr>
          <w:noProof/>
        </w:rPr>
        <w:t>2</w:t>
      </w:r>
      <w:r w:rsidR="00D42E5A">
        <w:rPr>
          <w:noProof/>
        </w:rPr>
        <w:fldChar w:fldCharType="end"/>
      </w:r>
      <w:r>
        <w:t>:</w:t>
      </w:r>
      <w:r>
        <w:tab/>
        <w:t>Oilfield services providers in Australia</w:t>
      </w:r>
      <w:r w:rsidR="000A41BF">
        <w:t xml:space="preserve"> </w:t>
      </w:r>
    </w:p>
    <w:tbl>
      <w:tblPr>
        <w:tblW w:w="13840" w:type="dxa"/>
        <w:tblInd w:w="93" w:type="dxa"/>
        <w:tblLook w:val="04A0" w:firstRow="1" w:lastRow="0" w:firstColumn="1" w:lastColumn="0" w:noHBand="0" w:noVBand="1"/>
      </w:tblPr>
      <w:tblGrid>
        <w:gridCol w:w="2425"/>
        <w:gridCol w:w="2976"/>
        <w:gridCol w:w="1560"/>
        <w:gridCol w:w="1208"/>
        <w:gridCol w:w="5671"/>
      </w:tblGrid>
      <w:tr w:rsidR="00BA4035" w:rsidRPr="00D621BB" w:rsidTr="00DF02AA">
        <w:trPr>
          <w:cantSplit/>
          <w:trHeight w:val="300"/>
          <w:tblHeader/>
        </w:trPr>
        <w:tc>
          <w:tcPr>
            <w:tcW w:w="2425" w:type="dxa"/>
            <w:tcBorders>
              <w:top w:val="single" w:sz="18" w:space="0" w:color="auto"/>
              <w:left w:val="single" w:sz="12" w:space="0" w:color="auto"/>
              <w:bottom w:val="single" w:sz="18" w:space="0" w:color="auto"/>
              <w:right w:val="single" w:sz="18" w:space="0" w:color="auto"/>
            </w:tcBorders>
            <w:shd w:val="clear" w:color="auto" w:fill="000000"/>
            <w:noWrap/>
            <w:hideMark/>
          </w:tcPr>
          <w:p w:rsidR="00BA4035" w:rsidRPr="00A87FDE" w:rsidRDefault="00BA4035" w:rsidP="00DF02AA">
            <w:pPr>
              <w:rPr>
                <w:rFonts w:ascii="Arial" w:hAnsi="Arial" w:cs="Arial"/>
                <w:b/>
                <w:bCs/>
                <w:color w:val="FFFFFF"/>
                <w:sz w:val="20"/>
                <w:szCs w:val="20"/>
                <w:lang w:eastAsia="en-AU"/>
              </w:rPr>
            </w:pPr>
            <w:r w:rsidRPr="00A87FDE">
              <w:rPr>
                <w:rFonts w:ascii="Arial" w:hAnsi="Arial" w:cs="Arial"/>
                <w:b/>
                <w:bCs/>
                <w:color w:val="FFFFFF"/>
                <w:sz w:val="20"/>
                <w:szCs w:val="20"/>
                <w:lang w:eastAsia="en-AU"/>
              </w:rPr>
              <w:t>Product  /  service line</w:t>
            </w:r>
          </w:p>
        </w:tc>
        <w:tc>
          <w:tcPr>
            <w:tcW w:w="2976" w:type="dxa"/>
            <w:tcBorders>
              <w:top w:val="single" w:sz="18" w:space="0" w:color="auto"/>
              <w:left w:val="single" w:sz="18" w:space="0" w:color="auto"/>
              <w:bottom w:val="single" w:sz="18" w:space="0" w:color="auto"/>
              <w:right w:val="single" w:sz="18" w:space="0" w:color="auto"/>
            </w:tcBorders>
            <w:shd w:val="clear" w:color="auto" w:fill="000000"/>
            <w:noWrap/>
            <w:hideMark/>
          </w:tcPr>
          <w:p w:rsidR="00BA4035" w:rsidRPr="00A87FDE" w:rsidRDefault="00BA4035" w:rsidP="00DF02AA">
            <w:pPr>
              <w:rPr>
                <w:rFonts w:ascii="Arial" w:hAnsi="Arial" w:cs="Arial"/>
                <w:b/>
                <w:bCs/>
                <w:color w:val="FFFFFF"/>
                <w:sz w:val="20"/>
                <w:szCs w:val="20"/>
                <w:lang w:eastAsia="en-AU"/>
              </w:rPr>
            </w:pPr>
            <w:r w:rsidRPr="00A87FDE">
              <w:rPr>
                <w:rFonts w:ascii="Arial" w:hAnsi="Arial" w:cs="Arial"/>
                <w:b/>
                <w:bCs/>
                <w:color w:val="FFFFFF"/>
                <w:sz w:val="20"/>
                <w:szCs w:val="20"/>
                <w:lang w:eastAsia="en-AU"/>
              </w:rPr>
              <w:t>Supplier</w:t>
            </w:r>
          </w:p>
        </w:tc>
        <w:tc>
          <w:tcPr>
            <w:tcW w:w="1560" w:type="dxa"/>
            <w:tcBorders>
              <w:top w:val="single" w:sz="18" w:space="0" w:color="auto"/>
              <w:left w:val="single" w:sz="18" w:space="0" w:color="auto"/>
              <w:bottom w:val="single" w:sz="18" w:space="0" w:color="auto"/>
              <w:right w:val="single" w:sz="18" w:space="0" w:color="auto"/>
            </w:tcBorders>
            <w:shd w:val="clear" w:color="auto" w:fill="000000"/>
          </w:tcPr>
          <w:p w:rsidR="00BA4035" w:rsidRPr="00A87FDE" w:rsidRDefault="00BA4035" w:rsidP="00DF02AA">
            <w:pPr>
              <w:rPr>
                <w:rFonts w:ascii="Arial" w:hAnsi="Arial" w:cs="Arial"/>
                <w:b/>
                <w:bCs/>
                <w:color w:val="FFFFFF"/>
                <w:sz w:val="20"/>
                <w:szCs w:val="20"/>
                <w:lang w:eastAsia="en-AU"/>
              </w:rPr>
            </w:pPr>
            <w:r>
              <w:rPr>
                <w:rFonts w:ascii="Arial" w:hAnsi="Arial" w:cs="Arial"/>
                <w:b/>
                <w:bCs/>
                <w:color w:val="FFFFFF"/>
                <w:sz w:val="20"/>
                <w:szCs w:val="20"/>
                <w:lang w:eastAsia="en-AU"/>
              </w:rPr>
              <w:t>Onshore</w:t>
            </w:r>
          </w:p>
        </w:tc>
        <w:tc>
          <w:tcPr>
            <w:tcW w:w="1208" w:type="dxa"/>
            <w:tcBorders>
              <w:top w:val="single" w:sz="18" w:space="0" w:color="auto"/>
              <w:left w:val="single" w:sz="18" w:space="0" w:color="auto"/>
              <w:bottom w:val="single" w:sz="18" w:space="0" w:color="auto"/>
              <w:right w:val="single" w:sz="18" w:space="0" w:color="auto"/>
            </w:tcBorders>
            <w:shd w:val="clear" w:color="auto" w:fill="000000"/>
          </w:tcPr>
          <w:p w:rsidR="00BA4035" w:rsidRPr="00A87FDE" w:rsidRDefault="00BA4035" w:rsidP="00DF02AA">
            <w:pPr>
              <w:rPr>
                <w:rFonts w:ascii="Arial" w:hAnsi="Arial" w:cs="Arial"/>
                <w:b/>
                <w:bCs/>
                <w:color w:val="FFFFFF"/>
                <w:sz w:val="20"/>
                <w:szCs w:val="20"/>
                <w:lang w:eastAsia="en-AU"/>
              </w:rPr>
            </w:pPr>
            <w:r>
              <w:rPr>
                <w:rFonts w:ascii="Arial" w:hAnsi="Arial" w:cs="Arial"/>
                <w:b/>
                <w:bCs/>
                <w:color w:val="FFFFFF"/>
                <w:sz w:val="20"/>
                <w:szCs w:val="20"/>
                <w:lang w:eastAsia="en-AU"/>
              </w:rPr>
              <w:t>Offshore</w:t>
            </w:r>
          </w:p>
        </w:tc>
        <w:tc>
          <w:tcPr>
            <w:tcW w:w="5671" w:type="dxa"/>
            <w:tcBorders>
              <w:top w:val="single" w:sz="18" w:space="0" w:color="auto"/>
              <w:left w:val="single" w:sz="18" w:space="0" w:color="auto"/>
              <w:bottom w:val="single" w:sz="18" w:space="0" w:color="auto"/>
              <w:right w:val="single" w:sz="18" w:space="0" w:color="auto"/>
            </w:tcBorders>
            <w:shd w:val="clear" w:color="auto" w:fill="000000"/>
            <w:noWrap/>
            <w:hideMark/>
          </w:tcPr>
          <w:p w:rsidR="00BA4035" w:rsidRPr="00A87FDE" w:rsidRDefault="00BA4035" w:rsidP="00DF02AA">
            <w:pPr>
              <w:rPr>
                <w:rFonts w:ascii="Arial" w:hAnsi="Arial" w:cs="Arial"/>
                <w:b/>
                <w:bCs/>
                <w:color w:val="FFFFFF"/>
                <w:sz w:val="20"/>
                <w:szCs w:val="20"/>
                <w:lang w:eastAsia="en-AU"/>
              </w:rPr>
            </w:pPr>
            <w:r w:rsidRPr="00A87FDE">
              <w:rPr>
                <w:rFonts w:ascii="Arial" w:hAnsi="Arial" w:cs="Arial"/>
                <w:b/>
                <w:bCs/>
                <w:color w:val="FFFFFF"/>
                <w:sz w:val="20"/>
                <w:szCs w:val="20"/>
                <w:lang w:eastAsia="en-AU"/>
              </w:rPr>
              <w:t xml:space="preserve">ACCC comments </w:t>
            </w:r>
          </w:p>
        </w:tc>
      </w:tr>
      <w:tr w:rsidR="00BA4035" w:rsidRPr="00D621BB" w:rsidTr="00DF02AA">
        <w:trPr>
          <w:cantSplit/>
          <w:trHeight w:val="300"/>
        </w:trPr>
        <w:tc>
          <w:tcPr>
            <w:tcW w:w="2425" w:type="dxa"/>
            <w:vMerge w:val="restart"/>
            <w:tcBorders>
              <w:top w:val="single" w:sz="18" w:space="0" w:color="auto"/>
              <w:left w:val="single" w:sz="18" w:space="0" w:color="auto"/>
              <w:right w:val="single" w:sz="18" w:space="0" w:color="auto"/>
            </w:tcBorders>
            <w:shd w:val="clear" w:color="auto" w:fill="auto"/>
            <w:noWrap/>
          </w:tcPr>
          <w:p w:rsidR="00BA4035" w:rsidRDefault="00BA4035" w:rsidP="00DF02AA">
            <w:pPr>
              <w:rPr>
                <w:rFonts w:ascii="Arial" w:hAnsi="Arial" w:cs="Arial"/>
                <w:color w:val="000000"/>
                <w:sz w:val="20"/>
                <w:szCs w:val="20"/>
                <w:lang w:eastAsia="en-AU"/>
              </w:rPr>
            </w:pPr>
            <w:r>
              <w:rPr>
                <w:rFonts w:ascii="Arial" w:hAnsi="Arial" w:cs="Arial"/>
                <w:color w:val="000000"/>
                <w:sz w:val="20"/>
                <w:szCs w:val="20"/>
                <w:lang w:eastAsia="en-AU"/>
              </w:rPr>
              <w:t>Directional drilling</w:t>
            </w:r>
          </w:p>
        </w:tc>
        <w:tc>
          <w:tcPr>
            <w:tcW w:w="2976" w:type="dxa"/>
            <w:tcBorders>
              <w:top w:val="single" w:sz="18" w:space="0" w:color="auto"/>
              <w:left w:val="single" w:sz="18" w:space="0" w:color="auto"/>
              <w:bottom w:val="single" w:sz="8" w:space="0" w:color="auto"/>
              <w:right w:val="single" w:sz="18" w:space="0" w:color="auto"/>
            </w:tcBorders>
            <w:shd w:val="clear" w:color="auto" w:fill="auto"/>
            <w:noWrap/>
          </w:tcPr>
          <w:p w:rsidR="00BA4035" w:rsidRPr="00D621BB" w:rsidRDefault="00BA4035" w:rsidP="00DF02AA">
            <w:pPr>
              <w:rPr>
                <w:rFonts w:ascii="Arial" w:eastAsia="Arial" w:hAnsi="Arial" w:cs="Arial"/>
                <w:color w:val="000000"/>
                <w:sz w:val="20"/>
                <w:szCs w:val="20"/>
                <w:lang w:eastAsia="en-AU"/>
              </w:rPr>
            </w:pPr>
            <w:r>
              <w:rPr>
                <w:rFonts w:ascii="Arial" w:eastAsia="Arial" w:hAnsi="Arial" w:cs="Arial"/>
                <w:color w:val="000000"/>
                <w:sz w:val="20"/>
                <w:szCs w:val="20"/>
                <w:lang w:eastAsia="en-AU"/>
              </w:rPr>
              <w:t xml:space="preserve">Halliburton </w:t>
            </w:r>
          </w:p>
        </w:tc>
        <w:tc>
          <w:tcPr>
            <w:tcW w:w="1560" w:type="dxa"/>
            <w:tcBorders>
              <w:top w:val="single" w:sz="18" w:space="0" w:color="auto"/>
              <w:left w:val="single" w:sz="18" w:space="0" w:color="auto"/>
              <w:bottom w:val="single" w:sz="8" w:space="0" w:color="auto"/>
              <w:right w:val="single" w:sz="18" w:space="0" w:color="auto"/>
            </w:tcBorders>
          </w:tcPr>
          <w:p w:rsidR="00BA4035" w:rsidRPr="00D621BB" w:rsidRDefault="00BA4035" w:rsidP="00DF02AA">
            <w:pPr>
              <w:rPr>
                <w:rFonts w:ascii="Arial" w:hAnsi="Arial" w:cs="Arial"/>
                <w:color w:val="000000"/>
                <w:sz w:val="20"/>
                <w:szCs w:val="20"/>
                <w:lang w:eastAsia="en-AU"/>
              </w:rPr>
            </w:pPr>
            <w:r>
              <w:rPr>
                <w:rFonts w:ascii="Arial" w:hAnsi="Arial" w:cs="Arial"/>
                <w:color w:val="000000"/>
                <w:sz w:val="20"/>
                <w:szCs w:val="20"/>
                <w:lang w:eastAsia="en-AU"/>
              </w:rPr>
              <w:t>Yes</w:t>
            </w:r>
          </w:p>
        </w:tc>
        <w:tc>
          <w:tcPr>
            <w:tcW w:w="1208" w:type="dxa"/>
            <w:tcBorders>
              <w:top w:val="single" w:sz="18" w:space="0" w:color="auto"/>
              <w:left w:val="single" w:sz="18" w:space="0" w:color="auto"/>
              <w:bottom w:val="single" w:sz="8" w:space="0" w:color="auto"/>
              <w:right w:val="single" w:sz="18" w:space="0" w:color="auto"/>
            </w:tcBorders>
          </w:tcPr>
          <w:p w:rsidR="00BA4035" w:rsidRPr="00D621BB" w:rsidRDefault="00BA4035" w:rsidP="00DF02AA">
            <w:pPr>
              <w:rPr>
                <w:rFonts w:ascii="Arial" w:hAnsi="Arial" w:cs="Arial"/>
                <w:color w:val="000000"/>
                <w:sz w:val="20"/>
                <w:szCs w:val="20"/>
                <w:lang w:eastAsia="en-AU"/>
              </w:rPr>
            </w:pPr>
            <w:r>
              <w:rPr>
                <w:rFonts w:ascii="Arial" w:hAnsi="Arial" w:cs="Arial"/>
                <w:color w:val="000000"/>
                <w:sz w:val="20"/>
                <w:szCs w:val="20"/>
                <w:lang w:eastAsia="en-AU"/>
              </w:rPr>
              <w:t>Yes</w:t>
            </w:r>
          </w:p>
        </w:tc>
        <w:tc>
          <w:tcPr>
            <w:tcW w:w="5671" w:type="dxa"/>
            <w:tcBorders>
              <w:top w:val="single" w:sz="18" w:space="0" w:color="auto"/>
              <w:left w:val="single" w:sz="18" w:space="0" w:color="auto"/>
              <w:bottom w:val="single" w:sz="8" w:space="0" w:color="auto"/>
              <w:right w:val="single" w:sz="18" w:space="0" w:color="auto"/>
            </w:tcBorders>
            <w:shd w:val="clear" w:color="auto" w:fill="auto"/>
            <w:noWrap/>
          </w:tcPr>
          <w:p w:rsidR="00BA4035" w:rsidRPr="00D621BB" w:rsidRDefault="00BA4035" w:rsidP="00DF02AA">
            <w:pPr>
              <w:rPr>
                <w:rFonts w:ascii="Arial" w:hAnsi="Arial" w:cs="Arial"/>
                <w:color w:val="000000"/>
                <w:sz w:val="20"/>
                <w:szCs w:val="20"/>
                <w:lang w:eastAsia="en-AU"/>
              </w:rPr>
            </w:pPr>
            <w:r>
              <w:rPr>
                <w:rFonts w:ascii="Arial" w:hAnsi="Arial" w:cs="Arial"/>
                <w:color w:val="000000"/>
                <w:sz w:val="20"/>
                <w:szCs w:val="20"/>
                <w:lang w:eastAsia="en-AU"/>
              </w:rPr>
              <w:t xml:space="preserve">  </w:t>
            </w:r>
          </w:p>
        </w:tc>
      </w:tr>
      <w:tr w:rsidR="00BA4035" w:rsidRPr="00D621BB" w:rsidTr="00DF02AA">
        <w:trPr>
          <w:cantSplit/>
          <w:trHeight w:val="300"/>
        </w:trPr>
        <w:tc>
          <w:tcPr>
            <w:tcW w:w="2425" w:type="dxa"/>
            <w:vMerge/>
            <w:tcBorders>
              <w:left w:val="single" w:sz="18" w:space="0" w:color="auto"/>
              <w:right w:val="single" w:sz="18" w:space="0" w:color="auto"/>
            </w:tcBorders>
            <w:shd w:val="clear" w:color="auto" w:fill="auto"/>
            <w:noWrap/>
          </w:tcPr>
          <w:p w:rsidR="00BA4035" w:rsidRDefault="00BA4035" w:rsidP="00DF02AA">
            <w:pPr>
              <w:rPr>
                <w:rFonts w:ascii="Arial" w:hAnsi="Arial" w:cs="Arial"/>
                <w:color w:val="000000"/>
                <w:sz w:val="20"/>
                <w:szCs w:val="20"/>
                <w:lang w:eastAsia="en-AU"/>
              </w:rPr>
            </w:pPr>
          </w:p>
        </w:tc>
        <w:tc>
          <w:tcPr>
            <w:tcW w:w="2976" w:type="dxa"/>
            <w:tcBorders>
              <w:top w:val="single" w:sz="8" w:space="0" w:color="auto"/>
              <w:left w:val="single" w:sz="18" w:space="0" w:color="auto"/>
              <w:bottom w:val="single" w:sz="8" w:space="0" w:color="auto"/>
              <w:right w:val="single" w:sz="18" w:space="0" w:color="auto"/>
            </w:tcBorders>
            <w:shd w:val="clear" w:color="auto" w:fill="auto"/>
            <w:noWrap/>
          </w:tcPr>
          <w:p w:rsidR="00BA4035" w:rsidRPr="00D621BB" w:rsidRDefault="00BA4035" w:rsidP="00DF02AA">
            <w:pPr>
              <w:rPr>
                <w:rFonts w:ascii="Arial" w:eastAsia="Arial" w:hAnsi="Arial" w:cs="Arial"/>
                <w:color w:val="000000"/>
                <w:sz w:val="20"/>
                <w:szCs w:val="20"/>
                <w:lang w:eastAsia="en-AU"/>
              </w:rPr>
            </w:pPr>
            <w:r>
              <w:rPr>
                <w:rFonts w:ascii="Arial" w:eastAsia="Arial" w:hAnsi="Arial" w:cs="Arial"/>
                <w:color w:val="000000"/>
                <w:sz w:val="20"/>
                <w:szCs w:val="20"/>
                <w:lang w:eastAsia="en-AU"/>
              </w:rPr>
              <w:t>Baker Hughes</w:t>
            </w:r>
          </w:p>
        </w:tc>
        <w:tc>
          <w:tcPr>
            <w:tcW w:w="1560" w:type="dxa"/>
            <w:tcBorders>
              <w:top w:val="single" w:sz="8" w:space="0" w:color="auto"/>
              <w:left w:val="single" w:sz="18" w:space="0" w:color="auto"/>
              <w:bottom w:val="single" w:sz="8" w:space="0" w:color="auto"/>
              <w:right w:val="single" w:sz="18" w:space="0" w:color="auto"/>
            </w:tcBorders>
          </w:tcPr>
          <w:p w:rsidR="00BA4035" w:rsidRPr="00D621BB" w:rsidRDefault="00BA4035" w:rsidP="00DF02AA">
            <w:pPr>
              <w:rPr>
                <w:rFonts w:ascii="Arial" w:hAnsi="Arial" w:cs="Arial"/>
                <w:color w:val="000000"/>
                <w:sz w:val="20"/>
                <w:szCs w:val="20"/>
                <w:lang w:eastAsia="en-AU"/>
              </w:rPr>
            </w:pPr>
            <w:r>
              <w:rPr>
                <w:rFonts w:ascii="Arial" w:hAnsi="Arial" w:cs="Arial"/>
                <w:color w:val="000000"/>
                <w:sz w:val="20"/>
                <w:szCs w:val="20"/>
                <w:lang w:eastAsia="en-AU"/>
              </w:rPr>
              <w:t>Yes</w:t>
            </w:r>
          </w:p>
        </w:tc>
        <w:tc>
          <w:tcPr>
            <w:tcW w:w="1208" w:type="dxa"/>
            <w:tcBorders>
              <w:top w:val="single" w:sz="8" w:space="0" w:color="auto"/>
              <w:left w:val="single" w:sz="18" w:space="0" w:color="auto"/>
              <w:bottom w:val="single" w:sz="8" w:space="0" w:color="auto"/>
              <w:right w:val="single" w:sz="18" w:space="0" w:color="auto"/>
            </w:tcBorders>
          </w:tcPr>
          <w:p w:rsidR="00BA4035" w:rsidRPr="00D621BB" w:rsidRDefault="00BA4035" w:rsidP="00DF02AA">
            <w:pPr>
              <w:rPr>
                <w:rFonts w:ascii="Arial" w:hAnsi="Arial" w:cs="Arial"/>
                <w:color w:val="000000"/>
                <w:sz w:val="20"/>
                <w:szCs w:val="20"/>
                <w:lang w:eastAsia="en-AU"/>
              </w:rPr>
            </w:pPr>
            <w:r>
              <w:rPr>
                <w:rFonts w:ascii="Arial" w:hAnsi="Arial" w:cs="Arial"/>
                <w:color w:val="000000"/>
                <w:sz w:val="20"/>
                <w:szCs w:val="20"/>
                <w:lang w:eastAsia="en-AU"/>
              </w:rPr>
              <w:t>Yes</w:t>
            </w:r>
          </w:p>
        </w:tc>
        <w:tc>
          <w:tcPr>
            <w:tcW w:w="5671" w:type="dxa"/>
            <w:tcBorders>
              <w:top w:val="single" w:sz="8" w:space="0" w:color="auto"/>
              <w:left w:val="single" w:sz="18" w:space="0" w:color="auto"/>
              <w:bottom w:val="single" w:sz="8" w:space="0" w:color="auto"/>
              <w:right w:val="single" w:sz="18" w:space="0" w:color="auto"/>
            </w:tcBorders>
            <w:shd w:val="clear" w:color="auto" w:fill="auto"/>
            <w:noWrap/>
          </w:tcPr>
          <w:p w:rsidR="00BA4035" w:rsidRPr="00D621BB" w:rsidRDefault="00BA4035" w:rsidP="00DF02AA">
            <w:pPr>
              <w:rPr>
                <w:rFonts w:ascii="Arial" w:hAnsi="Arial" w:cs="Arial"/>
                <w:color w:val="000000"/>
                <w:sz w:val="20"/>
                <w:szCs w:val="20"/>
                <w:lang w:eastAsia="en-AU"/>
              </w:rPr>
            </w:pPr>
          </w:p>
        </w:tc>
      </w:tr>
      <w:tr w:rsidR="00BA4035" w:rsidRPr="00D621BB" w:rsidTr="00DF02AA">
        <w:trPr>
          <w:cantSplit/>
          <w:trHeight w:val="300"/>
        </w:trPr>
        <w:tc>
          <w:tcPr>
            <w:tcW w:w="2425" w:type="dxa"/>
            <w:vMerge/>
            <w:tcBorders>
              <w:left w:val="single" w:sz="18" w:space="0" w:color="auto"/>
              <w:right w:val="single" w:sz="18" w:space="0" w:color="auto"/>
            </w:tcBorders>
            <w:shd w:val="clear" w:color="auto" w:fill="auto"/>
            <w:noWrap/>
          </w:tcPr>
          <w:p w:rsidR="00BA4035" w:rsidRPr="00D621BB" w:rsidRDefault="00BA4035" w:rsidP="00DF02AA">
            <w:pPr>
              <w:rPr>
                <w:rFonts w:ascii="Arial" w:hAnsi="Arial" w:cs="Arial"/>
                <w:color w:val="000000"/>
                <w:sz w:val="20"/>
                <w:szCs w:val="20"/>
                <w:lang w:eastAsia="en-AU"/>
              </w:rPr>
            </w:pPr>
          </w:p>
        </w:tc>
        <w:tc>
          <w:tcPr>
            <w:tcW w:w="2976" w:type="dxa"/>
            <w:tcBorders>
              <w:top w:val="single" w:sz="8" w:space="0" w:color="auto"/>
              <w:left w:val="single" w:sz="18" w:space="0" w:color="auto"/>
              <w:bottom w:val="single" w:sz="4" w:space="0" w:color="auto"/>
              <w:right w:val="single" w:sz="18" w:space="0" w:color="auto"/>
            </w:tcBorders>
            <w:shd w:val="clear" w:color="auto" w:fill="auto"/>
            <w:noWrap/>
          </w:tcPr>
          <w:p w:rsidR="00BA4035" w:rsidRPr="00D621BB" w:rsidRDefault="00BA4035" w:rsidP="00DF02AA">
            <w:pPr>
              <w:rPr>
                <w:rFonts w:ascii="Arial" w:eastAsia="Arial" w:hAnsi="Arial" w:cs="Arial"/>
                <w:color w:val="000000"/>
                <w:sz w:val="20"/>
                <w:szCs w:val="20"/>
                <w:lang w:eastAsia="en-AU"/>
              </w:rPr>
            </w:pPr>
            <w:r w:rsidRPr="00D621BB">
              <w:rPr>
                <w:rFonts w:ascii="Arial" w:eastAsia="Arial" w:hAnsi="Arial" w:cs="Arial"/>
                <w:color w:val="000000"/>
                <w:sz w:val="20"/>
                <w:szCs w:val="20"/>
                <w:lang w:eastAsia="en-AU"/>
              </w:rPr>
              <w:t>Schlumberger</w:t>
            </w:r>
          </w:p>
        </w:tc>
        <w:tc>
          <w:tcPr>
            <w:tcW w:w="1560" w:type="dxa"/>
            <w:tcBorders>
              <w:top w:val="single" w:sz="8" w:space="0" w:color="auto"/>
              <w:left w:val="single" w:sz="18" w:space="0" w:color="auto"/>
              <w:bottom w:val="single" w:sz="4" w:space="0" w:color="auto"/>
              <w:right w:val="single" w:sz="18" w:space="0" w:color="auto"/>
            </w:tcBorders>
          </w:tcPr>
          <w:p w:rsidR="00BA4035" w:rsidRPr="00D621BB" w:rsidRDefault="00BA4035" w:rsidP="00DF02AA">
            <w:pPr>
              <w:rPr>
                <w:rFonts w:ascii="Arial" w:hAnsi="Arial" w:cs="Arial"/>
                <w:color w:val="000000"/>
                <w:sz w:val="20"/>
                <w:szCs w:val="20"/>
                <w:lang w:eastAsia="en-AU"/>
              </w:rPr>
            </w:pPr>
            <w:r>
              <w:rPr>
                <w:rFonts w:ascii="Arial" w:hAnsi="Arial" w:cs="Arial"/>
                <w:color w:val="000000"/>
                <w:sz w:val="20"/>
                <w:szCs w:val="20"/>
                <w:lang w:eastAsia="en-AU"/>
              </w:rPr>
              <w:t>Yes</w:t>
            </w:r>
          </w:p>
        </w:tc>
        <w:tc>
          <w:tcPr>
            <w:tcW w:w="1208" w:type="dxa"/>
            <w:tcBorders>
              <w:top w:val="single" w:sz="8" w:space="0" w:color="auto"/>
              <w:left w:val="single" w:sz="18" w:space="0" w:color="auto"/>
              <w:bottom w:val="single" w:sz="4" w:space="0" w:color="auto"/>
              <w:right w:val="single" w:sz="18" w:space="0" w:color="auto"/>
            </w:tcBorders>
          </w:tcPr>
          <w:p w:rsidR="00BA4035" w:rsidRPr="00D621BB" w:rsidRDefault="00BA4035" w:rsidP="00DF02AA">
            <w:pPr>
              <w:rPr>
                <w:rFonts w:ascii="Arial" w:hAnsi="Arial" w:cs="Arial"/>
                <w:color w:val="000000"/>
                <w:sz w:val="20"/>
                <w:szCs w:val="20"/>
                <w:lang w:eastAsia="en-AU"/>
              </w:rPr>
            </w:pPr>
            <w:r>
              <w:rPr>
                <w:rFonts w:ascii="Arial" w:hAnsi="Arial" w:cs="Arial"/>
                <w:color w:val="000000"/>
                <w:sz w:val="20"/>
                <w:szCs w:val="20"/>
                <w:lang w:eastAsia="en-AU"/>
              </w:rPr>
              <w:t>Yes</w:t>
            </w:r>
          </w:p>
        </w:tc>
        <w:tc>
          <w:tcPr>
            <w:tcW w:w="5671" w:type="dxa"/>
            <w:tcBorders>
              <w:top w:val="single" w:sz="8" w:space="0" w:color="auto"/>
              <w:left w:val="single" w:sz="18" w:space="0" w:color="auto"/>
              <w:bottom w:val="single" w:sz="4" w:space="0" w:color="auto"/>
              <w:right w:val="single" w:sz="18" w:space="0" w:color="auto"/>
            </w:tcBorders>
            <w:shd w:val="clear" w:color="auto" w:fill="auto"/>
            <w:noWrap/>
          </w:tcPr>
          <w:p w:rsidR="00BA4035" w:rsidRPr="00D621BB" w:rsidRDefault="00BA4035" w:rsidP="00DF02AA">
            <w:pPr>
              <w:rPr>
                <w:rFonts w:ascii="Arial" w:hAnsi="Arial" w:cs="Arial"/>
                <w:color w:val="000000"/>
                <w:sz w:val="20"/>
                <w:szCs w:val="20"/>
                <w:lang w:eastAsia="en-AU"/>
              </w:rPr>
            </w:pPr>
          </w:p>
        </w:tc>
      </w:tr>
      <w:tr w:rsidR="00BA4035" w:rsidRPr="00D621BB" w:rsidTr="00DF02AA">
        <w:trPr>
          <w:cantSplit/>
          <w:trHeight w:val="300"/>
        </w:trPr>
        <w:tc>
          <w:tcPr>
            <w:tcW w:w="2425" w:type="dxa"/>
            <w:vMerge/>
            <w:tcBorders>
              <w:left w:val="single" w:sz="18" w:space="0" w:color="auto"/>
              <w:right w:val="single" w:sz="18" w:space="0" w:color="auto"/>
            </w:tcBorders>
            <w:shd w:val="clear" w:color="auto" w:fill="auto"/>
            <w:noWrap/>
            <w:hideMark/>
          </w:tcPr>
          <w:p w:rsidR="00BA4035" w:rsidRPr="00D621BB" w:rsidRDefault="00BA4035" w:rsidP="00DF02AA">
            <w:pPr>
              <w:rPr>
                <w:rFonts w:ascii="Arial" w:hAnsi="Arial" w:cs="Arial"/>
                <w:color w:val="000000"/>
                <w:sz w:val="20"/>
                <w:szCs w:val="20"/>
                <w:lang w:eastAsia="en-AU"/>
              </w:rPr>
            </w:pPr>
          </w:p>
        </w:tc>
        <w:tc>
          <w:tcPr>
            <w:tcW w:w="2976" w:type="dxa"/>
            <w:tcBorders>
              <w:top w:val="single" w:sz="4" w:space="0" w:color="auto"/>
              <w:left w:val="single" w:sz="18" w:space="0" w:color="auto"/>
              <w:bottom w:val="single" w:sz="4" w:space="0" w:color="auto"/>
              <w:right w:val="single" w:sz="18" w:space="0" w:color="auto"/>
            </w:tcBorders>
            <w:shd w:val="clear" w:color="auto" w:fill="auto"/>
            <w:noWrap/>
            <w:hideMark/>
          </w:tcPr>
          <w:p w:rsidR="00BA4035" w:rsidRPr="00D621BB" w:rsidRDefault="00BA4035" w:rsidP="00DF02AA">
            <w:pPr>
              <w:rPr>
                <w:rFonts w:ascii="Arial" w:eastAsia="Arial" w:hAnsi="Arial" w:cs="Arial"/>
                <w:color w:val="000000"/>
                <w:sz w:val="20"/>
                <w:szCs w:val="20"/>
                <w:lang w:eastAsia="en-AU"/>
              </w:rPr>
            </w:pPr>
            <w:r w:rsidRPr="00D621BB">
              <w:rPr>
                <w:rFonts w:ascii="Arial" w:eastAsia="Arial" w:hAnsi="Arial" w:cs="Arial"/>
                <w:color w:val="000000"/>
                <w:sz w:val="20"/>
                <w:szCs w:val="20"/>
                <w:lang w:eastAsia="en-AU"/>
              </w:rPr>
              <w:t>Weatherford</w:t>
            </w:r>
          </w:p>
        </w:tc>
        <w:tc>
          <w:tcPr>
            <w:tcW w:w="1560" w:type="dxa"/>
            <w:tcBorders>
              <w:top w:val="single" w:sz="4" w:space="0" w:color="auto"/>
              <w:left w:val="single" w:sz="18" w:space="0" w:color="auto"/>
              <w:bottom w:val="single" w:sz="4" w:space="0" w:color="auto"/>
              <w:right w:val="single" w:sz="18" w:space="0" w:color="auto"/>
            </w:tcBorders>
          </w:tcPr>
          <w:p w:rsidR="00BA4035" w:rsidRPr="00D621BB" w:rsidRDefault="00BA4035" w:rsidP="00DF02AA">
            <w:pPr>
              <w:rPr>
                <w:rFonts w:ascii="Arial" w:hAnsi="Arial" w:cs="Arial"/>
                <w:color w:val="000000"/>
                <w:sz w:val="20"/>
                <w:szCs w:val="20"/>
                <w:lang w:eastAsia="en-AU"/>
              </w:rPr>
            </w:pPr>
            <w:r>
              <w:rPr>
                <w:rFonts w:ascii="Arial" w:hAnsi="Arial" w:cs="Arial"/>
                <w:color w:val="000000"/>
                <w:sz w:val="20"/>
                <w:szCs w:val="20"/>
                <w:lang w:eastAsia="en-AU"/>
              </w:rPr>
              <w:t>Yes</w:t>
            </w:r>
          </w:p>
        </w:tc>
        <w:tc>
          <w:tcPr>
            <w:tcW w:w="1208" w:type="dxa"/>
            <w:tcBorders>
              <w:top w:val="single" w:sz="4" w:space="0" w:color="auto"/>
              <w:left w:val="single" w:sz="18" w:space="0" w:color="auto"/>
              <w:bottom w:val="single" w:sz="4" w:space="0" w:color="auto"/>
              <w:right w:val="single" w:sz="18" w:space="0" w:color="auto"/>
            </w:tcBorders>
          </w:tcPr>
          <w:p w:rsidR="00BA4035" w:rsidRPr="00D621BB" w:rsidRDefault="00BA4035" w:rsidP="00DF02AA">
            <w:pPr>
              <w:rPr>
                <w:rFonts w:ascii="Arial" w:hAnsi="Arial" w:cs="Arial"/>
                <w:color w:val="000000"/>
                <w:sz w:val="20"/>
                <w:szCs w:val="20"/>
                <w:lang w:eastAsia="en-AU"/>
              </w:rPr>
            </w:pPr>
            <w:r>
              <w:rPr>
                <w:rFonts w:ascii="Arial" w:hAnsi="Arial" w:cs="Arial"/>
                <w:color w:val="000000"/>
                <w:sz w:val="20"/>
                <w:szCs w:val="20"/>
                <w:lang w:eastAsia="en-AU"/>
              </w:rPr>
              <w:t>No</w:t>
            </w:r>
          </w:p>
        </w:tc>
        <w:tc>
          <w:tcPr>
            <w:tcW w:w="5671" w:type="dxa"/>
            <w:tcBorders>
              <w:top w:val="single" w:sz="4" w:space="0" w:color="auto"/>
              <w:left w:val="single" w:sz="18" w:space="0" w:color="auto"/>
              <w:bottom w:val="single" w:sz="4" w:space="0" w:color="auto"/>
              <w:right w:val="single" w:sz="18" w:space="0" w:color="auto"/>
            </w:tcBorders>
            <w:shd w:val="clear" w:color="auto" w:fill="auto"/>
            <w:noWrap/>
            <w:hideMark/>
          </w:tcPr>
          <w:p w:rsidR="00BA4035" w:rsidRPr="00D621BB" w:rsidRDefault="00BA4035" w:rsidP="00DF02AA">
            <w:pPr>
              <w:rPr>
                <w:rFonts w:ascii="Arial" w:hAnsi="Arial" w:cs="Arial"/>
                <w:color w:val="000000"/>
                <w:sz w:val="20"/>
                <w:szCs w:val="20"/>
                <w:lang w:eastAsia="en-AU"/>
              </w:rPr>
            </w:pPr>
          </w:p>
        </w:tc>
      </w:tr>
      <w:tr w:rsidR="00BA4035" w:rsidRPr="00D621BB" w:rsidTr="00DF02AA">
        <w:trPr>
          <w:cantSplit/>
          <w:trHeight w:val="300"/>
        </w:trPr>
        <w:tc>
          <w:tcPr>
            <w:tcW w:w="2425" w:type="dxa"/>
            <w:vMerge/>
            <w:tcBorders>
              <w:left w:val="single" w:sz="18" w:space="0" w:color="auto"/>
              <w:right w:val="single" w:sz="18" w:space="0" w:color="auto"/>
            </w:tcBorders>
            <w:vAlign w:val="center"/>
            <w:hideMark/>
          </w:tcPr>
          <w:p w:rsidR="00BA4035" w:rsidRPr="00D621BB" w:rsidRDefault="00BA4035" w:rsidP="00DF02AA">
            <w:pPr>
              <w:rPr>
                <w:rFonts w:ascii="Arial" w:hAnsi="Arial" w:cs="Arial"/>
                <w:color w:val="000000"/>
                <w:sz w:val="20"/>
                <w:szCs w:val="20"/>
                <w:lang w:eastAsia="en-AU"/>
              </w:rPr>
            </w:pPr>
          </w:p>
        </w:tc>
        <w:tc>
          <w:tcPr>
            <w:tcW w:w="2976" w:type="dxa"/>
            <w:tcBorders>
              <w:top w:val="single" w:sz="4" w:space="0" w:color="auto"/>
              <w:left w:val="single" w:sz="18" w:space="0" w:color="auto"/>
              <w:bottom w:val="single" w:sz="4" w:space="0" w:color="auto"/>
              <w:right w:val="single" w:sz="18" w:space="0" w:color="auto"/>
            </w:tcBorders>
            <w:shd w:val="clear" w:color="auto" w:fill="auto"/>
            <w:noWrap/>
            <w:hideMark/>
          </w:tcPr>
          <w:p w:rsidR="00BA4035" w:rsidRPr="00D621BB" w:rsidRDefault="00BA4035" w:rsidP="00DF02AA">
            <w:pPr>
              <w:rPr>
                <w:rFonts w:ascii="Arial" w:eastAsia="Arial" w:hAnsi="Arial" w:cs="Arial"/>
                <w:color w:val="000000"/>
                <w:sz w:val="20"/>
                <w:szCs w:val="20"/>
                <w:lang w:eastAsia="en-AU"/>
              </w:rPr>
            </w:pPr>
            <w:r w:rsidRPr="00D621BB">
              <w:rPr>
                <w:rFonts w:ascii="Arial" w:eastAsia="Arial" w:hAnsi="Arial" w:cs="Arial"/>
                <w:color w:val="000000"/>
                <w:sz w:val="20"/>
                <w:szCs w:val="20"/>
                <w:lang w:eastAsia="en-AU"/>
              </w:rPr>
              <w:t>Scientific Drilling International</w:t>
            </w:r>
          </w:p>
        </w:tc>
        <w:tc>
          <w:tcPr>
            <w:tcW w:w="1560" w:type="dxa"/>
            <w:tcBorders>
              <w:top w:val="single" w:sz="4" w:space="0" w:color="auto"/>
              <w:left w:val="single" w:sz="18" w:space="0" w:color="auto"/>
              <w:bottom w:val="single" w:sz="4" w:space="0" w:color="auto"/>
              <w:right w:val="single" w:sz="18" w:space="0" w:color="auto"/>
            </w:tcBorders>
          </w:tcPr>
          <w:p w:rsidR="00BA4035" w:rsidRPr="00D621BB" w:rsidRDefault="00BA4035" w:rsidP="00DF02AA">
            <w:pPr>
              <w:rPr>
                <w:rFonts w:ascii="Arial" w:hAnsi="Arial" w:cs="Arial"/>
                <w:color w:val="000000"/>
                <w:sz w:val="20"/>
                <w:szCs w:val="20"/>
                <w:lang w:eastAsia="en-AU"/>
              </w:rPr>
            </w:pPr>
            <w:r>
              <w:rPr>
                <w:rFonts w:ascii="Arial" w:hAnsi="Arial" w:cs="Arial"/>
                <w:color w:val="000000"/>
                <w:sz w:val="20"/>
                <w:szCs w:val="20"/>
                <w:lang w:eastAsia="en-AU"/>
              </w:rPr>
              <w:t>Yes</w:t>
            </w:r>
          </w:p>
        </w:tc>
        <w:tc>
          <w:tcPr>
            <w:tcW w:w="1208" w:type="dxa"/>
            <w:tcBorders>
              <w:top w:val="single" w:sz="4" w:space="0" w:color="auto"/>
              <w:left w:val="single" w:sz="18" w:space="0" w:color="auto"/>
              <w:bottom w:val="single" w:sz="4" w:space="0" w:color="auto"/>
              <w:right w:val="single" w:sz="18" w:space="0" w:color="auto"/>
            </w:tcBorders>
          </w:tcPr>
          <w:p w:rsidR="00BA4035" w:rsidRPr="00D621BB" w:rsidRDefault="00BA4035" w:rsidP="00DF02AA">
            <w:pPr>
              <w:rPr>
                <w:rFonts w:ascii="Arial" w:hAnsi="Arial" w:cs="Arial"/>
                <w:color w:val="000000"/>
                <w:sz w:val="20"/>
                <w:szCs w:val="20"/>
                <w:lang w:eastAsia="en-AU"/>
              </w:rPr>
            </w:pPr>
            <w:r>
              <w:rPr>
                <w:rFonts w:ascii="Arial" w:hAnsi="Arial" w:cs="Arial"/>
                <w:color w:val="000000"/>
                <w:sz w:val="20"/>
                <w:szCs w:val="20"/>
                <w:lang w:eastAsia="en-AU"/>
              </w:rPr>
              <w:t>No</w:t>
            </w:r>
          </w:p>
        </w:tc>
        <w:tc>
          <w:tcPr>
            <w:tcW w:w="5671" w:type="dxa"/>
            <w:tcBorders>
              <w:top w:val="single" w:sz="4" w:space="0" w:color="auto"/>
              <w:left w:val="single" w:sz="18" w:space="0" w:color="auto"/>
              <w:bottom w:val="single" w:sz="4" w:space="0" w:color="auto"/>
              <w:right w:val="single" w:sz="18" w:space="0" w:color="auto"/>
            </w:tcBorders>
            <w:shd w:val="clear" w:color="auto" w:fill="auto"/>
            <w:noWrap/>
            <w:hideMark/>
          </w:tcPr>
          <w:p w:rsidR="00BA4035" w:rsidRPr="00D621BB" w:rsidRDefault="00BA4035" w:rsidP="00DF02AA">
            <w:pPr>
              <w:rPr>
                <w:rFonts w:ascii="Arial" w:hAnsi="Arial" w:cs="Arial"/>
                <w:color w:val="000000"/>
                <w:sz w:val="20"/>
                <w:szCs w:val="20"/>
                <w:lang w:eastAsia="en-AU"/>
              </w:rPr>
            </w:pPr>
          </w:p>
        </w:tc>
      </w:tr>
      <w:tr w:rsidR="00BA4035" w:rsidRPr="00D621BB" w:rsidTr="00DF02AA">
        <w:trPr>
          <w:cantSplit/>
          <w:trHeight w:val="300"/>
        </w:trPr>
        <w:tc>
          <w:tcPr>
            <w:tcW w:w="2425" w:type="dxa"/>
            <w:vMerge/>
            <w:tcBorders>
              <w:left w:val="single" w:sz="18" w:space="0" w:color="auto"/>
              <w:right w:val="single" w:sz="18" w:space="0" w:color="auto"/>
            </w:tcBorders>
            <w:vAlign w:val="center"/>
            <w:hideMark/>
          </w:tcPr>
          <w:p w:rsidR="00BA4035" w:rsidRPr="00D621BB" w:rsidRDefault="00BA4035" w:rsidP="00DF02AA">
            <w:pPr>
              <w:rPr>
                <w:rFonts w:ascii="Arial" w:hAnsi="Arial" w:cs="Arial"/>
                <w:color w:val="000000"/>
                <w:sz w:val="20"/>
                <w:szCs w:val="20"/>
                <w:lang w:eastAsia="en-AU"/>
              </w:rPr>
            </w:pPr>
          </w:p>
        </w:tc>
        <w:tc>
          <w:tcPr>
            <w:tcW w:w="2976" w:type="dxa"/>
            <w:tcBorders>
              <w:top w:val="single" w:sz="4" w:space="0" w:color="auto"/>
              <w:left w:val="single" w:sz="18" w:space="0" w:color="auto"/>
              <w:bottom w:val="single" w:sz="4" w:space="0" w:color="auto"/>
              <w:right w:val="single" w:sz="18" w:space="0" w:color="auto"/>
            </w:tcBorders>
            <w:shd w:val="clear" w:color="auto" w:fill="auto"/>
            <w:noWrap/>
            <w:hideMark/>
          </w:tcPr>
          <w:p w:rsidR="00BA4035" w:rsidRPr="00D621BB" w:rsidRDefault="00BA4035" w:rsidP="00DF02AA">
            <w:pPr>
              <w:rPr>
                <w:rFonts w:ascii="Arial" w:eastAsia="Arial" w:hAnsi="Arial" w:cs="Arial"/>
                <w:color w:val="000000"/>
                <w:sz w:val="20"/>
                <w:szCs w:val="20"/>
                <w:lang w:eastAsia="en-AU"/>
              </w:rPr>
            </w:pPr>
            <w:proofErr w:type="spellStart"/>
            <w:r w:rsidRPr="00D621BB">
              <w:rPr>
                <w:rFonts w:ascii="Arial" w:eastAsia="Arial" w:hAnsi="Arial" w:cs="Arial"/>
                <w:color w:val="000000"/>
                <w:sz w:val="20"/>
                <w:szCs w:val="20"/>
                <w:lang w:eastAsia="en-AU"/>
              </w:rPr>
              <w:t>Surtron</w:t>
            </w:r>
            <w:proofErr w:type="spellEnd"/>
            <w:r w:rsidRPr="00D621BB">
              <w:rPr>
                <w:rFonts w:ascii="Arial" w:eastAsia="Arial" w:hAnsi="Arial" w:cs="Arial"/>
                <w:color w:val="000000"/>
                <w:sz w:val="20"/>
                <w:szCs w:val="20"/>
                <w:lang w:eastAsia="en-AU"/>
              </w:rPr>
              <w:t xml:space="preserve"> Technologies</w:t>
            </w:r>
          </w:p>
        </w:tc>
        <w:tc>
          <w:tcPr>
            <w:tcW w:w="1560" w:type="dxa"/>
            <w:tcBorders>
              <w:top w:val="single" w:sz="4" w:space="0" w:color="auto"/>
              <w:left w:val="single" w:sz="18" w:space="0" w:color="auto"/>
              <w:bottom w:val="single" w:sz="4" w:space="0" w:color="auto"/>
              <w:right w:val="single" w:sz="18" w:space="0" w:color="auto"/>
            </w:tcBorders>
          </w:tcPr>
          <w:p w:rsidR="00BA4035" w:rsidRPr="00D621BB" w:rsidRDefault="00BA4035" w:rsidP="00DF02AA">
            <w:pPr>
              <w:rPr>
                <w:rFonts w:ascii="Arial" w:hAnsi="Arial" w:cs="Arial"/>
                <w:color w:val="000000"/>
                <w:sz w:val="20"/>
                <w:szCs w:val="20"/>
                <w:lang w:eastAsia="en-AU"/>
              </w:rPr>
            </w:pPr>
            <w:r>
              <w:rPr>
                <w:rFonts w:ascii="Arial" w:hAnsi="Arial" w:cs="Arial"/>
                <w:color w:val="000000"/>
                <w:sz w:val="20"/>
                <w:szCs w:val="20"/>
                <w:lang w:eastAsia="en-AU"/>
              </w:rPr>
              <w:t>Yes</w:t>
            </w:r>
          </w:p>
        </w:tc>
        <w:tc>
          <w:tcPr>
            <w:tcW w:w="1208" w:type="dxa"/>
            <w:tcBorders>
              <w:top w:val="single" w:sz="4" w:space="0" w:color="auto"/>
              <w:left w:val="single" w:sz="18" w:space="0" w:color="auto"/>
              <w:bottom w:val="single" w:sz="4" w:space="0" w:color="auto"/>
              <w:right w:val="single" w:sz="18" w:space="0" w:color="auto"/>
            </w:tcBorders>
          </w:tcPr>
          <w:p w:rsidR="00BA4035" w:rsidRPr="00D621BB" w:rsidRDefault="00BA4035" w:rsidP="00DF02AA">
            <w:pPr>
              <w:rPr>
                <w:rFonts w:ascii="Arial" w:hAnsi="Arial" w:cs="Arial"/>
                <w:color w:val="000000"/>
                <w:sz w:val="20"/>
                <w:szCs w:val="20"/>
                <w:lang w:eastAsia="en-AU"/>
              </w:rPr>
            </w:pPr>
            <w:r>
              <w:rPr>
                <w:rFonts w:ascii="Arial" w:hAnsi="Arial" w:cs="Arial"/>
                <w:color w:val="000000"/>
                <w:sz w:val="20"/>
                <w:szCs w:val="20"/>
                <w:lang w:eastAsia="en-AU"/>
              </w:rPr>
              <w:t>No</w:t>
            </w:r>
          </w:p>
        </w:tc>
        <w:tc>
          <w:tcPr>
            <w:tcW w:w="5671" w:type="dxa"/>
            <w:tcBorders>
              <w:top w:val="single" w:sz="4" w:space="0" w:color="auto"/>
              <w:left w:val="single" w:sz="18" w:space="0" w:color="auto"/>
              <w:bottom w:val="single" w:sz="4" w:space="0" w:color="auto"/>
              <w:right w:val="single" w:sz="18" w:space="0" w:color="auto"/>
            </w:tcBorders>
            <w:shd w:val="clear" w:color="auto" w:fill="auto"/>
            <w:noWrap/>
            <w:hideMark/>
          </w:tcPr>
          <w:p w:rsidR="00BA4035" w:rsidRPr="00D621BB" w:rsidRDefault="00BA4035" w:rsidP="00DF02AA">
            <w:pPr>
              <w:rPr>
                <w:rFonts w:ascii="Arial" w:hAnsi="Arial" w:cs="Arial"/>
                <w:color w:val="000000"/>
                <w:sz w:val="20"/>
                <w:szCs w:val="20"/>
                <w:lang w:eastAsia="en-AU"/>
              </w:rPr>
            </w:pPr>
          </w:p>
        </w:tc>
      </w:tr>
      <w:tr w:rsidR="00BA4035" w:rsidRPr="00D621BB" w:rsidTr="00DF02AA">
        <w:trPr>
          <w:cantSplit/>
          <w:trHeight w:val="300"/>
        </w:trPr>
        <w:tc>
          <w:tcPr>
            <w:tcW w:w="2425" w:type="dxa"/>
            <w:vMerge/>
            <w:tcBorders>
              <w:left w:val="single" w:sz="18" w:space="0" w:color="auto"/>
              <w:right w:val="single" w:sz="18" w:space="0" w:color="auto"/>
            </w:tcBorders>
            <w:vAlign w:val="center"/>
            <w:hideMark/>
          </w:tcPr>
          <w:p w:rsidR="00BA4035" w:rsidRPr="00D621BB" w:rsidRDefault="00BA4035" w:rsidP="00DF02AA">
            <w:pPr>
              <w:rPr>
                <w:rFonts w:ascii="Arial" w:hAnsi="Arial" w:cs="Arial"/>
                <w:color w:val="000000"/>
                <w:sz w:val="20"/>
                <w:szCs w:val="20"/>
                <w:lang w:eastAsia="en-AU"/>
              </w:rPr>
            </w:pPr>
          </w:p>
        </w:tc>
        <w:tc>
          <w:tcPr>
            <w:tcW w:w="2976" w:type="dxa"/>
            <w:tcBorders>
              <w:top w:val="single" w:sz="4" w:space="0" w:color="auto"/>
              <w:left w:val="single" w:sz="18" w:space="0" w:color="auto"/>
              <w:bottom w:val="single" w:sz="4" w:space="0" w:color="auto"/>
              <w:right w:val="single" w:sz="18" w:space="0" w:color="auto"/>
            </w:tcBorders>
            <w:shd w:val="clear" w:color="auto" w:fill="auto"/>
            <w:noWrap/>
            <w:hideMark/>
          </w:tcPr>
          <w:p w:rsidR="00BA4035" w:rsidRPr="00D621BB" w:rsidRDefault="00BA4035" w:rsidP="00DF02AA">
            <w:pPr>
              <w:rPr>
                <w:rFonts w:ascii="Arial" w:eastAsia="Arial" w:hAnsi="Arial" w:cs="Arial"/>
                <w:color w:val="000000"/>
                <w:sz w:val="20"/>
                <w:szCs w:val="20"/>
                <w:lang w:eastAsia="en-AU"/>
              </w:rPr>
            </w:pPr>
            <w:r>
              <w:rPr>
                <w:rFonts w:ascii="Arial" w:eastAsia="Arial" w:hAnsi="Arial" w:cs="Arial"/>
                <w:color w:val="000000"/>
                <w:sz w:val="20"/>
                <w:szCs w:val="20"/>
                <w:lang w:eastAsia="en-AU"/>
              </w:rPr>
              <w:t>National Oilwell Varco (</w:t>
            </w:r>
            <w:r w:rsidRPr="00CB427C">
              <w:rPr>
                <w:rFonts w:ascii="Arial" w:eastAsia="Arial" w:hAnsi="Arial" w:cs="Arial"/>
                <w:b/>
                <w:color w:val="000000"/>
                <w:sz w:val="20"/>
                <w:szCs w:val="20"/>
                <w:lang w:eastAsia="en-AU"/>
              </w:rPr>
              <w:t>NOV</w:t>
            </w:r>
            <w:r>
              <w:rPr>
                <w:rFonts w:ascii="Arial" w:eastAsia="Arial" w:hAnsi="Arial" w:cs="Arial"/>
                <w:color w:val="000000"/>
                <w:sz w:val="20"/>
                <w:szCs w:val="20"/>
                <w:lang w:eastAsia="en-AU"/>
              </w:rPr>
              <w:t>)</w:t>
            </w:r>
          </w:p>
        </w:tc>
        <w:tc>
          <w:tcPr>
            <w:tcW w:w="1560" w:type="dxa"/>
            <w:tcBorders>
              <w:top w:val="single" w:sz="4" w:space="0" w:color="auto"/>
              <w:left w:val="single" w:sz="18" w:space="0" w:color="auto"/>
              <w:bottom w:val="single" w:sz="4" w:space="0" w:color="auto"/>
              <w:right w:val="single" w:sz="18" w:space="0" w:color="auto"/>
            </w:tcBorders>
          </w:tcPr>
          <w:p w:rsidR="00BA4035" w:rsidRPr="00D621BB" w:rsidRDefault="00BA4035" w:rsidP="00DF02AA">
            <w:pPr>
              <w:rPr>
                <w:rFonts w:ascii="Arial" w:hAnsi="Arial" w:cs="Arial"/>
                <w:color w:val="000000"/>
                <w:sz w:val="20"/>
                <w:szCs w:val="20"/>
                <w:lang w:eastAsia="en-AU"/>
              </w:rPr>
            </w:pPr>
            <w:r>
              <w:rPr>
                <w:rFonts w:ascii="Arial" w:hAnsi="Arial" w:cs="Arial"/>
                <w:color w:val="000000"/>
                <w:sz w:val="20"/>
                <w:szCs w:val="20"/>
                <w:lang w:eastAsia="en-AU"/>
              </w:rPr>
              <w:t>Yes</w:t>
            </w:r>
          </w:p>
        </w:tc>
        <w:tc>
          <w:tcPr>
            <w:tcW w:w="1208" w:type="dxa"/>
            <w:tcBorders>
              <w:top w:val="single" w:sz="4" w:space="0" w:color="auto"/>
              <w:left w:val="single" w:sz="18" w:space="0" w:color="auto"/>
              <w:bottom w:val="single" w:sz="4" w:space="0" w:color="auto"/>
              <w:right w:val="single" w:sz="18" w:space="0" w:color="auto"/>
            </w:tcBorders>
          </w:tcPr>
          <w:p w:rsidR="00BA4035" w:rsidRPr="00D621BB" w:rsidRDefault="00BA4035" w:rsidP="00DF02AA">
            <w:pPr>
              <w:rPr>
                <w:rFonts w:ascii="Arial" w:hAnsi="Arial" w:cs="Arial"/>
                <w:color w:val="000000"/>
                <w:sz w:val="20"/>
                <w:szCs w:val="20"/>
                <w:lang w:eastAsia="en-AU"/>
              </w:rPr>
            </w:pPr>
            <w:r>
              <w:rPr>
                <w:rFonts w:ascii="Arial" w:hAnsi="Arial" w:cs="Arial"/>
                <w:color w:val="000000"/>
                <w:sz w:val="20"/>
                <w:szCs w:val="20"/>
                <w:lang w:eastAsia="en-AU"/>
              </w:rPr>
              <w:t>Yes</w:t>
            </w:r>
          </w:p>
        </w:tc>
        <w:tc>
          <w:tcPr>
            <w:tcW w:w="5671" w:type="dxa"/>
            <w:tcBorders>
              <w:top w:val="single" w:sz="4" w:space="0" w:color="auto"/>
              <w:left w:val="single" w:sz="18" w:space="0" w:color="auto"/>
              <w:bottom w:val="single" w:sz="4" w:space="0" w:color="auto"/>
              <w:right w:val="single" w:sz="18" w:space="0" w:color="auto"/>
            </w:tcBorders>
            <w:shd w:val="clear" w:color="auto" w:fill="auto"/>
            <w:noWrap/>
            <w:hideMark/>
          </w:tcPr>
          <w:p w:rsidR="00BA4035" w:rsidRPr="00D621BB" w:rsidRDefault="00BA4035" w:rsidP="00F92D27">
            <w:pPr>
              <w:rPr>
                <w:rFonts w:ascii="Arial" w:hAnsi="Arial" w:cs="Arial"/>
                <w:color w:val="000000"/>
                <w:sz w:val="20"/>
                <w:szCs w:val="20"/>
                <w:lang w:eastAsia="en-AU"/>
              </w:rPr>
            </w:pPr>
            <w:r>
              <w:rPr>
                <w:rFonts w:ascii="Arial" w:hAnsi="Arial" w:cs="Arial"/>
                <w:color w:val="000000"/>
                <w:sz w:val="20"/>
                <w:szCs w:val="20"/>
                <w:lang w:eastAsia="en-AU"/>
              </w:rPr>
              <w:t xml:space="preserve">Provides </w:t>
            </w:r>
            <w:r w:rsidR="00F92D27">
              <w:rPr>
                <w:rFonts w:ascii="Arial" w:hAnsi="Arial" w:cs="Arial"/>
                <w:color w:val="000000"/>
                <w:sz w:val="20"/>
                <w:szCs w:val="20"/>
                <w:lang w:eastAsia="en-AU"/>
              </w:rPr>
              <w:t xml:space="preserve">toll and equipment </w:t>
            </w:r>
            <w:r>
              <w:rPr>
                <w:rFonts w:ascii="Arial" w:hAnsi="Arial" w:cs="Arial"/>
                <w:color w:val="000000"/>
                <w:sz w:val="20"/>
                <w:szCs w:val="20"/>
                <w:lang w:eastAsia="en-AU"/>
              </w:rPr>
              <w:t>rental services</w:t>
            </w:r>
            <w:r w:rsidR="00F92D27">
              <w:rPr>
                <w:rFonts w:ascii="Arial" w:hAnsi="Arial" w:cs="Arial"/>
                <w:color w:val="000000"/>
                <w:sz w:val="20"/>
                <w:szCs w:val="20"/>
                <w:lang w:eastAsia="en-AU"/>
              </w:rPr>
              <w:t xml:space="preserve"> only</w:t>
            </w:r>
            <w:r>
              <w:rPr>
                <w:rFonts w:ascii="Arial" w:hAnsi="Arial" w:cs="Arial"/>
                <w:color w:val="000000"/>
                <w:sz w:val="20"/>
                <w:szCs w:val="20"/>
                <w:lang w:eastAsia="en-AU"/>
              </w:rPr>
              <w:t xml:space="preserve">.   </w:t>
            </w:r>
          </w:p>
        </w:tc>
      </w:tr>
      <w:tr w:rsidR="00BA4035" w:rsidRPr="00D621BB" w:rsidTr="00DF02AA">
        <w:trPr>
          <w:cantSplit/>
          <w:trHeight w:val="300"/>
        </w:trPr>
        <w:tc>
          <w:tcPr>
            <w:tcW w:w="2425" w:type="dxa"/>
            <w:vMerge/>
            <w:tcBorders>
              <w:left w:val="single" w:sz="18" w:space="0" w:color="auto"/>
              <w:right w:val="single" w:sz="18" w:space="0" w:color="auto"/>
            </w:tcBorders>
            <w:vAlign w:val="center"/>
          </w:tcPr>
          <w:p w:rsidR="00BA4035" w:rsidRPr="00D621BB" w:rsidRDefault="00BA4035" w:rsidP="00DF02AA">
            <w:pPr>
              <w:rPr>
                <w:rFonts w:ascii="Arial" w:hAnsi="Arial" w:cs="Arial"/>
                <w:color w:val="000000"/>
                <w:sz w:val="20"/>
                <w:szCs w:val="20"/>
                <w:lang w:eastAsia="en-AU"/>
              </w:rPr>
            </w:pPr>
          </w:p>
        </w:tc>
        <w:tc>
          <w:tcPr>
            <w:tcW w:w="2976" w:type="dxa"/>
            <w:tcBorders>
              <w:top w:val="single" w:sz="4" w:space="0" w:color="auto"/>
              <w:left w:val="single" w:sz="18" w:space="0" w:color="auto"/>
              <w:bottom w:val="single" w:sz="4" w:space="0" w:color="auto"/>
              <w:right w:val="single" w:sz="18" w:space="0" w:color="auto"/>
            </w:tcBorders>
            <w:shd w:val="clear" w:color="auto" w:fill="auto"/>
            <w:noWrap/>
          </w:tcPr>
          <w:p w:rsidR="00BA4035" w:rsidRDefault="00BA4035" w:rsidP="00DF02AA">
            <w:pPr>
              <w:rPr>
                <w:rFonts w:ascii="Arial" w:eastAsia="Arial" w:hAnsi="Arial" w:cs="Arial"/>
                <w:color w:val="000000"/>
                <w:sz w:val="20"/>
                <w:szCs w:val="20"/>
                <w:lang w:eastAsia="en-AU"/>
              </w:rPr>
            </w:pPr>
            <w:r>
              <w:rPr>
                <w:rFonts w:ascii="Arial" w:eastAsia="Arial" w:hAnsi="Arial" w:cs="Arial"/>
                <w:color w:val="000000"/>
                <w:sz w:val="20"/>
                <w:szCs w:val="20"/>
                <w:lang w:eastAsia="en-AU"/>
              </w:rPr>
              <w:t>Stealth Tools</w:t>
            </w:r>
          </w:p>
        </w:tc>
        <w:tc>
          <w:tcPr>
            <w:tcW w:w="1560" w:type="dxa"/>
            <w:tcBorders>
              <w:top w:val="single" w:sz="4" w:space="0" w:color="auto"/>
              <w:left w:val="single" w:sz="18" w:space="0" w:color="auto"/>
              <w:bottom w:val="single" w:sz="4" w:space="0" w:color="auto"/>
              <w:right w:val="single" w:sz="18" w:space="0" w:color="auto"/>
            </w:tcBorders>
          </w:tcPr>
          <w:p w:rsidR="00BA4035" w:rsidRPr="00D621BB" w:rsidRDefault="00BA4035" w:rsidP="00DF02AA">
            <w:pPr>
              <w:rPr>
                <w:rFonts w:ascii="Arial" w:hAnsi="Arial" w:cs="Arial"/>
                <w:color w:val="000000"/>
                <w:sz w:val="20"/>
                <w:szCs w:val="20"/>
                <w:lang w:eastAsia="en-AU"/>
              </w:rPr>
            </w:pPr>
            <w:r>
              <w:rPr>
                <w:rFonts w:ascii="Arial" w:hAnsi="Arial" w:cs="Arial"/>
                <w:color w:val="000000"/>
                <w:sz w:val="20"/>
                <w:szCs w:val="20"/>
                <w:lang w:eastAsia="en-AU"/>
              </w:rPr>
              <w:t>Yes</w:t>
            </w:r>
          </w:p>
        </w:tc>
        <w:tc>
          <w:tcPr>
            <w:tcW w:w="1208" w:type="dxa"/>
            <w:tcBorders>
              <w:top w:val="single" w:sz="4" w:space="0" w:color="auto"/>
              <w:left w:val="single" w:sz="18" w:space="0" w:color="auto"/>
              <w:bottom w:val="single" w:sz="4" w:space="0" w:color="auto"/>
              <w:right w:val="single" w:sz="18" w:space="0" w:color="auto"/>
            </w:tcBorders>
          </w:tcPr>
          <w:p w:rsidR="00BA4035" w:rsidRPr="00D621BB" w:rsidRDefault="00BA4035" w:rsidP="00DF02AA">
            <w:pPr>
              <w:rPr>
                <w:rFonts w:ascii="Arial" w:hAnsi="Arial" w:cs="Arial"/>
                <w:color w:val="000000"/>
                <w:sz w:val="20"/>
                <w:szCs w:val="20"/>
                <w:lang w:eastAsia="en-AU"/>
              </w:rPr>
            </w:pPr>
            <w:r>
              <w:rPr>
                <w:rFonts w:ascii="Arial" w:hAnsi="Arial" w:cs="Arial"/>
                <w:color w:val="000000"/>
                <w:sz w:val="20"/>
                <w:szCs w:val="20"/>
                <w:lang w:eastAsia="en-AU"/>
              </w:rPr>
              <w:t>No</w:t>
            </w:r>
          </w:p>
        </w:tc>
        <w:tc>
          <w:tcPr>
            <w:tcW w:w="5671" w:type="dxa"/>
            <w:tcBorders>
              <w:top w:val="single" w:sz="4" w:space="0" w:color="auto"/>
              <w:left w:val="single" w:sz="18" w:space="0" w:color="auto"/>
              <w:bottom w:val="single" w:sz="4" w:space="0" w:color="auto"/>
              <w:right w:val="single" w:sz="18" w:space="0" w:color="auto"/>
            </w:tcBorders>
            <w:shd w:val="clear" w:color="auto" w:fill="auto"/>
            <w:noWrap/>
          </w:tcPr>
          <w:p w:rsidR="00BA4035" w:rsidRPr="00F92D27" w:rsidRDefault="00F92D27" w:rsidP="00DF02AA">
            <w:pPr>
              <w:rPr>
                <w:rFonts w:ascii="Arial" w:hAnsi="Arial" w:cs="Arial"/>
                <w:color w:val="000000"/>
                <w:sz w:val="20"/>
                <w:szCs w:val="20"/>
                <w:lang w:eastAsia="en-AU"/>
              </w:rPr>
            </w:pPr>
            <w:r>
              <w:rPr>
                <w:rFonts w:ascii="Arial" w:hAnsi="Arial" w:cs="Arial"/>
                <w:color w:val="000000"/>
                <w:sz w:val="20"/>
                <w:szCs w:val="20"/>
                <w:lang w:eastAsia="en-AU"/>
              </w:rPr>
              <w:t>Provides toll and equipment rental services only.</w:t>
            </w:r>
            <w:r w:rsidR="00BA4035" w:rsidRPr="00F92D27">
              <w:rPr>
                <w:rFonts w:ascii="Arial" w:hAnsi="Arial" w:cs="Arial"/>
                <w:color w:val="000000"/>
                <w:sz w:val="20"/>
                <w:szCs w:val="20"/>
                <w:lang w:eastAsia="en-AU"/>
              </w:rPr>
              <w:t xml:space="preserve">  </w:t>
            </w:r>
          </w:p>
        </w:tc>
      </w:tr>
      <w:tr w:rsidR="00BA4035" w:rsidRPr="00D621BB" w:rsidTr="00DF02AA">
        <w:trPr>
          <w:cantSplit/>
          <w:trHeight w:val="300"/>
        </w:trPr>
        <w:tc>
          <w:tcPr>
            <w:tcW w:w="2425" w:type="dxa"/>
            <w:vMerge/>
            <w:tcBorders>
              <w:left w:val="single" w:sz="18" w:space="0" w:color="auto"/>
              <w:bottom w:val="single" w:sz="18" w:space="0" w:color="auto"/>
              <w:right w:val="single" w:sz="18" w:space="0" w:color="auto"/>
            </w:tcBorders>
            <w:vAlign w:val="center"/>
          </w:tcPr>
          <w:p w:rsidR="00BA4035" w:rsidRPr="00D621BB" w:rsidRDefault="00BA4035" w:rsidP="00DF02AA">
            <w:pPr>
              <w:rPr>
                <w:rFonts w:ascii="Arial" w:hAnsi="Arial" w:cs="Arial"/>
                <w:color w:val="000000"/>
                <w:sz w:val="20"/>
                <w:szCs w:val="20"/>
                <w:lang w:eastAsia="en-AU"/>
              </w:rPr>
            </w:pPr>
          </w:p>
        </w:tc>
        <w:tc>
          <w:tcPr>
            <w:tcW w:w="2976" w:type="dxa"/>
            <w:tcBorders>
              <w:top w:val="single" w:sz="4" w:space="0" w:color="auto"/>
              <w:left w:val="single" w:sz="18" w:space="0" w:color="auto"/>
              <w:bottom w:val="single" w:sz="18" w:space="0" w:color="auto"/>
              <w:right w:val="single" w:sz="18" w:space="0" w:color="auto"/>
            </w:tcBorders>
            <w:shd w:val="clear" w:color="auto" w:fill="auto"/>
            <w:noWrap/>
          </w:tcPr>
          <w:p w:rsidR="00BA4035" w:rsidRDefault="00BA4035" w:rsidP="00DF02AA">
            <w:pPr>
              <w:rPr>
                <w:rFonts w:ascii="Arial" w:eastAsia="Arial" w:hAnsi="Arial" w:cs="Arial"/>
                <w:color w:val="000000"/>
                <w:sz w:val="20"/>
                <w:szCs w:val="20"/>
                <w:lang w:eastAsia="en-AU"/>
              </w:rPr>
            </w:pPr>
            <w:proofErr w:type="spellStart"/>
            <w:r>
              <w:rPr>
                <w:rFonts w:ascii="Arial" w:eastAsia="Arial" w:hAnsi="Arial" w:cs="Arial"/>
                <w:color w:val="000000"/>
                <w:sz w:val="20"/>
                <w:szCs w:val="20"/>
                <w:lang w:eastAsia="en-AU"/>
              </w:rPr>
              <w:t>Geoglide</w:t>
            </w:r>
            <w:proofErr w:type="spellEnd"/>
            <w:r>
              <w:rPr>
                <w:rFonts w:ascii="Arial" w:eastAsia="Arial" w:hAnsi="Arial" w:cs="Arial"/>
                <w:color w:val="000000"/>
                <w:sz w:val="20"/>
                <w:szCs w:val="20"/>
                <w:lang w:eastAsia="en-AU"/>
              </w:rPr>
              <w:t xml:space="preserve"> Well Positioning Services</w:t>
            </w:r>
          </w:p>
        </w:tc>
        <w:tc>
          <w:tcPr>
            <w:tcW w:w="1560" w:type="dxa"/>
            <w:tcBorders>
              <w:top w:val="single" w:sz="4" w:space="0" w:color="auto"/>
              <w:left w:val="single" w:sz="18" w:space="0" w:color="auto"/>
              <w:bottom w:val="single" w:sz="18" w:space="0" w:color="auto"/>
              <w:right w:val="single" w:sz="18" w:space="0" w:color="auto"/>
            </w:tcBorders>
          </w:tcPr>
          <w:p w:rsidR="00BA4035" w:rsidRPr="00D621BB" w:rsidRDefault="00BA4035" w:rsidP="00DF02AA">
            <w:pPr>
              <w:rPr>
                <w:rFonts w:ascii="Arial" w:hAnsi="Arial" w:cs="Arial"/>
                <w:color w:val="000000"/>
                <w:sz w:val="20"/>
                <w:szCs w:val="20"/>
                <w:lang w:eastAsia="en-AU"/>
              </w:rPr>
            </w:pPr>
            <w:r>
              <w:rPr>
                <w:rFonts w:ascii="Arial" w:hAnsi="Arial" w:cs="Arial"/>
                <w:color w:val="000000"/>
                <w:sz w:val="20"/>
                <w:szCs w:val="20"/>
                <w:lang w:eastAsia="en-AU"/>
              </w:rPr>
              <w:t>Yes</w:t>
            </w:r>
          </w:p>
        </w:tc>
        <w:tc>
          <w:tcPr>
            <w:tcW w:w="1208" w:type="dxa"/>
            <w:tcBorders>
              <w:top w:val="single" w:sz="4" w:space="0" w:color="auto"/>
              <w:left w:val="single" w:sz="18" w:space="0" w:color="auto"/>
              <w:bottom w:val="single" w:sz="18" w:space="0" w:color="auto"/>
              <w:right w:val="single" w:sz="18" w:space="0" w:color="auto"/>
            </w:tcBorders>
          </w:tcPr>
          <w:p w:rsidR="00BA4035" w:rsidRPr="00D621BB" w:rsidRDefault="00BA4035" w:rsidP="00DF02AA">
            <w:pPr>
              <w:rPr>
                <w:rFonts w:ascii="Arial" w:hAnsi="Arial" w:cs="Arial"/>
                <w:color w:val="000000"/>
                <w:sz w:val="20"/>
                <w:szCs w:val="20"/>
                <w:lang w:eastAsia="en-AU"/>
              </w:rPr>
            </w:pPr>
            <w:r>
              <w:rPr>
                <w:rFonts w:ascii="Arial" w:hAnsi="Arial" w:cs="Arial"/>
                <w:color w:val="000000"/>
                <w:sz w:val="20"/>
                <w:szCs w:val="20"/>
                <w:lang w:eastAsia="en-AU"/>
              </w:rPr>
              <w:t>No</w:t>
            </w:r>
          </w:p>
        </w:tc>
        <w:tc>
          <w:tcPr>
            <w:tcW w:w="5671" w:type="dxa"/>
            <w:tcBorders>
              <w:top w:val="single" w:sz="4" w:space="0" w:color="auto"/>
              <w:left w:val="single" w:sz="18" w:space="0" w:color="auto"/>
              <w:bottom w:val="single" w:sz="18" w:space="0" w:color="auto"/>
              <w:right w:val="single" w:sz="18" w:space="0" w:color="auto"/>
            </w:tcBorders>
            <w:shd w:val="clear" w:color="auto" w:fill="auto"/>
            <w:noWrap/>
          </w:tcPr>
          <w:p w:rsidR="00BA4035" w:rsidRDefault="00BA4035" w:rsidP="00DF02AA">
            <w:pPr>
              <w:rPr>
                <w:rFonts w:ascii="Arial" w:hAnsi="Arial" w:cs="Arial"/>
                <w:color w:val="000000"/>
                <w:sz w:val="20"/>
                <w:szCs w:val="20"/>
                <w:lang w:eastAsia="en-AU"/>
              </w:rPr>
            </w:pPr>
          </w:p>
        </w:tc>
      </w:tr>
      <w:tr w:rsidR="00BA4035" w:rsidRPr="00D621BB" w:rsidTr="00DF02AA">
        <w:trPr>
          <w:cantSplit/>
          <w:trHeight w:val="300"/>
        </w:trPr>
        <w:tc>
          <w:tcPr>
            <w:tcW w:w="2425" w:type="dxa"/>
            <w:vMerge w:val="restart"/>
            <w:tcBorders>
              <w:top w:val="single" w:sz="18" w:space="0" w:color="auto"/>
              <w:left w:val="single" w:sz="18" w:space="0" w:color="auto"/>
              <w:right w:val="single" w:sz="18" w:space="0" w:color="auto"/>
            </w:tcBorders>
          </w:tcPr>
          <w:p w:rsidR="00BA4035" w:rsidRDefault="00BA4035" w:rsidP="00DF02AA">
            <w:pPr>
              <w:rPr>
                <w:rFonts w:ascii="Arial" w:hAnsi="Arial" w:cs="Arial"/>
                <w:color w:val="000000"/>
                <w:sz w:val="20"/>
                <w:szCs w:val="20"/>
                <w:lang w:eastAsia="en-AU"/>
              </w:rPr>
            </w:pPr>
            <w:r>
              <w:rPr>
                <w:rFonts w:ascii="Arial" w:hAnsi="Arial" w:cs="Arial"/>
                <w:color w:val="000000"/>
                <w:sz w:val="20"/>
                <w:szCs w:val="20"/>
                <w:lang w:eastAsia="en-AU"/>
              </w:rPr>
              <w:t>MWD / LWD</w:t>
            </w:r>
          </w:p>
        </w:tc>
        <w:tc>
          <w:tcPr>
            <w:tcW w:w="2976" w:type="dxa"/>
            <w:tcBorders>
              <w:top w:val="single" w:sz="18" w:space="0" w:color="auto"/>
              <w:left w:val="single" w:sz="18" w:space="0" w:color="auto"/>
              <w:bottom w:val="single" w:sz="8" w:space="0" w:color="auto"/>
              <w:right w:val="single" w:sz="18" w:space="0" w:color="auto"/>
            </w:tcBorders>
            <w:shd w:val="clear" w:color="auto" w:fill="auto"/>
            <w:noWrap/>
          </w:tcPr>
          <w:p w:rsidR="00BA4035" w:rsidRPr="00D621BB" w:rsidRDefault="00BA4035" w:rsidP="00DF02AA">
            <w:pPr>
              <w:rPr>
                <w:rFonts w:ascii="Arial" w:eastAsia="Arial" w:hAnsi="Arial" w:cs="Arial"/>
                <w:color w:val="000000"/>
                <w:sz w:val="20"/>
                <w:szCs w:val="20"/>
                <w:lang w:eastAsia="en-AU"/>
              </w:rPr>
            </w:pPr>
            <w:r>
              <w:rPr>
                <w:rFonts w:ascii="Arial" w:eastAsia="Arial" w:hAnsi="Arial" w:cs="Arial"/>
                <w:color w:val="000000"/>
                <w:sz w:val="20"/>
                <w:szCs w:val="20"/>
                <w:lang w:eastAsia="en-AU"/>
              </w:rPr>
              <w:t xml:space="preserve">Halliburton </w:t>
            </w:r>
          </w:p>
        </w:tc>
        <w:tc>
          <w:tcPr>
            <w:tcW w:w="1560" w:type="dxa"/>
            <w:tcBorders>
              <w:top w:val="single" w:sz="18" w:space="0" w:color="auto"/>
              <w:left w:val="single" w:sz="18" w:space="0" w:color="auto"/>
              <w:bottom w:val="single" w:sz="8" w:space="0" w:color="auto"/>
              <w:right w:val="single" w:sz="18" w:space="0" w:color="auto"/>
            </w:tcBorders>
          </w:tcPr>
          <w:p w:rsidR="00BA4035" w:rsidRPr="00D621BB" w:rsidRDefault="00BA4035" w:rsidP="00DF02AA">
            <w:pPr>
              <w:rPr>
                <w:rFonts w:ascii="Arial" w:hAnsi="Arial" w:cs="Arial"/>
                <w:color w:val="000000"/>
                <w:sz w:val="20"/>
                <w:szCs w:val="20"/>
                <w:lang w:eastAsia="en-AU"/>
              </w:rPr>
            </w:pPr>
            <w:r>
              <w:rPr>
                <w:rFonts w:ascii="Arial" w:hAnsi="Arial" w:cs="Arial"/>
                <w:color w:val="000000"/>
                <w:sz w:val="20"/>
                <w:szCs w:val="20"/>
                <w:lang w:eastAsia="en-AU"/>
              </w:rPr>
              <w:t>Yes</w:t>
            </w:r>
          </w:p>
        </w:tc>
        <w:tc>
          <w:tcPr>
            <w:tcW w:w="1208" w:type="dxa"/>
            <w:tcBorders>
              <w:top w:val="single" w:sz="18" w:space="0" w:color="auto"/>
              <w:left w:val="single" w:sz="18" w:space="0" w:color="auto"/>
              <w:bottom w:val="single" w:sz="8" w:space="0" w:color="auto"/>
              <w:right w:val="single" w:sz="18" w:space="0" w:color="auto"/>
            </w:tcBorders>
          </w:tcPr>
          <w:p w:rsidR="00BA4035" w:rsidRPr="00D621BB" w:rsidRDefault="00BA4035" w:rsidP="00DF02AA">
            <w:pPr>
              <w:rPr>
                <w:rFonts w:ascii="Arial" w:hAnsi="Arial" w:cs="Arial"/>
                <w:color w:val="000000"/>
                <w:sz w:val="20"/>
                <w:szCs w:val="20"/>
                <w:lang w:eastAsia="en-AU"/>
              </w:rPr>
            </w:pPr>
            <w:r>
              <w:rPr>
                <w:rFonts w:ascii="Arial" w:hAnsi="Arial" w:cs="Arial"/>
                <w:color w:val="000000"/>
                <w:sz w:val="20"/>
                <w:szCs w:val="20"/>
                <w:lang w:eastAsia="en-AU"/>
              </w:rPr>
              <w:t>Yes</w:t>
            </w:r>
          </w:p>
        </w:tc>
        <w:tc>
          <w:tcPr>
            <w:tcW w:w="5671" w:type="dxa"/>
            <w:tcBorders>
              <w:top w:val="single" w:sz="18" w:space="0" w:color="auto"/>
              <w:left w:val="single" w:sz="18" w:space="0" w:color="auto"/>
              <w:bottom w:val="single" w:sz="8" w:space="0" w:color="auto"/>
              <w:right w:val="single" w:sz="18" w:space="0" w:color="auto"/>
            </w:tcBorders>
            <w:shd w:val="clear" w:color="auto" w:fill="auto"/>
            <w:noWrap/>
          </w:tcPr>
          <w:p w:rsidR="00BA4035" w:rsidRPr="00D621BB" w:rsidRDefault="00BA4035" w:rsidP="00DF02AA">
            <w:pPr>
              <w:rPr>
                <w:rFonts w:ascii="Arial" w:hAnsi="Arial" w:cs="Arial"/>
                <w:color w:val="000000"/>
                <w:sz w:val="20"/>
                <w:szCs w:val="20"/>
                <w:lang w:eastAsia="en-AU"/>
              </w:rPr>
            </w:pPr>
          </w:p>
        </w:tc>
      </w:tr>
      <w:tr w:rsidR="00BA4035" w:rsidRPr="00D621BB" w:rsidTr="00DF02AA">
        <w:trPr>
          <w:cantSplit/>
          <w:trHeight w:val="300"/>
        </w:trPr>
        <w:tc>
          <w:tcPr>
            <w:tcW w:w="2425" w:type="dxa"/>
            <w:vMerge/>
            <w:tcBorders>
              <w:left w:val="single" w:sz="18" w:space="0" w:color="auto"/>
              <w:right w:val="single" w:sz="18" w:space="0" w:color="auto"/>
            </w:tcBorders>
          </w:tcPr>
          <w:p w:rsidR="00BA4035" w:rsidRDefault="00BA4035" w:rsidP="00DF02AA">
            <w:pPr>
              <w:rPr>
                <w:rFonts w:ascii="Arial" w:hAnsi="Arial" w:cs="Arial"/>
                <w:color w:val="000000"/>
                <w:sz w:val="20"/>
                <w:szCs w:val="20"/>
                <w:lang w:eastAsia="en-AU"/>
              </w:rPr>
            </w:pPr>
          </w:p>
        </w:tc>
        <w:tc>
          <w:tcPr>
            <w:tcW w:w="2976" w:type="dxa"/>
            <w:tcBorders>
              <w:top w:val="single" w:sz="8" w:space="0" w:color="auto"/>
              <w:left w:val="single" w:sz="18" w:space="0" w:color="auto"/>
              <w:bottom w:val="single" w:sz="8" w:space="0" w:color="auto"/>
              <w:right w:val="single" w:sz="18" w:space="0" w:color="auto"/>
            </w:tcBorders>
            <w:shd w:val="clear" w:color="auto" w:fill="auto"/>
            <w:noWrap/>
          </w:tcPr>
          <w:p w:rsidR="00BA4035" w:rsidRPr="00D621BB" w:rsidRDefault="00BA4035" w:rsidP="00DF02AA">
            <w:pPr>
              <w:rPr>
                <w:rFonts w:ascii="Arial" w:eastAsia="Arial" w:hAnsi="Arial" w:cs="Arial"/>
                <w:color w:val="000000"/>
                <w:sz w:val="20"/>
                <w:szCs w:val="20"/>
                <w:lang w:eastAsia="en-AU"/>
              </w:rPr>
            </w:pPr>
            <w:r>
              <w:rPr>
                <w:rFonts w:ascii="Arial" w:eastAsia="Arial" w:hAnsi="Arial" w:cs="Arial"/>
                <w:color w:val="000000"/>
                <w:sz w:val="20"/>
                <w:szCs w:val="20"/>
                <w:lang w:eastAsia="en-AU"/>
              </w:rPr>
              <w:t>Baker Hughes</w:t>
            </w:r>
          </w:p>
        </w:tc>
        <w:tc>
          <w:tcPr>
            <w:tcW w:w="1560" w:type="dxa"/>
            <w:tcBorders>
              <w:top w:val="single" w:sz="8" w:space="0" w:color="auto"/>
              <w:left w:val="single" w:sz="18" w:space="0" w:color="auto"/>
              <w:bottom w:val="single" w:sz="8" w:space="0" w:color="auto"/>
              <w:right w:val="single" w:sz="18" w:space="0" w:color="auto"/>
            </w:tcBorders>
          </w:tcPr>
          <w:p w:rsidR="00BA4035" w:rsidRPr="00D621BB" w:rsidRDefault="00BA4035" w:rsidP="00DF02AA">
            <w:pPr>
              <w:rPr>
                <w:rFonts w:ascii="Arial" w:hAnsi="Arial" w:cs="Arial"/>
                <w:color w:val="000000"/>
                <w:sz w:val="20"/>
                <w:szCs w:val="20"/>
                <w:lang w:eastAsia="en-AU"/>
              </w:rPr>
            </w:pPr>
            <w:r>
              <w:rPr>
                <w:rFonts w:ascii="Arial" w:hAnsi="Arial" w:cs="Arial"/>
                <w:color w:val="000000"/>
                <w:sz w:val="20"/>
                <w:szCs w:val="20"/>
                <w:lang w:eastAsia="en-AU"/>
              </w:rPr>
              <w:t>Yes</w:t>
            </w:r>
          </w:p>
        </w:tc>
        <w:tc>
          <w:tcPr>
            <w:tcW w:w="1208" w:type="dxa"/>
            <w:tcBorders>
              <w:top w:val="single" w:sz="8" w:space="0" w:color="auto"/>
              <w:left w:val="single" w:sz="18" w:space="0" w:color="auto"/>
              <w:bottom w:val="single" w:sz="8" w:space="0" w:color="auto"/>
              <w:right w:val="single" w:sz="18" w:space="0" w:color="auto"/>
            </w:tcBorders>
          </w:tcPr>
          <w:p w:rsidR="00BA4035" w:rsidRPr="00D621BB" w:rsidRDefault="00BA4035" w:rsidP="00DF02AA">
            <w:pPr>
              <w:rPr>
                <w:rFonts w:ascii="Arial" w:hAnsi="Arial" w:cs="Arial"/>
                <w:color w:val="000000"/>
                <w:sz w:val="20"/>
                <w:szCs w:val="20"/>
                <w:lang w:eastAsia="en-AU"/>
              </w:rPr>
            </w:pPr>
            <w:r>
              <w:rPr>
                <w:rFonts w:ascii="Arial" w:hAnsi="Arial" w:cs="Arial"/>
                <w:color w:val="000000"/>
                <w:sz w:val="20"/>
                <w:szCs w:val="20"/>
                <w:lang w:eastAsia="en-AU"/>
              </w:rPr>
              <w:t>Yes</w:t>
            </w:r>
          </w:p>
        </w:tc>
        <w:tc>
          <w:tcPr>
            <w:tcW w:w="5671" w:type="dxa"/>
            <w:tcBorders>
              <w:top w:val="single" w:sz="8" w:space="0" w:color="auto"/>
              <w:left w:val="single" w:sz="18" w:space="0" w:color="auto"/>
              <w:bottom w:val="single" w:sz="8" w:space="0" w:color="auto"/>
              <w:right w:val="single" w:sz="18" w:space="0" w:color="auto"/>
            </w:tcBorders>
            <w:shd w:val="clear" w:color="auto" w:fill="auto"/>
            <w:noWrap/>
          </w:tcPr>
          <w:p w:rsidR="00BA4035" w:rsidRPr="00D621BB" w:rsidRDefault="00BA4035" w:rsidP="00DF02AA">
            <w:pPr>
              <w:rPr>
                <w:rFonts w:ascii="Arial" w:hAnsi="Arial" w:cs="Arial"/>
                <w:color w:val="000000"/>
                <w:sz w:val="20"/>
                <w:szCs w:val="20"/>
                <w:lang w:eastAsia="en-AU"/>
              </w:rPr>
            </w:pPr>
          </w:p>
        </w:tc>
      </w:tr>
      <w:tr w:rsidR="00BA4035" w:rsidRPr="00D621BB" w:rsidTr="00DF02AA">
        <w:trPr>
          <w:cantSplit/>
          <w:trHeight w:val="300"/>
        </w:trPr>
        <w:tc>
          <w:tcPr>
            <w:tcW w:w="2425" w:type="dxa"/>
            <w:vMerge/>
            <w:tcBorders>
              <w:left w:val="single" w:sz="18" w:space="0" w:color="auto"/>
              <w:right w:val="single" w:sz="18" w:space="0" w:color="auto"/>
            </w:tcBorders>
          </w:tcPr>
          <w:p w:rsidR="00BA4035" w:rsidRPr="00D621BB" w:rsidRDefault="00BA4035" w:rsidP="00DF02AA">
            <w:pPr>
              <w:rPr>
                <w:rFonts w:ascii="Arial" w:hAnsi="Arial" w:cs="Arial"/>
                <w:color w:val="000000"/>
                <w:sz w:val="20"/>
                <w:szCs w:val="20"/>
                <w:lang w:eastAsia="en-AU"/>
              </w:rPr>
            </w:pPr>
          </w:p>
        </w:tc>
        <w:tc>
          <w:tcPr>
            <w:tcW w:w="2976" w:type="dxa"/>
            <w:tcBorders>
              <w:top w:val="single" w:sz="8" w:space="0" w:color="auto"/>
              <w:left w:val="single" w:sz="18" w:space="0" w:color="auto"/>
              <w:bottom w:val="single" w:sz="4" w:space="0" w:color="auto"/>
              <w:right w:val="single" w:sz="18" w:space="0" w:color="auto"/>
            </w:tcBorders>
            <w:shd w:val="clear" w:color="auto" w:fill="auto"/>
            <w:noWrap/>
          </w:tcPr>
          <w:p w:rsidR="00BA4035" w:rsidRPr="00D621BB" w:rsidRDefault="00BA4035" w:rsidP="00DF02AA">
            <w:pPr>
              <w:rPr>
                <w:rFonts w:ascii="Arial" w:eastAsia="Arial" w:hAnsi="Arial" w:cs="Arial"/>
                <w:color w:val="000000"/>
                <w:sz w:val="20"/>
                <w:szCs w:val="20"/>
                <w:lang w:eastAsia="en-AU"/>
              </w:rPr>
            </w:pPr>
            <w:r w:rsidRPr="00D621BB">
              <w:rPr>
                <w:rFonts w:ascii="Arial" w:eastAsia="Arial" w:hAnsi="Arial" w:cs="Arial"/>
                <w:color w:val="000000"/>
                <w:sz w:val="20"/>
                <w:szCs w:val="20"/>
                <w:lang w:eastAsia="en-AU"/>
              </w:rPr>
              <w:t>Schlumberger</w:t>
            </w:r>
          </w:p>
        </w:tc>
        <w:tc>
          <w:tcPr>
            <w:tcW w:w="1560" w:type="dxa"/>
            <w:tcBorders>
              <w:top w:val="single" w:sz="8" w:space="0" w:color="auto"/>
              <w:left w:val="single" w:sz="18" w:space="0" w:color="auto"/>
              <w:bottom w:val="single" w:sz="4" w:space="0" w:color="auto"/>
              <w:right w:val="single" w:sz="18" w:space="0" w:color="auto"/>
            </w:tcBorders>
          </w:tcPr>
          <w:p w:rsidR="00BA4035" w:rsidRPr="00D621BB" w:rsidRDefault="00BA4035" w:rsidP="00DF02AA">
            <w:pPr>
              <w:rPr>
                <w:rFonts w:ascii="Arial" w:hAnsi="Arial" w:cs="Arial"/>
                <w:color w:val="000000"/>
                <w:sz w:val="20"/>
                <w:szCs w:val="20"/>
                <w:lang w:eastAsia="en-AU"/>
              </w:rPr>
            </w:pPr>
            <w:r>
              <w:rPr>
                <w:rFonts w:ascii="Arial" w:hAnsi="Arial" w:cs="Arial"/>
                <w:color w:val="000000"/>
                <w:sz w:val="20"/>
                <w:szCs w:val="20"/>
                <w:lang w:eastAsia="en-AU"/>
              </w:rPr>
              <w:t>Yes</w:t>
            </w:r>
          </w:p>
        </w:tc>
        <w:tc>
          <w:tcPr>
            <w:tcW w:w="1208" w:type="dxa"/>
            <w:tcBorders>
              <w:top w:val="single" w:sz="8" w:space="0" w:color="auto"/>
              <w:left w:val="single" w:sz="18" w:space="0" w:color="auto"/>
              <w:bottom w:val="single" w:sz="4" w:space="0" w:color="auto"/>
              <w:right w:val="single" w:sz="18" w:space="0" w:color="auto"/>
            </w:tcBorders>
          </w:tcPr>
          <w:p w:rsidR="00BA4035" w:rsidRPr="00D621BB" w:rsidRDefault="00BA4035" w:rsidP="00DF02AA">
            <w:pPr>
              <w:rPr>
                <w:rFonts w:ascii="Arial" w:hAnsi="Arial" w:cs="Arial"/>
                <w:color w:val="000000"/>
                <w:sz w:val="20"/>
                <w:szCs w:val="20"/>
                <w:lang w:eastAsia="en-AU"/>
              </w:rPr>
            </w:pPr>
            <w:r>
              <w:rPr>
                <w:rFonts w:ascii="Arial" w:hAnsi="Arial" w:cs="Arial"/>
                <w:color w:val="000000"/>
                <w:sz w:val="20"/>
                <w:szCs w:val="20"/>
                <w:lang w:eastAsia="en-AU"/>
              </w:rPr>
              <w:t>Yes</w:t>
            </w:r>
          </w:p>
        </w:tc>
        <w:tc>
          <w:tcPr>
            <w:tcW w:w="5671" w:type="dxa"/>
            <w:tcBorders>
              <w:top w:val="single" w:sz="8" w:space="0" w:color="auto"/>
              <w:left w:val="single" w:sz="18" w:space="0" w:color="auto"/>
              <w:bottom w:val="single" w:sz="4" w:space="0" w:color="auto"/>
              <w:right w:val="single" w:sz="18" w:space="0" w:color="auto"/>
            </w:tcBorders>
            <w:shd w:val="clear" w:color="auto" w:fill="auto"/>
            <w:noWrap/>
          </w:tcPr>
          <w:p w:rsidR="00BA4035" w:rsidRPr="00D621BB" w:rsidRDefault="00BA4035" w:rsidP="00DF02AA">
            <w:pPr>
              <w:rPr>
                <w:rFonts w:ascii="Arial" w:hAnsi="Arial" w:cs="Arial"/>
                <w:color w:val="000000"/>
                <w:sz w:val="20"/>
                <w:szCs w:val="20"/>
                <w:lang w:eastAsia="en-AU"/>
              </w:rPr>
            </w:pPr>
          </w:p>
        </w:tc>
      </w:tr>
      <w:tr w:rsidR="00BA4035" w:rsidRPr="00D621BB" w:rsidTr="00DF02AA">
        <w:trPr>
          <w:cantSplit/>
          <w:trHeight w:val="300"/>
        </w:trPr>
        <w:tc>
          <w:tcPr>
            <w:tcW w:w="2425" w:type="dxa"/>
            <w:vMerge/>
            <w:tcBorders>
              <w:left w:val="single" w:sz="18" w:space="0" w:color="auto"/>
              <w:right w:val="single" w:sz="18" w:space="0" w:color="auto"/>
            </w:tcBorders>
            <w:vAlign w:val="center"/>
          </w:tcPr>
          <w:p w:rsidR="00BA4035" w:rsidRPr="00D621BB" w:rsidRDefault="00BA4035" w:rsidP="00DF02AA">
            <w:pPr>
              <w:rPr>
                <w:rFonts w:ascii="Arial" w:hAnsi="Arial" w:cs="Arial"/>
                <w:color w:val="000000"/>
                <w:sz w:val="20"/>
                <w:szCs w:val="20"/>
                <w:lang w:eastAsia="en-AU"/>
              </w:rPr>
            </w:pPr>
          </w:p>
        </w:tc>
        <w:tc>
          <w:tcPr>
            <w:tcW w:w="2976" w:type="dxa"/>
            <w:tcBorders>
              <w:top w:val="single" w:sz="4" w:space="0" w:color="auto"/>
              <w:left w:val="single" w:sz="18" w:space="0" w:color="auto"/>
              <w:bottom w:val="single" w:sz="4" w:space="0" w:color="auto"/>
              <w:right w:val="single" w:sz="18" w:space="0" w:color="auto"/>
            </w:tcBorders>
            <w:shd w:val="clear" w:color="auto" w:fill="auto"/>
            <w:noWrap/>
          </w:tcPr>
          <w:p w:rsidR="00BA4035" w:rsidRPr="00D621BB" w:rsidRDefault="00BA4035" w:rsidP="00DF02AA">
            <w:pPr>
              <w:rPr>
                <w:rFonts w:ascii="Arial" w:eastAsia="Arial" w:hAnsi="Arial" w:cs="Arial"/>
                <w:color w:val="000000"/>
                <w:sz w:val="20"/>
                <w:szCs w:val="20"/>
                <w:lang w:eastAsia="en-AU"/>
              </w:rPr>
            </w:pPr>
            <w:r w:rsidRPr="00D621BB">
              <w:rPr>
                <w:rFonts w:ascii="Arial" w:eastAsia="Arial" w:hAnsi="Arial" w:cs="Arial"/>
                <w:color w:val="000000"/>
                <w:sz w:val="20"/>
                <w:szCs w:val="20"/>
                <w:lang w:eastAsia="en-AU"/>
              </w:rPr>
              <w:t>Weatherford</w:t>
            </w:r>
          </w:p>
        </w:tc>
        <w:tc>
          <w:tcPr>
            <w:tcW w:w="1560" w:type="dxa"/>
            <w:tcBorders>
              <w:top w:val="single" w:sz="4" w:space="0" w:color="auto"/>
              <w:left w:val="single" w:sz="18" w:space="0" w:color="auto"/>
              <w:bottom w:val="single" w:sz="4" w:space="0" w:color="auto"/>
              <w:right w:val="single" w:sz="18" w:space="0" w:color="auto"/>
            </w:tcBorders>
          </w:tcPr>
          <w:p w:rsidR="00BA4035" w:rsidRPr="00D621BB" w:rsidRDefault="00BA4035" w:rsidP="00DF02AA">
            <w:pPr>
              <w:rPr>
                <w:rFonts w:ascii="Arial" w:hAnsi="Arial" w:cs="Arial"/>
                <w:color w:val="000000"/>
                <w:sz w:val="20"/>
                <w:szCs w:val="20"/>
                <w:lang w:eastAsia="en-AU"/>
              </w:rPr>
            </w:pPr>
            <w:r>
              <w:rPr>
                <w:rFonts w:ascii="Arial" w:hAnsi="Arial" w:cs="Arial"/>
                <w:color w:val="000000"/>
                <w:sz w:val="20"/>
                <w:szCs w:val="20"/>
                <w:lang w:eastAsia="en-AU"/>
              </w:rPr>
              <w:t>Yes</w:t>
            </w:r>
          </w:p>
        </w:tc>
        <w:tc>
          <w:tcPr>
            <w:tcW w:w="1208" w:type="dxa"/>
            <w:tcBorders>
              <w:top w:val="single" w:sz="4" w:space="0" w:color="auto"/>
              <w:left w:val="single" w:sz="18" w:space="0" w:color="auto"/>
              <w:bottom w:val="single" w:sz="4" w:space="0" w:color="auto"/>
              <w:right w:val="single" w:sz="18" w:space="0" w:color="auto"/>
            </w:tcBorders>
          </w:tcPr>
          <w:p w:rsidR="00BA4035" w:rsidRPr="00D621BB" w:rsidRDefault="00BA4035" w:rsidP="00DF02AA">
            <w:pPr>
              <w:rPr>
                <w:rFonts w:ascii="Arial" w:hAnsi="Arial" w:cs="Arial"/>
                <w:color w:val="000000"/>
                <w:sz w:val="20"/>
                <w:szCs w:val="20"/>
                <w:lang w:eastAsia="en-AU"/>
              </w:rPr>
            </w:pPr>
            <w:r>
              <w:rPr>
                <w:rFonts w:ascii="Arial" w:hAnsi="Arial" w:cs="Arial"/>
                <w:color w:val="000000"/>
                <w:sz w:val="20"/>
                <w:szCs w:val="20"/>
                <w:lang w:eastAsia="en-AU"/>
              </w:rPr>
              <w:t>No</w:t>
            </w:r>
          </w:p>
        </w:tc>
        <w:tc>
          <w:tcPr>
            <w:tcW w:w="5671" w:type="dxa"/>
            <w:tcBorders>
              <w:top w:val="single" w:sz="4" w:space="0" w:color="auto"/>
              <w:left w:val="single" w:sz="18" w:space="0" w:color="auto"/>
              <w:bottom w:val="single" w:sz="4" w:space="0" w:color="auto"/>
              <w:right w:val="single" w:sz="18" w:space="0" w:color="auto"/>
            </w:tcBorders>
            <w:shd w:val="clear" w:color="auto" w:fill="auto"/>
            <w:noWrap/>
          </w:tcPr>
          <w:p w:rsidR="00BA4035" w:rsidRPr="00D621BB" w:rsidRDefault="00BA4035" w:rsidP="00DF02AA">
            <w:pPr>
              <w:rPr>
                <w:rFonts w:ascii="Arial" w:hAnsi="Arial" w:cs="Arial"/>
                <w:color w:val="000000"/>
                <w:sz w:val="20"/>
                <w:szCs w:val="20"/>
                <w:lang w:eastAsia="en-AU"/>
              </w:rPr>
            </w:pPr>
          </w:p>
        </w:tc>
      </w:tr>
      <w:tr w:rsidR="00BA4035" w:rsidRPr="00D621BB" w:rsidTr="00DF02AA">
        <w:trPr>
          <w:cantSplit/>
          <w:trHeight w:val="300"/>
        </w:trPr>
        <w:tc>
          <w:tcPr>
            <w:tcW w:w="2425" w:type="dxa"/>
            <w:vMerge/>
            <w:tcBorders>
              <w:left w:val="single" w:sz="18" w:space="0" w:color="auto"/>
              <w:right w:val="single" w:sz="18" w:space="0" w:color="auto"/>
            </w:tcBorders>
            <w:vAlign w:val="center"/>
          </w:tcPr>
          <w:p w:rsidR="00BA4035" w:rsidRPr="00D621BB" w:rsidRDefault="00BA4035" w:rsidP="00DF02AA">
            <w:pPr>
              <w:rPr>
                <w:rFonts w:ascii="Arial" w:hAnsi="Arial" w:cs="Arial"/>
                <w:color w:val="000000"/>
                <w:sz w:val="20"/>
                <w:szCs w:val="20"/>
                <w:lang w:eastAsia="en-AU"/>
              </w:rPr>
            </w:pPr>
          </w:p>
        </w:tc>
        <w:tc>
          <w:tcPr>
            <w:tcW w:w="2976" w:type="dxa"/>
            <w:tcBorders>
              <w:top w:val="single" w:sz="4" w:space="0" w:color="auto"/>
              <w:left w:val="single" w:sz="18" w:space="0" w:color="auto"/>
              <w:bottom w:val="single" w:sz="4" w:space="0" w:color="auto"/>
              <w:right w:val="single" w:sz="18" w:space="0" w:color="auto"/>
            </w:tcBorders>
            <w:shd w:val="clear" w:color="auto" w:fill="auto"/>
            <w:noWrap/>
          </w:tcPr>
          <w:p w:rsidR="00BA4035" w:rsidRPr="00D621BB" w:rsidRDefault="00BA4035" w:rsidP="00DF02AA">
            <w:pPr>
              <w:rPr>
                <w:rFonts w:ascii="Arial" w:eastAsia="Arial" w:hAnsi="Arial" w:cs="Arial"/>
                <w:color w:val="000000"/>
                <w:sz w:val="20"/>
                <w:szCs w:val="20"/>
                <w:lang w:eastAsia="en-AU"/>
              </w:rPr>
            </w:pPr>
            <w:r w:rsidRPr="00D621BB">
              <w:rPr>
                <w:rFonts w:ascii="Arial" w:eastAsia="Arial" w:hAnsi="Arial" w:cs="Arial"/>
                <w:color w:val="000000"/>
                <w:sz w:val="20"/>
                <w:szCs w:val="20"/>
                <w:lang w:eastAsia="en-AU"/>
              </w:rPr>
              <w:t>Scientific Drilling International</w:t>
            </w:r>
          </w:p>
        </w:tc>
        <w:tc>
          <w:tcPr>
            <w:tcW w:w="1560" w:type="dxa"/>
            <w:tcBorders>
              <w:top w:val="single" w:sz="4" w:space="0" w:color="auto"/>
              <w:left w:val="single" w:sz="18" w:space="0" w:color="auto"/>
              <w:bottom w:val="single" w:sz="4" w:space="0" w:color="auto"/>
              <w:right w:val="single" w:sz="18" w:space="0" w:color="auto"/>
            </w:tcBorders>
          </w:tcPr>
          <w:p w:rsidR="00BA4035" w:rsidRPr="00D621BB" w:rsidRDefault="00BA4035" w:rsidP="00DF02AA">
            <w:pPr>
              <w:rPr>
                <w:rFonts w:ascii="Arial" w:hAnsi="Arial" w:cs="Arial"/>
                <w:color w:val="000000"/>
                <w:sz w:val="20"/>
                <w:szCs w:val="20"/>
                <w:lang w:eastAsia="en-AU"/>
              </w:rPr>
            </w:pPr>
            <w:r>
              <w:rPr>
                <w:rFonts w:ascii="Arial" w:hAnsi="Arial" w:cs="Arial"/>
                <w:color w:val="000000"/>
                <w:sz w:val="20"/>
                <w:szCs w:val="20"/>
                <w:lang w:eastAsia="en-AU"/>
              </w:rPr>
              <w:t>Yes</w:t>
            </w:r>
          </w:p>
        </w:tc>
        <w:tc>
          <w:tcPr>
            <w:tcW w:w="1208" w:type="dxa"/>
            <w:tcBorders>
              <w:top w:val="single" w:sz="4" w:space="0" w:color="auto"/>
              <w:left w:val="single" w:sz="18" w:space="0" w:color="auto"/>
              <w:bottom w:val="single" w:sz="4" w:space="0" w:color="auto"/>
              <w:right w:val="single" w:sz="18" w:space="0" w:color="auto"/>
            </w:tcBorders>
          </w:tcPr>
          <w:p w:rsidR="00BA4035" w:rsidRPr="00D621BB" w:rsidRDefault="00BA4035" w:rsidP="00DF02AA">
            <w:pPr>
              <w:rPr>
                <w:rFonts w:ascii="Arial" w:hAnsi="Arial" w:cs="Arial"/>
                <w:color w:val="000000"/>
                <w:sz w:val="20"/>
                <w:szCs w:val="20"/>
                <w:lang w:eastAsia="en-AU"/>
              </w:rPr>
            </w:pPr>
            <w:r>
              <w:rPr>
                <w:rFonts w:ascii="Arial" w:hAnsi="Arial" w:cs="Arial"/>
                <w:color w:val="000000"/>
                <w:sz w:val="20"/>
                <w:szCs w:val="20"/>
                <w:lang w:eastAsia="en-AU"/>
              </w:rPr>
              <w:t>No</w:t>
            </w:r>
          </w:p>
        </w:tc>
        <w:tc>
          <w:tcPr>
            <w:tcW w:w="5671" w:type="dxa"/>
            <w:tcBorders>
              <w:top w:val="single" w:sz="4" w:space="0" w:color="auto"/>
              <w:left w:val="single" w:sz="18" w:space="0" w:color="auto"/>
              <w:bottom w:val="single" w:sz="4" w:space="0" w:color="auto"/>
              <w:right w:val="single" w:sz="18" w:space="0" w:color="auto"/>
            </w:tcBorders>
            <w:shd w:val="clear" w:color="auto" w:fill="auto"/>
            <w:noWrap/>
          </w:tcPr>
          <w:p w:rsidR="00BA4035" w:rsidRPr="00D621BB" w:rsidRDefault="00BA4035" w:rsidP="00DF02AA">
            <w:pPr>
              <w:rPr>
                <w:rFonts w:ascii="Arial" w:hAnsi="Arial" w:cs="Arial"/>
                <w:color w:val="000000"/>
                <w:sz w:val="20"/>
                <w:szCs w:val="20"/>
                <w:lang w:eastAsia="en-AU"/>
              </w:rPr>
            </w:pPr>
          </w:p>
        </w:tc>
      </w:tr>
      <w:tr w:rsidR="00BA4035" w:rsidRPr="00D621BB" w:rsidTr="00DF02AA">
        <w:trPr>
          <w:cantSplit/>
          <w:trHeight w:val="300"/>
        </w:trPr>
        <w:tc>
          <w:tcPr>
            <w:tcW w:w="2425" w:type="dxa"/>
            <w:vMerge/>
            <w:tcBorders>
              <w:left w:val="single" w:sz="18" w:space="0" w:color="auto"/>
              <w:right w:val="single" w:sz="18" w:space="0" w:color="auto"/>
            </w:tcBorders>
            <w:vAlign w:val="center"/>
          </w:tcPr>
          <w:p w:rsidR="00BA4035" w:rsidRPr="00D621BB" w:rsidRDefault="00BA4035" w:rsidP="00DF02AA">
            <w:pPr>
              <w:rPr>
                <w:rFonts w:ascii="Arial" w:hAnsi="Arial" w:cs="Arial"/>
                <w:color w:val="000000"/>
                <w:sz w:val="20"/>
                <w:szCs w:val="20"/>
                <w:lang w:eastAsia="en-AU"/>
              </w:rPr>
            </w:pPr>
          </w:p>
        </w:tc>
        <w:tc>
          <w:tcPr>
            <w:tcW w:w="2976" w:type="dxa"/>
            <w:tcBorders>
              <w:top w:val="single" w:sz="4" w:space="0" w:color="auto"/>
              <w:left w:val="single" w:sz="18" w:space="0" w:color="auto"/>
              <w:bottom w:val="single" w:sz="4" w:space="0" w:color="auto"/>
              <w:right w:val="single" w:sz="18" w:space="0" w:color="auto"/>
            </w:tcBorders>
            <w:shd w:val="clear" w:color="auto" w:fill="auto"/>
            <w:noWrap/>
          </w:tcPr>
          <w:p w:rsidR="00BA4035" w:rsidRPr="00D621BB" w:rsidRDefault="00BA4035" w:rsidP="00DF02AA">
            <w:pPr>
              <w:rPr>
                <w:rFonts w:ascii="Arial" w:eastAsia="Arial" w:hAnsi="Arial" w:cs="Arial"/>
                <w:color w:val="000000"/>
                <w:sz w:val="20"/>
                <w:szCs w:val="20"/>
                <w:lang w:eastAsia="en-AU"/>
              </w:rPr>
            </w:pPr>
            <w:proofErr w:type="spellStart"/>
            <w:r w:rsidRPr="00D621BB">
              <w:rPr>
                <w:rFonts w:ascii="Arial" w:eastAsia="Arial" w:hAnsi="Arial" w:cs="Arial"/>
                <w:color w:val="000000"/>
                <w:sz w:val="20"/>
                <w:szCs w:val="20"/>
                <w:lang w:eastAsia="en-AU"/>
              </w:rPr>
              <w:t>Surtron</w:t>
            </w:r>
            <w:proofErr w:type="spellEnd"/>
            <w:r w:rsidRPr="00D621BB">
              <w:rPr>
                <w:rFonts w:ascii="Arial" w:eastAsia="Arial" w:hAnsi="Arial" w:cs="Arial"/>
                <w:color w:val="000000"/>
                <w:sz w:val="20"/>
                <w:szCs w:val="20"/>
                <w:lang w:eastAsia="en-AU"/>
              </w:rPr>
              <w:t xml:space="preserve"> Technologies</w:t>
            </w:r>
          </w:p>
        </w:tc>
        <w:tc>
          <w:tcPr>
            <w:tcW w:w="1560" w:type="dxa"/>
            <w:tcBorders>
              <w:top w:val="single" w:sz="4" w:space="0" w:color="auto"/>
              <w:left w:val="single" w:sz="18" w:space="0" w:color="auto"/>
              <w:bottom w:val="single" w:sz="4" w:space="0" w:color="auto"/>
              <w:right w:val="single" w:sz="18" w:space="0" w:color="auto"/>
            </w:tcBorders>
          </w:tcPr>
          <w:p w:rsidR="00BA4035" w:rsidRPr="00D621BB" w:rsidRDefault="00BA4035" w:rsidP="00DF02AA">
            <w:pPr>
              <w:rPr>
                <w:rFonts w:ascii="Arial" w:hAnsi="Arial" w:cs="Arial"/>
                <w:color w:val="000000"/>
                <w:sz w:val="20"/>
                <w:szCs w:val="20"/>
                <w:lang w:eastAsia="en-AU"/>
              </w:rPr>
            </w:pPr>
            <w:r>
              <w:rPr>
                <w:rFonts w:ascii="Arial" w:hAnsi="Arial" w:cs="Arial"/>
                <w:color w:val="000000"/>
                <w:sz w:val="20"/>
                <w:szCs w:val="20"/>
                <w:lang w:eastAsia="en-AU"/>
              </w:rPr>
              <w:t>Yes</w:t>
            </w:r>
          </w:p>
        </w:tc>
        <w:tc>
          <w:tcPr>
            <w:tcW w:w="1208" w:type="dxa"/>
            <w:tcBorders>
              <w:top w:val="single" w:sz="4" w:space="0" w:color="auto"/>
              <w:left w:val="single" w:sz="18" w:space="0" w:color="auto"/>
              <w:bottom w:val="single" w:sz="4" w:space="0" w:color="auto"/>
              <w:right w:val="single" w:sz="18" w:space="0" w:color="auto"/>
            </w:tcBorders>
          </w:tcPr>
          <w:p w:rsidR="00BA4035" w:rsidRPr="00D621BB" w:rsidRDefault="00BA4035" w:rsidP="00DF02AA">
            <w:pPr>
              <w:rPr>
                <w:rFonts w:ascii="Arial" w:hAnsi="Arial" w:cs="Arial"/>
                <w:color w:val="000000"/>
                <w:sz w:val="20"/>
                <w:szCs w:val="20"/>
                <w:lang w:eastAsia="en-AU"/>
              </w:rPr>
            </w:pPr>
            <w:r>
              <w:rPr>
                <w:rFonts w:ascii="Arial" w:hAnsi="Arial" w:cs="Arial"/>
                <w:color w:val="000000"/>
                <w:sz w:val="20"/>
                <w:szCs w:val="20"/>
                <w:lang w:eastAsia="en-AU"/>
              </w:rPr>
              <w:t>No</w:t>
            </w:r>
          </w:p>
        </w:tc>
        <w:tc>
          <w:tcPr>
            <w:tcW w:w="5671" w:type="dxa"/>
            <w:tcBorders>
              <w:top w:val="single" w:sz="4" w:space="0" w:color="auto"/>
              <w:left w:val="single" w:sz="18" w:space="0" w:color="auto"/>
              <w:bottom w:val="single" w:sz="4" w:space="0" w:color="auto"/>
              <w:right w:val="single" w:sz="18" w:space="0" w:color="auto"/>
            </w:tcBorders>
            <w:shd w:val="clear" w:color="auto" w:fill="auto"/>
            <w:noWrap/>
          </w:tcPr>
          <w:p w:rsidR="00BA4035" w:rsidRPr="00D621BB" w:rsidRDefault="00BA4035" w:rsidP="00DF02AA">
            <w:pPr>
              <w:rPr>
                <w:rFonts w:ascii="Arial" w:hAnsi="Arial" w:cs="Arial"/>
                <w:color w:val="000000"/>
                <w:sz w:val="20"/>
                <w:szCs w:val="20"/>
                <w:lang w:eastAsia="en-AU"/>
              </w:rPr>
            </w:pPr>
          </w:p>
        </w:tc>
      </w:tr>
      <w:tr w:rsidR="00BA4035" w:rsidRPr="00D621BB" w:rsidTr="00DF02AA">
        <w:trPr>
          <w:cantSplit/>
          <w:trHeight w:val="300"/>
        </w:trPr>
        <w:tc>
          <w:tcPr>
            <w:tcW w:w="2425" w:type="dxa"/>
            <w:vMerge/>
            <w:tcBorders>
              <w:left w:val="single" w:sz="18" w:space="0" w:color="auto"/>
              <w:right w:val="single" w:sz="18" w:space="0" w:color="auto"/>
            </w:tcBorders>
            <w:vAlign w:val="center"/>
          </w:tcPr>
          <w:p w:rsidR="00BA4035" w:rsidRPr="00D621BB" w:rsidRDefault="00BA4035" w:rsidP="00DF02AA">
            <w:pPr>
              <w:rPr>
                <w:rFonts w:ascii="Arial" w:hAnsi="Arial" w:cs="Arial"/>
                <w:color w:val="000000"/>
                <w:sz w:val="20"/>
                <w:szCs w:val="20"/>
                <w:lang w:eastAsia="en-AU"/>
              </w:rPr>
            </w:pPr>
          </w:p>
        </w:tc>
        <w:tc>
          <w:tcPr>
            <w:tcW w:w="2976" w:type="dxa"/>
            <w:tcBorders>
              <w:top w:val="single" w:sz="4" w:space="0" w:color="auto"/>
              <w:left w:val="single" w:sz="18" w:space="0" w:color="auto"/>
              <w:bottom w:val="single" w:sz="4" w:space="0" w:color="auto"/>
              <w:right w:val="single" w:sz="18" w:space="0" w:color="auto"/>
            </w:tcBorders>
            <w:shd w:val="clear" w:color="auto" w:fill="auto"/>
            <w:noWrap/>
          </w:tcPr>
          <w:p w:rsidR="00BA4035" w:rsidRPr="00D621BB" w:rsidRDefault="00BA4035" w:rsidP="00DF02AA">
            <w:pPr>
              <w:rPr>
                <w:rFonts w:ascii="Arial" w:eastAsia="Arial" w:hAnsi="Arial" w:cs="Arial"/>
                <w:color w:val="000000"/>
                <w:sz w:val="20"/>
                <w:szCs w:val="20"/>
                <w:lang w:eastAsia="en-AU"/>
              </w:rPr>
            </w:pPr>
            <w:r>
              <w:rPr>
                <w:rFonts w:ascii="Arial" w:eastAsia="Arial" w:hAnsi="Arial" w:cs="Arial"/>
                <w:color w:val="000000"/>
                <w:sz w:val="20"/>
                <w:szCs w:val="20"/>
                <w:lang w:eastAsia="en-AU"/>
              </w:rPr>
              <w:t>NOV</w:t>
            </w:r>
          </w:p>
        </w:tc>
        <w:tc>
          <w:tcPr>
            <w:tcW w:w="1560" w:type="dxa"/>
            <w:tcBorders>
              <w:top w:val="single" w:sz="4" w:space="0" w:color="auto"/>
              <w:left w:val="single" w:sz="18" w:space="0" w:color="auto"/>
              <w:bottom w:val="single" w:sz="4" w:space="0" w:color="auto"/>
              <w:right w:val="single" w:sz="18" w:space="0" w:color="auto"/>
            </w:tcBorders>
          </w:tcPr>
          <w:p w:rsidR="00BA4035" w:rsidRPr="00D621BB" w:rsidRDefault="00BA4035" w:rsidP="00DF02AA">
            <w:pPr>
              <w:rPr>
                <w:rFonts w:ascii="Arial" w:hAnsi="Arial" w:cs="Arial"/>
                <w:color w:val="000000"/>
                <w:sz w:val="20"/>
                <w:szCs w:val="20"/>
                <w:lang w:eastAsia="en-AU"/>
              </w:rPr>
            </w:pPr>
            <w:r>
              <w:rPr>
                <w:rFonts w:ascii="Arial" w:hAnsi="Arial" w:cs="Arial"/>
                <w:color w:val="000000"/>
                <w:sz w:val="20"/>
                <w:szCs w:val="20"/>
                <w:lang w:eastAsia="en-AU"/>
              </w:rPr>
              <w:t>Yes</w:t>
            </w:r>
          </w:p>
        </w:tc>
        <w:tc>
          <w:tcPr>
            <w:tcW w:w="1208" w:type="dxa"/>
            <w:tcBorders>
              <w:top w:val="single" w:sz="4" w:space="0" w:color="auto"/>
              <w:left w:val="single" w:sz="18" w:space="0" w:color="auto"/>
              <w:bottom w:val="single" w:sz="4" w:space="0" w:color="auto"/>
              <w:right w:val="single" w:sz="18" w:space="0" w:color="auto"/>
            </w:tcBorders>
          </w:tcPr>
          <w:p w:rsidR="00BA4035" w:rsidRPr="00D621BB" w:rsidRDefault="00BA4035" w:rsidP="00DF02AA">
            <w:pPr>
              <w:rPr>
                <w:rFonts w:ascii="Arial" w:hAnsi="Arial" w:cs="Arial"/>
                <w:color w:val="000000"/>
                <w:sz w:val="20"/>
                <w:szCs w:val="20"/>
                <w:lang w:eastAsia="en-AU"/>
              </w:rPr>
            </w:pPr>
            <w:r>
              <w:rPr>
                <w:rFonts w:ascii="Arial" w:hAnsi="Arial" w:cs="Arial"/>
                <w:color w:val="000000"/>
                <w:sz w:val="20"/>
                <w:szCs w:val="20"/>
                <w:lang w:eastAsia="en-AU"/>
              </w:rPr>
              <w:t>Yes</w:t>
            </w:r>
          </w:p>
        </w:tc>
        <w:tc>
          <w:tcPr>
            <w:tcW w:w="5671" w:type="dxa"/>
            <w:tcBorders>
              <w:top w:val="single" w:sz="4" w:space="0" w:color="auto"/>
              <w:left w:val="single" w:sz="18" w:space="0" w:color="auto"/>
              <w:bottom w:val="single" w:sz="4" w:space="0" w:color="auto"/>
              <w:right w:val="single" w:sz="18" w:space="0" w:color="auto"/>
            </w:tcBorders>
            <w:shd w:val="clear" w:color="auto" w:fill="auto"/>
            <w:noWrap/>
          </w:tcPr>
          <w:p w:rsidR="00BA4035" w:rsidRPr="00D621BB" w:rsidRDefault="00BA4035" w:rsidP="00DF02AA">
            <w:pPr>
              <w:rPr>
                <w:rFonts w:ascii="Arial" w:hAnsi="Arial" w:cs="Arial"/>
                <w:color w:val="000000"/>
                <w:sz w:val="20"/>
                <w:szCs w:val="20"/>
                <w:lang w:eastAsia="en-AU"/>
              </w:rPr>
            </w:pPr>
            <w:r>
              <w:rPr>
                <w:rFonts w:ascii="Arial" w:hAnsi="Arial" w:cs="Arial"/>
                <w:color w:val="000000"/>
                <w:sz w:val="20"/>
                <w:szCs w:val="20"/>
                <w:lang w:eastAsia="en-AU"/>
              </w:rPr>
              <w:t xml:space="preserve">Provides rental services for tools and equipment. </w:t>
            </w:r>
          </w:p>
        </w:tc>
      </w:tr>
      <w:tr w:rsidR="00BA4035" w:rsidRPr="00D621BB" w:rsidTr="00DF02AA">
        <w:trPr>
          <w:cantSplit/>
          <w:trHeight w:val="300"/>
        </w:trPr>
        <w:tc>
          <w:tcPr>
            <w:tcW w:w="2425" w:type="dxa"/>
            <w:vMerge/>
            <w:tcBorders>
              <w:left w:val="single" w:sz="18" w:space="0" w:color="auto"/>
              <w:right w:val="single" w:sz="18" w:space="0" w:color="auto"/>
            </w:tcBorders>
            <w:vAlign w:val="center"/>
          </w:tcPr>
          <w:p w:rsidR="00BA4035" w:rsidRPr="00D621BB" w:rsidRDefault="00BA4035" w:rsidP="00DF02AA">
            <w:pPr>
              <w:rPr>
                <w:rFonts w:ascii="Arial" w:hAnsi="Arial" w:cs="Arial"/>
                <w:color w:val="000000"/>
                <w:sz w:val="20"/>
                <w:szCs w:val="20"/>
                <w:lang w:eastAsia="en-AU"/>
              </w:rPr>
            </w:pPr>
          </w:p>
        </w:tc>
        <w:tc>
          <w:tcPr>
            <w:tcW w:w="2976" w:type="dxa"/>
            <w:tcBorders>
              <w:top w:val="single" w:sz="4" w:space="0" w:color="auto"/>
              <w:left w:val="single" w:sz="18" w:space="0" w:color="auto"/>
              <w:bottom w:val="single" w:sz="4" w:space="0" w:color="auto"/>
              <w:right w:val="single" w:sz="18" w:space="0" w:color="auto"/>
            </w:tcBorders>
            <w:shd w:val="clear" w:color="auto" w:fill="auto"/>
            <w:noWrap/>
          </w:tcPr>
          <w:p w:rsidR="00BA4035" w:rsidRPr="00D621BB" w:rsidRDefault="00BA4035" w:rsidP="00DF02AA">
            <w:pPr>
              <w:rPr>
                <w:rFonts w:ascii="Arial" w:eastAsia="Arial" w:hAnsi="Arial" w:cs="Arial"/>
                <w:color w:val="000000"/>
                <w:sz w:val="20"/>
                <w:szCs w:val="20"/>
                <w:lang w:eastAsia="en-AU"/>
              </w:rPr>
            </w:pPr>
            <w:r>
              <w:rPr>
                <w:rFonts w:ascii="Arial" w:eastAsia="Arial" w:hAnsi="Arial" w:cs="Arial"/>
                <w:color w:val="000000"/>
                <w:sz w:val="20"/>
                <w:szCs w:val="20"/>
                <w:lang w:eastAsia="en-AU"/>
              </w:rPr>
              <w:t>Stealth Tools</w:t>
            </w:r>
          </w:p>
        </w:tc>
        <w:tc>
          <w:tcPr>
            <w:tcW w:w="1560" w:type="dxa"/>
            <w:tcBorders>
              <w:top w:val="single" w:sz="4" w:space="0" w:color="auto"/>
              <w:left w:val="single" w:sz="18" w:space="0" w:color="auto"/>
              <w:bottom w:val="single" w:sz="4" w:space="0" w:color="auto"/>
              <w:right w:val="single" w:sz="18" w:space="0" w:color="auto"/>
            </w:tcBorders>
          </w:tcPr>
          <w:p w:rsidR="00BA4035" w:rsidRPr="00D621BB" w:rsidRDefault="00BA4035" w:rsidP="00DF02AA">
            <w:pPr>
              <w:rPr>
                <w:rFonts w:ascii="Arial" w:hAnsi="Arial" w:cs="Arial"/>
                <w:color w:val="000000"/>
                <w:sz w:val="20"/>
                <w:szCs w:val="20"/>
                <w:lang w:eastAsia="en-AU"/>
              </w:rPr>
            </w:pPr>
            <w:r>
              <w:rPr>
                <w:rFonts w:ascii="Arial" w:hAnsi="Arial" w:cs="Arial"/>
                <w:color w:val="000000"/>
                <w:sz w:val="20"/>
                <w:szCs w:val="20"/>
                <w:lang w:eastAsia="en-AU"/>
              </w:rPr>
              <w:t>Yes</w:t>
            </w:r>
          </w:p>
        </w:tc>
        <w:tc>
          <w:tcPr>
            <w:tcW w:w="1208" w:type="dxa"/>
            <w:tcBorders>
              <w:top w:val="single" w:sz="4" w:space="0" w:color="auto"/>
              <w:left w:val="single" w:sz="18" w:space="0" w:color="auto"/>
              <w:bottom w:val="single" w:sz="4" w:space="0" w:color="auto"/>
              <w:right w:val="single" w:sz="18" w:space="0" w:color="auto"/>
            </w:tcBorders>
          </w:tcPr>
          <w:p w:rsidR="00BA4035" w:rsidRPr="00D621BB" w:rsidRDefault="00BA4035" w:rsidP="00DF02AA">
            <w:pPr>
              <w:rPr>
                <w:rFonts w:ascii="Arial" w:hAnsi="Arial" w:cs="Arial"/>
                <w:color w:val="000000"/>
                <w:sz w:val="20"/>
                <w:szCs w:val="20"/>
                <w:lang w:eastAsia="en-AU"/>
              </w:rPr>
            </w:pPr>
            <w:r>
              <w:rPr>
                <w:rFonts w:ascii="Arial" w:hAnsi="Arial" w:cs="Arial"/>
                <w:color w:val="000000"/>
                <w:sz w:val="20"/>
                <w:szCs w:val="20"/>
                <w:lang w:eastAsia="en-AU"/>
              </w:rPr>
              <w:t>No</w:t>
            </w:r>
          </w:p>
        </w:tc>
        <w:tc>
          <w:tcPr>
            <w:tcW w:w="5671" w:type="dxa"/>
            <w:tcBorders>
              <w:top w:val="single" w:sz="4" w:space="0" w:color="auto"/>
              <w:left w:val="single" w:sz="18" w:space="0" w:color="auto"/>
              <w:bottom w:val="single" w:sz="4" w:space="0" w:color="auto"/>
              <w:right w:val="single" w:sz="18" w:space="0" w:color="auto"/>
            </w:tcBorders>
            <w:shd w:val="clear" w:color="auto" w:fill="auto"/>
            <w:noWrap/>
          </w:tcPr>
          <w:p w:rsidR="00BA4035" w:rsidRPr="00D621BB" w:rsidRDefault="00BA4035" w:rsidP="00DF02AA">
            <w:pPr>
              <w:rPr>
                <w:rFonts w:ascii="Arial" w:hAnsi="Arial" w:cs="Arial"/>
                <w:color w:val="000000"/>
                <w:sz w:val="20"/>
                <w:szCs w:val="20"/>
                <w:lang w:eastAsia="en-AU"/>
              </w:rPr>
            </w:pPr>
            <w:r>
              <w:rPr>
                <w:rFonts w:ascii="Arial" w:hAnsi="Arial" w:cs="Arial"/>
                <w:color w:val="000000"/>
                <w:sz w:val="20"/>
                <w:szCs w:val="20"/>
                <w:lang w:eastAsia="en-AU"/>
              </w:rPr>
              <w:t xml:space="preserve">Provides rental services for tools and equipment.  </w:t>
            </w:r>
          </w:p>
        </w:tc>
      </w:tr>
      <w:tr w:rsidR="00BA4035" w:rsidRPr="00D621BB" w:rsidTr="00DF02AA">
        <w:trPr>
          <w:cantSplit/>
          <w:trHeight w:val="300"/>
        </w:trPr>
        <w:tc>
          <w:tcPr>
            <w:tcW w:w="2425" w:type="dxa"/>
            <w:vMerge/>
            <w:tcBorders>
              <w:left w:val="single" w:sz="18" w:space="0" w:color="auto"/>
              <w:bottom w:val="single" w:sz="18" w:space="0" w:color="auto"/>
              <w:right w:val="single" w:sz="18" w:space="0" w:color="auto"/>
            </w:tcBorders>
            <w:vAlign w:val="center"/>
          </w:tcPr>
          <w:p w:rsidR="00BA4035" w:rsidRPr="00D621BB" w:rsidRDefault="00BA4035" w:rsidP="00DF02AA">
            <w:pPr>
              <w:rPr>
                <w:rFonts w:ascii="Arial" w:hAnsi="Arial" w:cs="Arial"/>
                <w:color w:val="000000"/>
                <w:sz w:val="20"/>
                <w:szCs w:val="20"/>
                <w:lang w:eastAsia="en-AU"/>
              </w:rPr>
            </w:pPr>
          </w:p>
        </w:tc>
        <w:tc>
          <w:tcPr>
            <w:tcW w:w="2976" w:type="dxa"/>
            <w:tcBorders>
              <w:top w:val="single" w:sz="4" w:space="0" w:color="auto"/>
              <w:left w:val="single" w:sz="18" w:space="0" w:color="auto"/>
              <w:bottom w:val="single" w:sz="18" w:space="0" w:color="auto"/>
              <w:right w:val="single" w:sz="18" w:space="0" w:color="auto"/>
            </w:tcBorders>
            <w:shd w:val="clear" w:color="auto" w:fill="auto"/>
            <w:noWrap/>
          </w:tcPr>
          <w:p w:rsidR="00BA4035" w:rsidRPr="00D621BB" w:rsidRDefault="00BA4035" w:rsidP="00DF02AA">
            <w:pPr>
              <w:rPr>
                <w:rFonts w:ascii="Arial" w:eastAsia="Arial" w:hAnsi="Arial" w:cs="Arial"/>
                <w:color w:val="000000"/>
                <w:sz w:val="20"/>
                <w:szCs w:val="20"/>
                <w:lang w:eastAsia="en-AU"/>
              </w:rPr>
            </w:pPr>
            <w:proofErr w:type="spellStart"/>
            <w:r w:rsidRPr="00D621BB">
              <w:rPr>
                <w:rFonts w:ascii="Arial" w:eastAsia="Arial" w:hAnsi="Arial" w:cs="Arial"/>
                <w:color w:val="000000"/>
                <w:sz w:val="20"/>
                <w:szCs w:val="20"/>
                <w:lang w:eastAsia="en-AU"/>
              </w:rPr>
              <w:t>Geoglide</w:t>
            </w:r>
            <w:proofErr w:type="spellEnd"/>
            <w:r w:rsidRPr="00D621BB">
              <w:rPr>
                <w:rFonts w:ascii="Arial" w:eastAsia="Arial" w:hAnsi="Arial" w:cs="Arial"/>
                <w:color w:val="000000"/>
                <w:sz w:val="20"/>
                <w:szCs w:val="20"/>
                <w:lang w:eastAsia="en-AU"/>
              </w:rPr>
              <w:t xml:space="preserve"> Well Positioning Services</w:t>
            </w:r>
          </w:p>
        </w:tc>
        <w:tc>
          <w:tcPr>
            <w:tcW w:w="1560" w:type="dxa"/>
            <w:tcBorders>
              <w:top w:val="single" w:sz="4" w:space="0" w:color="auto"/>
              <w:left w:val="single" w:sz="18" w:space="0" w:color="auto"/>
              <w:bottom w:val="single" w:sz="18" w:space="0" w:color="auto"/>
              <w:right w:val="single" w:sz="18" w:space="0" w:color="auto"/>
            </w:tcBorders>
          </w:tcPr>
          <w:p w:rsidR="00BA4035" w:rsidRPr="00D621BB" w:rsidRDefault="00BA4035" w:rsidP="00DF02AA">
            <w:pPr>
              <w:rPr>
                <w:rFonts w:ascii="Arial" w:hAnsi="Arial" w:cs="Arial"/>
                <w:color w:val="000000"/>
                <w:sz w:val="20"/>
                <w:szCs w:val="20"/>
                <w:lang w:eastAsia="en-AU"/>
              </w:rPr>
            </w:pPr>
            <w:r>
              <w:rPr>
                <w:rFonts w:ascii="Arial" w:hAnsi="Arial" w:cs="Arial"/>
                <w:color w:val="000000"/>
                <w:sz w:val="20"/>
                <w:szCs w:val="20"/>
                <w:lang w:eastAsia="en-AU"/>
              </w:rPr>
              <w:t>Yes</w:t>
            </w:r>
          </w:p>
        </w:tc>
        <w:tc>
          <w:tcPr>
            <w:tcW w:w="1208" w:type="dxa"/>
            <w:tcBorders>
              <w:top w:val="single" w:sz="4" w:space="0" w:color="auto"/>
              <w:left w:val="single" w:sz="18" w:space="0" w:color="auto"/>
              <w:bottom w:val="single" w:sz="18" w:space="0" w:color="auto"/>
              <w:right w:val="single" w:sz="18" w:space="0" w:color="auto"/>
            </w:tcBorders>
          </w:tcPr>
          <w:p w:rsidR="00BA4035" w:rsidRPr="00D621BB" w:rsidRDefault="00BA4035" w:rsidP="00DF02AA">
            <w:pPr>
              <w:rPr>
                <w:rFonts w:ascii="Arial" w:hAnsi="Arial" w:cs="Arial"/>
                <w:color w:val="000000"/>
                <w:sz w:val="20"/>
                <w:szCs w:val="20"/>
                <w:lang w:eastAsia="en-AU"/>
              </w:rPr>
            </w:pPr>
            <w:r>
              <w:rPr>
                <w:rFonts w:ascii="Arial" w:hAnsi="Arial" w:cs="Arial"/>
                <w:color w:val="000000"/>
                <w:sz w:val="20"/>
                <w:szCs w:val="20"/>
                <w:lang w:eastAsia="en-AU"/>
              </w:rPr>
              <w:t>No</w:t>
            </w:r>
          </w:p>
        </w:tc>
        <w:tc>
          <w:tcPr>
            <w:tcW w:w="5671" w:type="dxa"/>
            <w:tcBorders>
              <w:top w:val="single" w:sz="4" w:space="0" w:color="auto"/>
              <w:left w:val="single" w:sz="18" w:space="0" w:color="auto"/>
              <w:bottom w:val="single" w:sz="18" w:space="0" w:color="auto"/>
              <w:right w:val="single" w:sz="18" w:space="0" w:color="auto"/>
            </w:tcBorders>
            <w:shd w:val="clear" w:color="auto" w:fill="auto"/>
            <w:noWrap/>
          </w:tcPr>
          <w:p w:rsidR="00BA4035" w:rsidRPr="00D621BB" w:rsidRDefault="00BA4035" w:rsidP="00DF02AA">
            <w:pPr>
              <w:rPr>
                <w:rFonts w:ascii="Arial" w:hAnsi="Arial" w:cs="Arial"/>
                <w:color w:val="000000"/>
                <w:sz w:val="20"/>
                <w:szCs w:val="20"/>
                <w:lang w:eastAsia="en-AU"/>
              </w:rPr>
            </w:pPr>
            <w:r>
              <w:rPr>
                <w:rFonts w:ascii="Arial" w:hAnsi="Arial" w:cs="Arial"/>
                <w:color w:val="000000"/>
                <w:sz w:val="20"/>
                <w:szCs w:val="20"/>
                <w:lang w:eastAsia="en-AU"/>
              </w:rPr>
              <w:t xml:space="preserve">Understood to not be active in LWD. </w:t>
            </w:r>
          </w:p>
        </w:tc>
      </w:tr>
      <w:tr w:rsidR="00BA4035" w:rsidRPr="00D621BB" w:rsidTr="00DF02AA">
        <w:trPr>
          <w:cantSplit/>
          <w:trHeight w:val="300"/>
        </w:trPr>
        <w:tc>
          <w:tcPr>
            <w:tcW w:w="2425" w:type="dxa"/>
            <w:vMerge w:val="restart"/>
            <w:tcBorders>
              <w:top w:val="single" w:sz="18" w:space="0" w:color="auto"/>
              <w:left w:val="single" w:sz="18" w:space="0" w:color="auto"/>
              <w:right w:val="single" w:sz="18" w:space="0" w:color="auto"/>
            </w:tcBorders>
            <w:shd w:val="clear" w:color="auto" w:fill="auto"/>
            <w:noWrap/>
          </w:tcPr>
          <w:p w:rsidR="00BA4035" w:rsidRPr="00D621BB" w:rsidRDefault="00BA4035" w:rsidP="00DF02AA">
            <w:pPr>
              <w:rPr>
                <w:rFonts w:ascii="Arial" w:hAnsi="Arial" w:cs="Arial"/>
                <w:color w:val="000000"/>
                <w:sz w:val="20"/>
                <w:szCs w:val="20"/>
                <w:lang w:eastAsia="en-AU"/>
              </w:rPr>
            </w:pPr>
            <w:r>
              <w:rPr>
                <w:rFonts w:ascii="Arial" w:hAnsi="Arial" w:cs="Arial"/>
                <w:color w:val="000000"/>
                <w:sz w:val="20"/>
                <w:szCs w:val="20"/>
                <w:lang w:eastAsia="en-AU"/>
              </w:rPr>
              <w:lastRenderedPageBreak/>
              <w:t>Wireline – cased</w:t>
            </w:r>
            <w:r w:rsidRPr="00D621BB">
              <w:rPr>
                <w:rFonts w:ascii="Arial" w:hAnsi="Arial" w:cs="Arial"/>
                <w:color w:val="000000"/>
                <w:sz w:val="20"/>
                <w:szCs w:val="20"/>
                <w:lang w:eastAsia="en-AU"/>
              </w:rPr>
              <w:t xml:space="preserve"> hole </w:t>
            </w:r>
          </w:p>
        </w:tc>
        <w:tc>
          <w:tcPr>
            <w:tcW w:w="2976" w:type="dxa"/>
            <w:tcBorders>
              <w:top w:val="single" w:sz="18" w:space="0" w:color="auto"/>
              <w:left w:val="single" w:sz="18" w:space="0" w:color="auto"/>
              <w:bottom w:val="single" w:sz="8" w:space="0" w:color="auto"/>
              <w:right w:val="single" w:sz="18" w:space="0" w:color="auto"/>
            </w:tcBorders>
            <w:shd w:val="clear" w:color="auto" w:fill="auto"/>
            <w:noWrap/>
          </w:tcPr>
          <w:p w:rsidR="00BA4035" w:rsidRPr="00D621BB" w:rsidRDefault="00BA4035" w:rsidP="00DF02AA">
            <w:pPr>
              <w:rPr>
                <w:rFonts w:ascii="Arial" w:eastAsia="Arial" w:hAnsi="Arial" w:cs="Arial"/>
                <w:color w:val="000000"/>
                <w:sz w:val="20"/>
                <w:szCs w:val="20"/>
                <w:lang w:eastAsia="en-AU"/>
              </w:rPr>
            </w:pPr>
            <w:r>
              <w:rPr>
                <w:rFonts w:ascii="Arial" w:eastAsia="Arial" w:hAnsi="Arial" w:cs="Arial"/>
                <w:color w:val="000000"/>
                <w:sz w:val="20"/>
                <w:szCs w:val="20"/>
                <w:lang w:eastAsia="en-AU"/>
              </w:rPr>
              <w:t xml:space="preserve">Halliburton </w:t>
            </w:r>
          </w:p>
        </w:tc>
        <w:tc>
          <w:tcPr>
            <w:tcW w:w="1560" w:type="dxa"/>
            <w:tcBorders>
              <w:top w:val="single" w:sz="18" w:space="0" w:color="auto"/>
              <w:left w:val="single" w:sz="18" w:space="0" w:color="auto"/>
              <w:bottom w:val="single" w:sz="8" w:space="0" w:color="auto"/>
              <w:right w:val="single" w:sz="18" w:space="0" w:color="auto"/>
            </w:tcBorders>
          </w:tcPr>
          <w:p w:rsidR="00BA4035" w:rsidRPr="00D621BB" w:rsidRDefault="00BA4035" w:rsidP="00DF02AA">
            <w:pPr>
              <w:rPr>
                <w:rFonts w:ascii="Arial" w:hAnsi="Arial" w:cs="Arial"/>
                <w:color w:val="000000"/>
                <w:sz w:val="20"/>
                <w:szCs w:val="20"/>
                <w:lang w:eastAsia="en-AU"/>
              </w:rPr>
            </w:pPr>
            <w:r>
              <w:rPr>
                <w:rFonts w:ascii="Arial" w:hAnsi="Arial" w:cs="Arial"/>
                <w:color w:val="000000"/>
                <w:sz w:val="20"/>
                <w:szCs w:val="20"/>
                <w:lang w:eastAsia="en-AU"/>
              </w:rPr>
              <w:t>Yes</w:t>
            </w:r>
          </w:p>
        </w:tc>
        <w:tc>
          <w:tcPr>
            <w:tcW w:w="1208" w:type="dxa"/>
            <w:tcBorders>
              <w:top w:val="single" w:sz="18" w:space="0" w:color="auto"/>
              <w:left w:val="single" w:sz="18" w:space="0" w:color="auto"/>
              <w:bottom w:val="single" w:sz="8" w:space="0" w:color="auto"/>
              <w:right w:val="single" w:sz="18" w:space="0" w:color="auto"/>
            </w:tcBorders>
          </w:tcPr>
          <w:p w:rsidR="00BA4035" w:rsidRPr="00D621BB" w:rsidRDefault="00BA4035" w:rsidP="00DF02AA">
            <w:pPr>
              <w:rPr>
                <w:rFonts w:ascii="Arial" w:hAnsi="Arial" w:cs="Arial"/>
                <w:color w:val="000000"/>
                <w:sz w:val="20"/>
                <w:szCs w:val="20"/>
                <w:lang w:eastAsia="en-AU"/>
              </w:rPr>
            </w:pPr>
            <w:r>
              <w:rPr>
                <w:rFonts w:ascii="Arial" w:hAnsi="Arial" w:cs="Arial"/>
                <w:color w:val="000000"/>
                <w:sz w:val="20"/>
                <w:szCs w:val="20"/>
                <w:lang w:eastAsia="en-AU"/>
              </w:rPr>
              <w:t>Yes</w:t>
            </w:r>
          </w:p>
        </w:tc>
        <w:tc>
          <w:tcPr>
            <w:tcW w:w="5671" w:type="dxa"/>
            <w:tcBorders>
              <w:top w:val="single" w:sz="18" w:space="0" w:color="auto"/>
              <w:left w:val="single" w:sz="18" w:space="0" w:color="auto"/>
              <w:bottom w:val="single" w:sz="8" w:space="0" w:color="auto"/>
              <w:right w:val="single" w:sz="18" w:space="0" w:color="auto"/>
            </w:tcBorders>
            <w:shd w:val="clear" w:color="auto" w:fill="auto"/>
            <w:noWrap/>
          </w:tcPr>
          <w:p w:rsidR="00BA4035" w:rsidRPr="00D621BB" w:rsidRDefault="00BA4035" w:rsidP="00DF02AA">
            <w:pPr>
              <w:rPr>
                <w:rFonts w:ascii="Arial" w:hAnsi="Arial" w:cs="Arial"/>
                <w:color w:val="000000"/>
                <w:sz w:val="20"/>
                <w:szCs w:val="20"/>
                <w:lang w:eastAsia="en-AU"/>
              </w:rPr>
            </w:pPr>
          </w:p>
        </w:tc>
      </w:tr>
      <w:tr w:rsidR="00BA4035" w:rsidRPr="00D621BB" w:rsidTr="00DF02AA">
        <w:trPr>
          <w:cantSplit/>
          <w:trHeight w:val="300"/>
        </w:trPr>
        <w:tc>
          <w:tcPr>
            <w:tcW w:w="2425" w:type="dxa"/>
            <w:vMerge/>
            <w:tcBorders>
              <w:left w:val="single" w:sz="18" w:space="0" w:color="auto"/>
              <w:right w:val="single" w:sz="18" w:space="0" w:color="auto"/>
            </w:tcBorders>
            <w:shd w:val="clear" w:color="auto" w:fill="auto"/>
            <w:noWrap/>
          </w:tcPr>
          <w:p w:rsidR="00BA4035" w:rsidRPr="00D621BB" w:rsidRDefault="00BA4035" w:rsidP="00DF02AA">
            <w:pPr>
              <w:rPr>
                <w:rFonts w:ascii="Arial" w:hAnsi="Arial" w:cs="Arial"/>
                <w:color w:val="000000"/>
                <w:sz w:val="20"/>
                <w:szCs w:val="20"/>
                <w:lang w:eastAsia="en-AU"/>
              </w:rPr>
            </w:pPr>
          </w:p>
        </w:tc>
        <w:tc>
          <w:tcPr>
            <w:tcW w:w="2976" w:type="dxa"/>
            <w:tcBorders>
              <w:top w:val="single" w:sz="8" w:space="0" w:color="auto"/>
              <w:left w:val="single" w:sz="18" w:space="0" w:color="auto"/>
              <w:bottom w:val="single" w:sz="8" w:space="0" w:color="auto"/>
              <w:right w:val="single" w:sz="18" w:space="0" w:color="auto"/>
            </w:tcBorders>
            <w:shd w:val="clear" w:color="auto" w:fill="auto"/>
            <w:noWrap/>
          </w:tcPr>
          <w:p w:rsidR="00BA4035" w:rsidRPr="00D621BB" w:rsidRDefault="00BA4035" w:rsidP="00DF02AA">
            <w:pPr>
              <w:rPr>
                <w:rFonts w:ascii="Arial" w:eastAsia="Arial" w:hAnsi="Arial" w:cs="Arial"/>
                <w:color w:val="000000"/>
                <w:sz w:val="20"/>
                <w:szCs w:val="20"/>
                <w:lang w:eastAsia="en-AU"/>
              </w:rPr>
            </w:pPr>
            <w:r>
              <w:rPr>
                <w:rFonts w:ascii="Arial" w:eastAsia="Arial" w:hAnsi="Arial" w:cs="Arial"/>
                <w:color w:val="000000"/>
                <w:sz w:val="20"/>
                <w:szCs w:val="20"/>
                <w:lang w:eastAsia="en-AU"/>
              </w:rPr>
              <w:t>Baker Hughes</w:t>
            </w:r>
          </w:p>
        </w:tc>
        <w:tc>
          <w:tcPr>
            <w:tcW w:w="1560" w:type="dxa"/>
            <w:tcBorders>
              <w:top w:val="single" w:sz="8" w:space="0" w:color="auto"/>
              <w:left w:val="single" w:sz="18" w:space="0" w:color="auto"/>
              <w:bottom w:val="single" w:sz="8" w:space="0" w:color="auto"/>
              <w:right w:val="single" w:sz="18" w:space="0" w:color="auto"/>
            </w:tcBorders>
          </w:tcPr>
          <w:p w:rsidR="00BA4035" w:rsidRPr="00D621BB" w:rsidRDefault="00BA4035" w:rsidP="00DF02AA">
            <w:pPr>
              <w:rPr>
                <w:rFonts w:ascii="Arial" w:hAnsi="Arial" w:cs="Arial"/>
                <w:color w:val="000000"/>
                <w:sz w:val="20"/>
                <w:szCs w:val="20"/>
                <w:lang w:eastAsia="en-AU"/>
              </w:rPr>
            </w:pPr>
            <w:r>
              <w:rPr>
                <w:rFonts w:ascii="Arial" w:hAnsi="Arial" w:cs="Arial"/>
                <w:color w:val="000000"/>
                <w:sz w:val="20"/>
                <w:szCs w:val="20"/>
                <w:lang w:eastAsia="en-AU"/>
              </w:rPr>
              <w:t>Yes</w:t>
            </w:r>
          </w:p>
        </w:tc>
        <w:tc>
          <w:tcPr>
            <w:tcW w:w="1208" w:type="dxa"/>
            <w:tcBorders>
              <w:top w:val="single" w:sz="8" w:space="0" w:color="auto"/>
              <w:left w:val="single" w:sz="18" w:space="0" w:color="auto"/>
              <w:bottom w:val="single" w:sz="8" w:space="0" w:color="auto"/>
              <w:right w:val="single" w:sz="18" w:space="0" w:color="auto"/>
            </w:tcBorders>
          </w:tcPr>
          <w:p w:rsidR="00BA4035" w:rsidRPr="00D621BB" w:rsidRDefault="00BA4035" w:rsidP="00DF02AA">
            <w:pPr>
              <w:rPr>
                <w:rFonts w:ascii="Arial" w:hAnsi="Arial" w:cs="Arial"/>
                <w:color w:val="000000"/>
                <w:sz w:val="20"/>
                <w:szCs w:val="20"/>
                <w:lang w:eastAsia="en-AU"/>
              </w:rPr>
            </w:pPr>
            <w:r>
              <w:rPr>
                <w:rFonts w:ascii="Arial" w:hAnsi="Arial" w:cs="Arial"/>
                <w:color w:val="000000"/>
                <w:sz w:val="20"/>
                <w:szCs w:val="20"/>
                <w:lang w:eastAsia="en-AU"/>
              </w:rPr>
              <w:t>Yes</w:t>
            </w:r>
          </w:p>
        </w:tc>
        <w:tc>
          <w:tcPr>
            <w:tcW w:w="5671" w:type="dxa"/>
            <w:tcBorders>
              <w:top w:val="single" w:sz="8" w:space="0" w:color="auto"/>
              <w:left w:val="single" w:sz="18" w:space="0" w:color="auto"/>
              <w:bottom w:val="single" w:sz="8" w:space="0" w:color="auto"/>
              <w:right w:val="single" w:sz="18" w:space="0" w:color="auto"/>
            </w:tcBorders>
            <w:shd w:val="clear" w:color="auto" w:fill="auto"/>
            <w:noWrap/>
          </w:tcPr>
          <w:p w:rsidR="00BA4035" w:rsidRPr="00D621BB" w:rsidRDefault="00BA4035" w:rsidP="00DF02AA">
            <w:pPr>
              <w:rPr>
                <w:rFonts w:ascii="Arial" w:hAnsi="Arial" w:cs="Arial"/>
                <w:color w:val="000000"/>
                <w:sz w:val="20"/>
                <w:szCs w:val="20"/>
                <w:lang w:eastAsia="en-AU"/>
              </w:rPr>
            </w:pPr>
          </w:p>
        </w:tc>
      </w:tr>
      <w:tr w:rsidR="00BA4035" w:rsidRPr="00D621BB" w:rsidTr="00DF02AA">
        <w:trPr>
          <w:cantSplit/>
          <w:trHeight w:val="300"/>
        </w:trPr>
        <w:tc>
          <w:tcPr>
            <w:tcW w:w="2425" w:type="dxa"/>
            <w:vMerge/>
            <w:tcBorders>
              <w:left w:val="single" w:sz="18" w:space="0" w:color="auto"/>
              <w:right w:val="single" w:sz="18" w:space="0" w:color="auto"/>
            </w:tcBorders>
            <w:shd w:val="clear" w:color="auto" w:fill="auto"/>
            <w:noWrap/>
          </w:tcPr>
          <w:p w:rsidR="00BA4035" w:rsidRPr="00D621BB" w:rsidRDefault="00BA4035" w:rsidP="00DF02AA">
            <w:pPr>
              <w:rPr>
                <w:rFonts w:ascii="Arial" w:hAnsi="Arial" w:cs="Arial"/>
                <w:color w:val="000000"/>
                <w:sz w:val="20"/>
                <w:szCs w:val="20"/>
                <w:lang w:eastAsia="en-AU"/>
              </w:rPr>
            </w:pPr>
          </w:p>
        </w:tc>
        <w:tc>
          <w:tcPr>
            <w:tcW w:w="2976" w:type="dxa"/>
            <w:tcBorders>
              <w:top w:val="single" w:sz="8" w:space="0" w:color="auto"/>
              <w:left w:val="single" w:sz="18" w:space="0" w:color="auto"/>
              <w:bottom w:val="single" w:sz="4" w:space="0" w:color="auto"/>
              <w:right w:val="single" w:sz="18" w:space="0" w:color="auto"/>
            </w:tcBorders>
            <w:shd w:val="clear" w:color="auto" w:fill="auto"/>
            <w:noWrap/>
          </w:tcPr>
          <w:p w:rsidR="00BA4035" w:rsidRPr="00D621BB" w:rsidRDefault="00BA4035" w:rsidP="00DF02AA">
            <w:pPr>
              <w:rPr>
                <w:rFonts w:ascii="Arial" w:eastAsia="Arial" w:hAnsi="Arial" w:cs="Arial"/>
                <w:color w:val="000000"/>
                <w:sz w:val="20"/>
                <w:szCs w:val="20"/>
                <w:lang w:eastAsia="en-AU"/>
              </w:rPr>
            </w:pPr>
            <w:r w:rsidRPr="00D621BB">
              <w:rPr>
                <w:rFonts w:ascii="Arial" w:eastAsia="Arial" w:hAnsi="Arial" w:cs="Arial"/>
                <w:color w:val="000000"/>
                <w:sz w:val="20"/>
                <w:szCs w:val="20"/>
                <w:lang w:eastAsia="en-AU"/>
              </w:rPr>
              <w:t>Schlumberger</w:t>
            </w:r>
          </w:p>
        </w:tc>
        <w:tc>
          <w:tcPr>
            <w:tcW w:w="1560" w:type="dxa"/>
            <w:tcBorders>
              <w:top w:val="single" w:sz="8" w:space="0" w:color="auto"/>
              <w:left w:val="single" w:sz="18" w:space="0" w:color="auto"/>
              <w:bottom w:val="single" w:sz="4" w:space="0" w:color="auto"/>
              <w:right w:val="single" w:sz="18" w:space="0" w:color="auto"/>
            </w:tcBorders>
          </w:tcPr>
          <w:p w:rsidR="00BA4035" w:rsidRPr="00D621BB" w:rsidRDefault="00BA4035" w:rsidP="00DF02AA">
            <w:pPr>
              <w:rPr>
                <w:rFonts w:ascii="Arial" w:hAnsi="Arial" w:cs="Arial"/>
                <w:color w:val="000000"/>
                <w:sz w:val="20"/>
                <w:szCs w:val="20"/>
                <w:lang w:eastAsia="en-AU"/>
              </w:rPr>
            </w:pPr>
            <w:r>
              <w:rPr>
                <w:rFonts w:ascii="Arial" w:hAnsi="Arial" w:cs="Arial"/>
                <w:color w:val="000000"/>
                <w:sz w:val="20"/>
                <w:szCs w:val="20"/>
                <w:lang w:eastAsia="en-AU"/>
              </w:rPr>
              <w:t>Yes</w:t>
            </w:r>
          </w:p>
        </w:tc>
        <w:tc>
          <w:tcPr>
            <w:tcW w:w="1208" w:type="dxa"/>
            <w:tcBorders>
              <w:top w:val="single" w:sz="8" w:space="0" w:color="auto"/>
              <w:left w:val="single" w:sz="18" w:space="0" w:color="auto"/>
              <w:bottom w:val="single" w:sz="4" w:space="0" w:color="auto"/>
              <w:right w:val="single" w:sz="18" w:space="0" w:color="auto"/>
            </w:tcBorders>
          </w:tcPr>
          <w:p w:rsidR="00BA4035" w:rsidRPr="00D621BB" w:rsidRDefault="00BA4035" w:rsidP="00DF02AA">
            <w:pPr>
              <w:rPr>
                <w:rFonts w:ascii="Arial" w:hAnsi="Arial" w:cs="Arial"/>
                <w:color w:val="000000"/>
                <w:sz w:val="20"/>
                <w:szCs w:val="20"/>
                <w:lang w:eastAsia="en-AU"/>
              </w:rPr>
            </w:pPr>
            <w:r>
              <w:rPr>
                <w:rFonts w:ascii="Arial" w:hAnsi="Arial" w:cs="Arial"/>
                <w:color w:val="000000"/>
                <w:sz w:val="20"/>
                <w:szCs w:val="20"/>
                <w:lang w:eastAsia="en-AU"/>
              </w:rPr>
              <w:t>Yes</w:t>
            </w:r>
          </w:p>
        </w:tc>
        <w:tc>
          <w:tcPr>
            <w:tcW w:w="5671" w:type="dxa"/>
            <w:tcBorders>
              <w:top w:val="single" w:sz="8" w:space="0" w:color="auto"/>
              <w:left w:val="single" w:sz="18" w:space="0" w:color="auto"/>
              <w:bottom w:val="single" w:sz="4" w:space="0" w:color="auto"/>
              <w:right w:val="single" w:sz="18" w:space="0" w:color="auto"/>
            </w:tcBorders>
            <w:shd w:val="clear" w:color="auto" w:fill="auto"/>
            <w:noWrap/>
          </w:tcPr>
          <w:p w:rsidR="00BA4035" w:rsidRPr="00D621BB" w:rsidRDefault="00BA4035" w:rsidP="00DF02AA">
            <w:pPr>
              <w:rPr>
                <w:rFonts w:ascii="Arial" w:hAnsi="Arial" w:cs="Arial"/>
                <w:color w:val="000000"/>
                <w:sz w:val="20"/>
                <w:szCs w:val="20"/>
                <w:lang w:eastAsia="en-AU"/>
              </w:rPr>
            </w:pPr>
          </w:p>
        </w:tc>
      </w:tr>
      <w:tr w:rsidR="00BA4035" w:rsidRPr="00D621BB" w:rsidTr="00DF02AA">
        <w:trPr>
          <w:cantSplit/>
          <w:trHeight w:val="300"/>
        </w:trPr>
        <w:tc>
          <w:tcPr>
            <w:tcW w:w="2425" w:type="dxa"/>
            <w:vMerge/>
            <w:tcBorders>
              <w:left w:val="single" w:sz="18" w:space="0" w:color="auto"/>
              <w:right w:val="single" w:sz="18" w:space="0" w:color="auto"/>
            </w:tcBorders>
            <w:shd w:val="clear" w:color="auto" w:fill="auto"/>
            <w:noWrap/>
            <w:hideMark/>
          </w:tcPr>
          <w:p w:rsidR="00BA4035" w:rsidRPr="00D621BB" w:rsidRDefault="00BA4035" w:rsidP="00DF02AA">
            <w:pPr>
              <w:rPr>
                <w:rFonts w:ascii="Arial" w:hAnsi="Arial" w:cs="Arial"/>
                <w:color w:val="000000"/>
                <w:sz w:val="20"/>
                <w:szCs w:val="20"/>
                <w:lang w:eastAsia="en-AU"/>
              </w:rPr>
            </w:pPr>
          </w:p>
        </w:tc>
        <w:tc>
          <w:tcPr>
            <w:tcW w:w="2976" w:type="dxa"/>
            <w:tcBorders>
              <w:top w:val="single" w:sz="4" w:space="0" w:color="auto"/>
              <w:left w:val="single" w:sz="18" w:space="0" w:color="auto"/>
              <w:bottom w:val="single" w:sz="4" w:space="0" w:color="auto"/>
              <w:right w:val="single" w:sz="18" w:space="0" w:color="auto"/>
            </w:tcBorders>
            <w:shd w:val="clear" w:color="auto" w:fill="auto"/>
            <w:noWrap/>
            <w:hideMark/>
          </w:tcPr>
          <w:p w:rsidR="00BA4035" w:rsidRPr="00D621BB" w:rsidRDefault="00BA4035" w:rsidP="00DF02AA">
            <w:pPr>
              <w:rPr>
                <w:rFonts w:ascii="Arial" w:eastAsia="Arial" w:hAnsi="Arial" w:cs="Arial"/>
                <w:color w:val="000000"/>
                <w:sz w:val="20"/>
                <w:szCs w:val="20"/>
                <w:lang w:eastAsia="en-AU"/>
              </w:rPr>
            </w:pPr>
            <w:r w:rsidRPr="00D621BB">
              <w:rPr>
                <w:rFonts w:ascii="Arial" w:eastAsia="Arial" w:hAnsi="Arial" w:cs="Arial"/>
                <w:color w:val="000000"/>
                <w:sz w:val="20"/>
                <w:szCs w:val="20"/>
                <w:lang w:eastAsia="en-AU"/>
              </w:rPr>
              <w:t>Weatherford</w:t>
            </w:r>
          </w:p>
        </w:tc>
        <w:tc>
          <w:tcPr>
            <w:tcW w:w="1560" w:type="dxa"/>
            <w:tcBorders>
              <w:top w:val="single" w:sz="4" w:space="0" w:color="auto"/>
              <w:left w:val="single" w:sz="18" w:space="0" w:color="auto"/>
              <w:bottom w:val="single" w:sz="4" w:space="0" w:color="auto"/>
              <w:right w:val="single" w:sz="18" w:space="0" w:color="auto"/>
            </w:tcBorders>
          </w:tcPr>
          <w:p w:rsidR="00BA4035" w:rsidRPr="00D621BB" w:rsidRDefault="00BA4035" w:rsidP="00DF02AA">
            <w:pPr>
              <w:rPr>
                <w:rFonts w:ascii="Arial" w:hAnsi="Arial" w:cs="Arial"/>
                <w:color w:val="000000"/>
                <w:sz w:val="20"/>
                <w:szCs w:val="20"/>
                <w:lang w:eastAsia="en-AU"/>
              </w:rPr>
            </w:pPr>
            <w:r>
              <w:rPr>
                <w:rFonts w:ascii="Arial" w:hAnsi="Arial" w:cs="Arial"/>
                <w:color w:val="000000"/>
                <w:sz w:val="20"/>
                <w:szCs w:val="20"/>
                <w:lang w:eastAsia="en-AU"/>
              </w:rPr>
              <w:t>Yes</w:t>
            </w:r>
          </w:p>
        </w:tc>
        <w:tc>
          <w:tcPr>
            <w:tcW w:w="1208" w:type="dxa"/>
            <w:tcBorders>
              <w:top w:val="single" w:sz="4" w:space="0" w:color="auto"/>
              <w:left w:val="single" w:sz="18" w:space="0" w:color="auto"/>
              <w:bottom w:val="single" w:sz="4" w:space="0" w:color="auto"/>
              <w:right w:val="single" w:sz="18" w:space="0" w:color="auto"/>
            </w:tcBorders>
          </w:tcPr>
          <w:p w:rsidR="00BA4035" w:rsidRPr="00D621BB" w:rsidRDefault="00BA4035" w:rsidP="00DF02AA">
            <w:pPr>
              <w:rPr>
                <w:rFonts w:ascii="Arial" w:hAnsi="Arial" w:cs="Arial"/>
                <w:color w:val="000000"/>
                <w:sz w:val="20"/>
                <w:szCs w:val="20"/>
                <w:lang w:eastAsia="en-AU"/>
              </w:rPr>
            </w:pPr>
            <w:r>
              <w:rPr>
                <w:rFonts w:ascii="Arial" w:hAnsi="Arial" w:cs="Arial"/>
                <w:color w:val="000000"/>
                <w:sz w:val="20"/>
                <w:szCs w:val="20"/>
                <w:lang w:eastAsia="en-AU"/>
              </w:rPr>
              <w:t>No</w:t>
            </w:r>
          </w:p>
        </w:tc>
        <w:tc>
          <w:tcPr>
            <w:tcW w:w="5671" w:type="dxa"/>
            <w:tcBorders>
              <w:top w:val="single" w:sz="4" w:space="0" w:color="auto"/>
              <w:left w:val="single" w:sz="18" w:space="0" w:color="auto"/>
              <w:bottom w:val="single" w:sz="4" w:space="0" w:color="auto"/>
              <w:right w:val="single" w:sz="18" w:space="0" w:color="auto"/>
            </w:tcBorders>
            <w:shd w:val="clear" w:color="auto" w:fill="auto"/>
            <w:noWrap/>
            <w:hideMark/>
          </w:tcPr>
          <w:p w:rsidR="00BA4035" w:rsidRPr="00D621BB" w:rsidRDefault="00BA4035" w:rsidP="00DF02AA">
            <w:pPr>
              <w:rPr>
                <w:rFonts w:ascii="Arial" w:hAnsi="Arial" w:cs="Arial"/>
                <w:color w:val="000000"/>
                <w:sz w:val="20"/>
                <w:szCs w:val="20"/>
                <w:lang w:eastAsia="en-AU"/>
              </w:rPr>
            </w:pPr>
            <w:r w:rsidRPr="00D621BB">
              <w:rPr>
                <w:rFonts w:ascii="Arial" w:hAnsi="Arial" w:cs="Arial"/>
                <w:color w:val="000000"/>
                <w:sz w:val="20"/>
                <w:szCs w:val="20"/>
                <w:lang w:eastAsia="en-AU"/>
              </w:rPr>
              <w:t> </w:t>
            </w:r>
          </w:p>
        </w:tc>
      </w:tr>
      <w:tr w:rsidR="00BA4035" w:rsidRPr="00D621BB" w:rsidTr="00DF02AA">
        <w:trPr>
          <w:cantSplit/>
          <w:trHeight w:val="300"/>
        </w:trPr>
        <w:tc>
          <w:tcPr>
            <w:tcW w:w="2425" w:type="dxa"/>
            <w:vMerge/>
            <w:tcBorders>
              <w:left w:val="single" w:sz="18" w:space="0" w:color="auto"/>
              <w:right w:val="single" w:sz="18" w:space="0" w:color="auto"/>
            </w:tcBorders>
            <w:vAlign w:val="center"/>
            <w:hideMark/>
          </w:tcPr>
          <w:p w:rsidR="00BA4035" w:rsidRPr="00D621BB" w:rsidRDefault="00BA4035" w:rsidP="00DF02AA">
            <w:pPr>
              <w:rPr>
                <w:rFonts w:ascii="Arial" w:hAnsi="Arial" w:cs="Arial"/>
                <w:color w:val="000000"/>
                <w:sz w:val="20"/>
                <w:szCs w:val="20"/>
                <w:lang w:eastAsia="en-AU"/>
              </w:rPr>
            </w:pPr>
          </w:p>
        </w:tc>
        <w:tc>
          <w:tcPr>
            <w:tcW w:w="2976" w:type="dxa"/>
            <w:tcBorders>
              <w:top w:val="single" w:sz="4" w:space="0" w:color="auto"/>
              <w:left w:val="single" w:sz="18" w:space="0" w:color="auto"/>
              <w:bottom w:val="single" w:sz="4" w:space="0" w:color="auto"/>
              <w:right w:val="single" w:sz="18" w:space="0" w:color="auto"/>
            </w:tcBorders>
            <w:shd w:val="clear" w:color="auto" w:fill="auto"/>
            <w:noWrap/>
            <w:hideMark/>
          </w:tcPr>
          <w:p w:rsidR="00BA4035" w:rsidRPr="00D621BB" w:rsidRDefault="00BA4035" w:rsidP="00DF02AA">
            <w:pPr>
              <w:rPr>
                <w:rFonts w:ascii="Arial" w:eastAsia="Arial" w:hAnsi="Arial" w:cs="Arial"/>
                <w:color w:val="000000"/>
                <w:sz w:val="20"/>
                <w:szCs w:val="20"/>
                <w:lang w:eastAsia="en-AU"/>
              </w:rPr>
            </w:pPr>
            <w:r w:rsidRPr="00D621BB">
              <w:rPr>
                <w:rFonts w:ascii="Arial" w:eastAsia="Arial" w:hAnsi="Arial" w:cs="Arial"/>
                <w:color w:val="000000"/>
                <w:sz w:val="20"/>
                <w:szCs w:val="20"/>
                <w:lang w:eastAsia="en-AU"/>
              </w:rPr>
              <w:t>SGS</w:t>
            </w:r>
          </w:p>
        </w:tc>
        <w:tc>
          <w:tcPr>
            <w:tcW w:w="1560" w:type="dxa"/>
            <w:tcBorders>
              <w:top w:val="single" w:sz="4" w:space="0" w:color="auto"/>
              <w:left w:val="single" w:sz="18" w:space="0" w:color="auto"/>
              <w:bottom w:val="single" w:sz="4" w:space="0" w:color="auto"/>
              <w:right w:val="single" w:sz="18" w:space="0" w:color="auto"/>
            </w:tcBorders>
          </w:tcPr>
          <w:p w:rsidR="00BA4035" w:rsidRPr="00D621BB" w:rsidRDefault="00BA4035" w:rsidP="00DF02AA">
            <w:pPr>
              <w:rPr>
                <w:rFonts w:ascii="Arial" w:hAnsi="Arial" w:cs="Arial"/>
                <w:color w:val="000000"/>
                <w:sz w:val="20"/>
                <w:szCs w:val="20"/>
                <w:lang w:eastAsia="en-AU"/>
              </w:rPr>
            </w:pPr>
            <w:r>
              <w:rPr>
                <w:rFonts w:ascii="Arial" w:hAnsi="Arial" w:cs="Arial"/>
                <w:color w:val="000000"/>
                <w:sz w:val="20"/>
                <w:szCs w:val="20"/>
                <w:lang w:eastAsia="en-AU"/>
              </w:rPr>
              <w:t>Yes</w:t>
            </w:r>
          </w:p>
        </w:tc>
        <w:tc>
          <w:tcPr>
            <w:tcW w:w="1208" w:type="dxa"/>
            <w:tcBorders>
              <w:top w:val="single" w:sz="4" w:space="0" w:color="auto"/>
              <w:left w:val="single" w:sz="18" w:space="0" w:color="auto"/>
              <w:bottom w:val="single" w:sz="4" w:space="0" w:color="auto"/>
              <w:right w:val="single" w:sz="18" w:space="0" w:color="auto"/>
            </w:tcBorders>
          </w:tcPr>
          <w:p w:rsidR="00BA4035" w:rsidRPr="00D621BB" w:rsidRDefault="00BA4035" w:rsidP="00DF02AA">
            <w:pPr>
              <w:rPr>
                <w:rFonts w:ascii="Arial" w:hAnsi="Arial" w:cs="Arial"/>
                <w:color w:val="000000"/>
                <w:sz w:val="20"/>
                <w:szCs w:val="20"/>
                <w:lang w:eastAsia="en-AU"/>
              </w:rPr>
            </w:pPr>
            <w:r>
              <w:rPr>
                <w:rFonts w:ascii="Arial" w:hAnsi="Arial" w:cs="Arial"/>
                <w:color w:val="000000"/>
                <w:sz w:val="20"/>
                <w:szCs w:val="20"/>
                <w:lang w:eastAsia="en-AU"/>
              </w:rPr>
              <w:t>No</w:t>
            </w:r>
          </w:p>
        </w:tc>
        <w:tc>
          <w:tcPr>
            <w:tcW w:w="5671" w:type="dxa"/>
            <w:tcBorders>
              <w:top w:val="single" w:sz="4" w:space="0" w:color="auto"/>
              <w:left w:val="single" w:sz="18" w:space="0" w:color="auto"/>
              <w:bottom w:val="single" w:sz="4" w:space="0" w:color="auto"/>
              <w:right w:val="single" w:sz="18" w:space="0" w:color="auto"/>
            </w:tcBorders>
            <w:shd w:val="clear" w:color="auto" w:fill="auto"/>
            <w:noWrap/>
            <w:hideMark/>
          </w:tcPr>
          <w:p w:rsidR="00BA4035" w:rsidRPr="00D621BB" w:rsidRDefault="00BA4035" w:rsidP="00DF02AA">
            <w:pPr>
              <w:rPr>
                <w:rFonts w:ascii="Arial" w:hAnsi="Arial" w:cs="Arial"/>
                <w:color w:val="000000"/>
                <w:sz w:val="20"/>
                <w:szCs w:val="20"/>
                <w:lang w:eastAsia="en-AU"/>
              </w:rPr>
            </w:pPr>
            <w:r w:rsidRPr="00D621BB">
              <w:rPr>
                <w:rFonts w:ascii="Arial" w:hAnsi="Arial" w:cs="Arial"/>
                <w:color w:val="000000"/>
                <w:sz w:val="20"/>
                <w:szCs w:val="20"/>
                <w:lang w:eastAsia="en-AU"/>
              </w:rPr>
              <w:t> </w:t>
            </w:r>
          </w:p>
        </w:tc>
      </w:tr>
      <w:tr w:rsidR="00BA4035" w:rsidRPr="00D621BB" w:rsidTr="00DF02AA">
        <w:trPr>
          <w:cantSplit/>
          <w:trHeight w:val="300"/>
        </w:trPr>
        <w:tc>
          <w:tcPr>
            <w:tcW w:w="2425" w:type="dxa"/>
            <w:vMerge/>
            <w:tcBorders>
              <w:left w:val="single" w:sz="18" w:space="0" w:color="auto"/>
              <w:right w:val="single" w:sz="18" w:space="0" w:color="auto"/>
            </w:tcBorders>
            <w:vAlign w:val="center"/>
            <w:hideMark/>
          </w:tcPr>
          <w:p w:rsidR="00BA4035" w:rsidRPr="00D621BB" w:rsidRDefault="00BA4035" w:rsidP="00DF02AA">
            <w:pPr>
              <w:rPr>
                <w:rFonts w:ascii="Arial" w:hAnsi="Arial" w:cs="Arial"/>
                <w:color w:val="000000"/>
                <w:sz w:val="20"/>
                <w:szCs w:val="20"/>
                <w:lang w:eastAsia="en-AU"/>
              </w:rPr>
            </w:pPr>
          </w:p>
        </w:tc>
        <w:tc>
          <w:tcPr>
            <w:tcW w:w="2976" w:type="dxa"/>
            <w:tcBorders>
              <w:top w:val="single" w:sz="4" w:space="0" w:color="auto"/>
              <w:left w:val="single" w:sz="18" w:space="0" w:color="auto"/>
              <w:bottom w:val="single" w:sz="4" w:space="0" w:color="auto"/>
              <w:right w:val="single" w:sz="18" w:space="0" w:color="auto"/>
            </w:tcBorders>
            <w:shd w:val="clear" w:color="auto" w:fill="auto"/>
            <w:noWrap/>
            <w:hideMark/>
          </w:tcPr>
          <w:p w:rsidR="00BA4035" w:rsidRPr="00D621BB" w:rsidRDefault="00BA4035" w:rsidP="00DF02AA">
            <w:pPr>
              <w:rPr>
                <w:rFonts w:ascii="Arial" w:eastAsia="Arial" w:hAnsi="Arial" w:cs="Arial"/>
                <w:color w:val="000000"/>
                <w:sz w:val="20"/>
                <w:szCs w:val="20"/>
                <w:lang w:eastAsia="en-AU"/>
              </w:rPr>
            </w:pPr>
            <w:proofErr w:type="spellStart"/>
            <w:r w:rsidRPr="00D621BB">
              <w:rPr>
                <w:rFonts w:ascii="Arial" w:eastAsia="Arial" w:hAnsi="Arial" w:cs="Arial"/>
                <w:color w:val="000000"/>
                <w:sz w:val="20"/>
                <w:szCs w:val="20"/>
                <w:lang w:eastAsia="en-AU"/>
              </w:rPr>
              <w:t>Vause</w:t>
            </w:r>
            <w:proofErr w:type="spellEnd"/>
            <w:r w:rsidRPr="00D621BB">
              <w:rPr>
                <w:rFonts w:ascii="Arial" w:eastAsia="Arial" w:hAnsi="Arial" w:cs="Arial"/>
                <w:color w:val="000000"/>
                <w:sz w:val="20"/>
                <w:szCs w:val="20"/>
                <w:lang w:eastAsia="en-AU"/>
              </w:rPr>
              <w:t xml:space="preserve"> Oil Production Services</w:t>
            </w:r>
          </w:p>
        </w:tc>
        <w:tc>
          <w:tcPr>
            <w:tcW w:w="1560" w:type="dxa"/>
            <w:tcBorders>
              <w:top w:val="single" w:sz="4" w:space="0" w:color="auto"/>
              <w:left w:val="single" w:sz="18" w:space="0" w:color="auto"/>
              <w:bottom w:val="single" w:sz="4" w:space="0" w:color="auto"/>
              <w:right w:val="single" w:sz="18" w:space="0" w:color="auto"/>
            </w:tcBorders>
          </w:tcPr>
          <w:p w:rsidR="00BA4035" w:rsidRPr="00D621BB" w:rsidRDefault="00BA4035" w:rsidP="00DF02AA">
            <w:pPr>
              <w:rPr>
                <w:rFonts w:ascii="Arial" w:hAnsi="Arial" w:cs="Arial"/>
                <w:color w:val="000000"/>
                <w:sz w:val="20"/>
                <w:szCs w:val="20"/>
                <w:lang w:eastAsia="en-AU"/>
              </w:rPr>
            </w:pPr>
            <w:r>
              <w:rPr>
                <w:rFonts w:ascii="Arial" w:hAnsi="Arial" w:cs="Arial"/>
                <w:color w:val="000000"/>
                <w:sz w:val="20"/>
                <w:szCs w:val="20"/>
                <w:lang w:eastAsia="en-AU"/>
              </w:rPr>
              <w:t>Yes</w:t>
            </w:r>
          </w:p>
        </w:tc>
        <w:tc>
          <w:tcPr>
            <w:tcW w:w="1208" w:type="dxa"/>
            <w:tcBorders>
              <w:top w:val="single" w:sz="4" w:space="0" w:color="auto"/>
              <w:left w:val="single" w:sz="18" w:space="0" w:color="auto"/>
              <w:bottom w:val="single" w:sz="4" w:space="0" w:color="auto"/>
              <w:right w:val="single" w:sz="18" w:space="0" w:color="auto"/>
            </w:tcBorders>
          </w:tcPr>
          <w:p w:rsidR="00BA4035" w:rsidRPr="00D621BB" w:rsidRDefault="00BA4035" w:rsidP="00DF02AA">
            <w:pPr>
              <w:rPr>
                <w:rFonts w:ascii="Arial" w:hAnsi="Arial" w:cs="Arial"/>
                <w:color w:val="000000"/>
                <w:sz w:val="20"/>
                <w:szCs w:val="20"/>
                <w:lang w:eastAsia="en-AU"/>
              </w:rPr>
            </w:pPr>
            <w:r>
              <w:rPr>
                <w:rFonts w:ascii="Arial" w:hAnsi="Arial" w:cs="Arial"/>
                <w:color w:val="000000"/>
                <w:sz w:val="20"/>
                <w:szCs w:val="20"/>
                <w:lang w:eastAsia="en-AU"/>
              </w:rPr>
              <w:t>No</w:t>
            </w:r>
          </w:p>
        </w:tc>
        <w:tc>
          <w:tcPr>
            <w:tcW w:w="5671" w:type="dxa"/>
            <w:tcBorders>
              <w:top w:val="single" w:sz="4" w:space="0" w:color="auto"/>
              <w:left w:val="single" w:sz="18" w:space="0" w:color="auto"/>
              <w:bottom w:val="single" w:sz="4" w:space="0" w:color="auto"/>
              <w:right w:val="single" w:sz="18" w:space="0" w:color="auto"/>
            </w:tcBorders>
            <w:shd w:val="clear" w:color="auto" w:fill="auto"/>
            <w:noWrap/>
            <w:hideMark/>
          </w:tcPr>
          <w:p w:rsidR="00BA4035" w:rsidRPr="00D621BB" w:rsidRDefault="00BA4035" w:rsidP="00DF02AA">
            <w:pPr>
              <w:rPr>
                <w:rFonts w:ascii="Arial" w:hAnsi="Arial" w:cs="Arial"/>
                <w:color w:val="000000"/>
                <w:sz w:val="20"/>
                <w:szCs w:val="20"/>
                <w:lang w:eastAsia="en-AU"/>
              </w:rPr>
            </w:pPr>
            <w:r w:rsidRPr="00D621BB">
              <w:rPr>
                <w:rFonts w:ascii="Arial" w:hAnsi="Arial" w:cs="Arial"/>
                <w:color w:val="000000"/>
                <w:sz w:val="20"/>
                <w:szCs w:val="20"/>
                <w:lang w:eastAsia="en-AU"/>
              </w:rPr>
              <w:t> </w:t>
            </w:r>
          </w:p>
        </w:tc>
      </w:tr>
      <w:tr w:rsidR="00BA4035" w:rsidRPr="00D621BB" w:rsidTr="00DF02AA">
        <w:trPr>
          <w:cantSplit/>
          <w:trHeight w:val="300"/>
        </w:trPr>
        <w:tc>
          <w:tcPr>
            <w:tcW w:w="2425" w:type="dxa"/>
            <w:vMerge/>
            <w:tcBorders>
              <w:left w:val="single" w:sz="18" w:space="0" w:color="auto"/>
              <w:right w:val="single" w:sz="18" w:space="0" w:color="auto"/>
            </w:tcBorders>
            <w:vAlign w:val="center"/>
            <w:hideMark/>
          </w:tcPr>
          <w:p w:rsidR="00BA4035" w:rsidRPr="00D621BB" w:rsidRDefault="00BA4035" w:rsidP="00DF02AA">
            <w:pPr>
              <w:rPr>
                <w:rFonts w:ascii="Arial" w:hAnsi="Arial" w:cs="Arial"/>
                <w:color w:val="000000"/>
                <w:sz w:val="20"/>
                <w:szCs w:val="20"/>
                <w:lang w:eastAsia="en-AU"/>
              </w:rPr>
            </w:pPr>
          </w:p>
        </w:tc>
        <w:tc>
          <w:tcPr>
            <w:tcW w:w="2976" w:type="dxa"/>
            <w:tcBorders>
              <w:top w:val="single" w:sz="4" w:space="0" w:color="auto"/>
              <w:left w:val="single" w:sz="18" w:space="0" w:color="auto"/>
              <w:bottom w:val="single" w:sz="4" w:space="0" w:color="auto"/>
              <w:right w:val="single" w:sz="18" w:space="0" w:color="auto"/>
            </w:tcBorders>
            <w:shd w:val="clear" w:color="auto" w:fill="auto"/>
            <w:noWrap/>
            <w:hideMark/>
          </w:tcPr>
          <w:p w:rsidR="00BA4035" w:rsidRPr="00D621BB" w:rsidRDefault="00BA4035" w:rsidP="00DF02AA">
            <w:pPr>
              <w:rPr>
                <w:rFonts w:ascii="Arial" w:eastAsia="Arial" w:hAnsi="Arial" w:cs="Arial"/>
                <w:color w:val="000000"/>
                <w:sz w:val="20"/>
                <w:szCs w:val="20"/>
                <w:lang w:eastAsia="en-AU"/>
              </w:rPr>
            </w:pPr>
            <w:proofErr w:type="spellStart"/>
            <w:r w:rsidRPr="00D621BB">
              <w:rPr>
                <w:rFonts w:ascii="Arial" w:eastAsia="Arial" w:hAnsi="Arial" w:cs="Arial"/>
                <w:color w:val="000000"/>
                <w:sz w:val="20"/>
                <w:szCs w:val="20"/>
                <w:lang w:eastAsia="en-AU"/>
              </w:rPr>
              <w:t>Expro</w:t>
            </w:r>
            <w:proofErr w:type="spellEnd"/>
          </w:p>
        </w:tc>
        <w:tc>
          <w:tcPr>
            <w:tcW w:w="1560" w:type="dxa"/>
            <w:tcBorders>
              <w:top w:val="single" w:sz="4" w:space="0" w:color="auto"/>
              <w:left w:val="single" w:sz="18" w:space="0" w:color="auto"/>
              <w:bottom w:val="single" w:sz="4" w:space="0" w:color="auto"/>
              <w:right w:val="single" w:sz="18" w:space="0" w:color="auto"/>
            </w:tcBorders>
          </w:tcPr>
          <w:p w:rsidR="00BA4035" w:rsidRPr="00D621BB" w:rsidRDefault="00BA4035" w:rsidP="00DF02AA">
            <w:pPr>
              <w:rPr>
                <w:rFonts w:ascii="Arial" w:hAnsi="Arial" w:cs="Arial"/>
                <w:color w:val="000000"/>
                <w:sz w:val="20"/>
                <w:szCs w:val="20"/>
                <w:lang w:eastAsia="en-AU"/>
              </w:rPr>
            </w:pPr>
            <w:r>
              <w:rPr>
                <w:rFonts w:ascii="Arial" w:hAnsi="Arial" w:cs="Arial"/>
                <w:color w:val="000000"/>
                <w:sz w:val="20"/>
                <w:szCs w:val="20"/>
                <w:lang w:eastAsia="en-AU"/>
              </w:rPr>
              <w:t>Yes</w:t>
            </w:r>
          </w:p>
        </w:tc>
        <w:tc>
          <w:tcPr>
            <w:tcW w:w="1208" w:type="dxa"/>
            <w:tcBorders>
              <w:top w:val="single" w:sz="4" w:space="0" w:color="auto"/>
              <w:left w:val="single" w:sz="18" w:space="0" w:color="auto"/>
              <w:bottom w:val="single" w:sz="4" w:space="0" w:color="auto"/>
              <w:right w:val="single" w:sz="18" w:space="0" w:color="auto"/>
            </w:tcBorders>
          </w:tcPr>
          <w:p w:rsidR="00BA4035" w:rsidRPr="00D621BB" w:rsidRDefault="00BA4035" w:rsidP="00DF02AA">
            <w:pPr>
              <w:rPr>
                <w:rFonts w:ascii="Arial" w:hAnsi="Arial" w:cs="Arial"/>
                <w:color w:val="000000"/>
                <w:sz w:val="20"/>
                <w:szCs w:val="20"/>
                <w:lang w:eastAsia="en-AU"/>
              </w:rPr>
            </w:pPr>
            <w:r>
              <w:rPr>
                <w:rFonts w:ascii="Arial" w:hAnsi="Arial" w:cs="Arial"/>
                <w:color w:val="000000"/>
                <w:sz w:val="20"/>
                <w:szCs w:val="20"/>
                <w:lang w:eastAsia="en-AU"/>
              </w:rPr>
              <w:t>Yes</w:t>
            </w:r>
          </w:p>
        </w:tc>
        <w:tc>
          <w:tcPr>
            <w:tcW w:w="5671" w:type="dxa"/>
            <w:tcBorders>
              <w:top w:val="single" w:sz="4" w:space="0" w:color="auto"/>
              <w:left w:val="single" w:sz="18" w:space="0" w:color="auto"/>
              <w:bottom w:val="single" w:sz="4" w:space="0" w:color="auto"/>
              <w:right w:val="single" w:sz="18" w:space="0" w:color="auto"/>
            </w:tcBorders>
            <w:shd w:val="clear" w:color="auto" w:fill="auto"/>
            <w:noWrap/>
            <w:hideMark/>
          </w:tcPr>
          <w:p w:rsidR="00BA4035" w:rsidRPr="00D621BB" w:rsidRDefault="00BA4035" w:rsidP="00DF02AA">
            <w:pPr>
              <w:rPr>
                <w:rFonts w:ascii="Arial" w:hAnsi="Arial" w:cs="Arial"/>
                <w:color w:val="000000"/>
                <w:sz w:val="20"/>
                <w:szCs w:val="20"/>
                <w:lang w:eastAsia="en-AU"/>
              </w:rPr>
            </w:pPr>
            <w:r w:rsidRPr="00D621BB">
              <w:rPr>
                <w:rFonts w:ascii="Arial" w:hAnsi="Arial" w:cs="Arial"/>
                <w:color w:val="000000"/>
                <w:sz w:val="20"/>
                <w:szCs w:val="20"/>
                <w:lang w:eastAsia="en-AU"/>
              </w:rPr>
              <w:t> </w:t>
            </w:r>
          </w:p>
        </w:tc>
      </w:tr>
      <w:tr w:rsidR="00BA4035" w:rsidRPr="00D621BB" w:rsidTr="00DF02AA">
        <w:trPr>
          <w:cantSplit/>
          <w:trHeight w:val="300"/>
        </w:trPr>
        <w:tc>
          <w:tcPr>
            <w:tcW w:w="2425" w:type="dxa"/>
            <w:vMerge/>
            <w:tcBorders>
              <w:left w:val="single" w:sz="18" w:space="0" w:color="auto"/>
              <w:right w:val="single" w:sz="18" w:space="0" w:color="auto"/>
            </w:tcBorders>
            <w:vAlign w:val="center"/>
            <w:hideMark/>
          </w:tcPr>
          <w:p w:rsidR="00BA4035" w:rsidRPr="00D621BB" w:rsidRDefault="00BA4035" w:rsidP="00DF02AA">
            <w:pPr>
              <w:rPr>
                <w:rFonts w:ascii="Arial" w:hAnsi="Arial" w:cs="Arial"/>
                <w:color w:val="000000"/>
                <w:sz w:val="20"/>
                <w:szCs w:val="20"/>
                <w:lang w:eastAsia="en-AU"/>
              </w:rPr>
            </w:pPr>
          </w:p>
        </w:tc>
        <w:tc>
          <w:tcPr>
            <w:tcW w:w="2976" w:type="dxa"/>
            <w:tcBorders>
              <w:top w:val="single" w:sz="4" w:space="0" w:color="auto"/>
              <w:left w:val="single" w:sz="18" w:space="0" w:color="auto"/>
              <w:bottom w:val="single" w:sz="4" w:space="0" w:color="auto"/>
              <w:right w:val="single" w:sz="18" w:space="0" w:color="auto"/>
            </w:tcBorders>
            <w:shd w:val="clear" w:color="auto" w:fill="auto"/>
            <w:noWrap/>
            <w:hideMark/>
          </w:tcPr>
          <w:p w:rsidR="00BA4035" w:rsidRPr="00D621BB" w:rsidRDefault="00BA4035" w:rsidP="00DF02AA">
            <w:pPr>
              <w:rPr>
                <w:rFonts w:ascii="Arial" w:eastAsia="Arial" w:hAnsi="Arial" w:cs="Arial"/>
                <w:color w:val="000000"/>
                <w:sz w:val="20"/>
                <w:szCs w:val="20"/>
                <w:lang w:eastAsia="en-AU"/>
              </w:rPr>
            </w:pPr>
            <w:r w:rsidRPr="00D621BB">
              <w:rPr>
                <w:rFonts w:ascii="Arial" w:eastAsia="Arial" w:hAnsi="Arial" w:cs="Arial"/>
                <w:color w:val="000000"/>
                <w:sz w:val="20"/>
                <w:szCs w:val="20"/>
                <w:lang w:eastAsia="en-AU"/>
              </w:rPr>
              <w:t>Archer Limited</w:t>
            </w:r>
          </w:p>
        </w:tc>
        <w:tc>
          <w:tcPr>
            <w:tcW w:w="1560" w:type="dxa"/>
            <w:tcBorders>
              <w:top w:val="single" w:sz="4" w:space="0" w:color="auto"/>
              <w:left w:val="single" w:sz="18" w:space="0" w:color="auto"/>
              <w:bottom w:val="single" w:sz="4" w:space="0" w:color="auto"/>
              <w:right w:val="single" w:sz="18" w:space="0" w:color="auto"/>
            </w:tcBorders>
          </w:tcPr>
          <w:p w:rsidR="00BA4035" w:rsidRPr="00D621BB" w:rsidRDefault="00BA4035" w:rsidP="00DF02AA">
            <w:pPr>
              <w:rPr>
                <w:rFonts w:ascii="Arial" w:hAnsi="Arial" w:cs="Arial"/>
                <w:color w:val="000000"/>
                <w:sz w:val="20"/>
                <w:szCs w:val="20"/>
                <w:lang w:eastAsia="en-AU"/>
              </w:rPr>
            </w:pPr>
            <w:r>
              <w:rPr>
                <w:rFonts w:ascii="Arial" w:hAnsi="Arial" w:cs="Arial"/>
                <w:color w:val="000000"/>
                <w:sz w:val="20"/>
                <w:szCs w:val="20"/>
                <w:lang w:eastAsia="en-AU"/>
              </w:rPr>
              <w:t>Yes</w:t>
            </w:r>
          </w:p>
        </w:tc>
        <w:tc>
          <w:tcPr>
            <w:tcW w:w="1208" w:type="dxa"/>
            <w:tcBorders>
              <w:top w:val="single" w:sz="4" w:space="0" w:color="auto"/>
              <w:left w:val="single" w:sz="18" w:space="0" w:color="auto"/>
              <w:bottom w:val="single" w:sz="4" w:space="0" w:color="auto"/>
              <w:right w:val="single" w:sz="18" w:space="0" w:color="auto"/>
            </w:tcBorders>
          </w:tcPr>
          <w:p w:rsidR="00BA4035" w:rsidRPr="00D621BB" w:rsidRDefault="00BA4035" w:rsidP="00DF02AA">
            <w:pPr>
              <w:rPr>
                <w:rFonts w:ascii="Arial" w:hAnsi="Arial" w:cs="Arial"/>
                <w:color w:val="000000"/>
                <w:sz w:val="20"/>
                <w:szCs w:val="20"/>
                <w:lang w:eastAsia="en-AU"/>
              </w:rPr>
            </w:pPr>
            <w:r>
              <w:rPr>
                <w:rFonts w:ascii="Arial" w:hAnsi="Arial" w:cs="Arial"/>
                <w:color w:val="000000"/>
                <w:sz w:val="20"/>
                <w:szCs w:val="20"/>
                <w:lang w:eastAsia="en-AU"/>
              </w:rPr>
              <w:t>No</w:t>
            </w:r>
          </w:p>
        </w:tc>
        <w:tc>
          <w:tcPr>
            <w:tcW w:w="5671" w:type="dxa"/>
            <w:tcBorders>
              <w:top w:val="single" w:sz="4" w:space="0" w:color="auto"/>
              <w:left w:val="single" w:sz="18" w:space="0" w:color="auto"/>
              <w:bottom w:val="single" w:sz="4" w:space="0" w:color="auto"/>
              <w:right w:val="single" w:sz="18" w:space="0" w:color="auto"/>
            </w:tcBorders>
            <w:shd w:val="clear" w:color="auto" w:fill="auto"/>
            <w:noWrap/>
            <w:hideMark/>
          </w:tcPr>
          <w:p w:rsidR="00BA4035" w:rsidRPr="00D621BB" w:rsidRDefault="00BA4035" w:rsidP="00DF02AA">
            <w:pPr>
              <w:rPr>
                <w:rFonts w:ascii="Arial" w:hAnsi="Arial" w:cs="Arial"/>
                <w:color w:val="000000"/>
                <w:sz w:val="20"/>
                <w:szCs w:val="20"/>
                <w:lang w:eastAsia="en-AU"/>
              </w:rPr>
            </w:pPr>
            <w:r w:rsidRPr="00D621BB">
              <w:rPr>
                <w:rFonts w:ascii="Arial" w:hAnsi="Arial" w:cs="Arial"/>
                <w:color w:val="000000"/>
                <w:sz w:val="20"/>
                <w:szCs w:val="20"/>
                <w:lang w:eastAsia="en-AU"/>
              </w:rPr>
              <w:t> </w:t>
            </w:r>
            <w:r>
              <w:rPr>
                <w:rFonts w:ascii="Arial" w:hAnsi="Arial" w:cs="Arial"/>
                <w:color w:val="000000"/>
                <w:sz w:val="20"/>
                <w:szCs w:val="20"/>
                <w:lang w:eastAsia="en-AU"/>
              </w:rPr>
              <w:t xml:space="preserve">Tool rental. No services. </w:t>
            </w:r>
          </w:p>
        </w:tc>
      </w:tr>
      <w:tr w:rsidR="00BA4035" w:rsidRPr="00D621BB" w:rsidTr="00DF02AA">
        <w:trPr>
          <w:cantSplit/>
          <w:trHeight w:val="300"/>
        </w:trPr>
        <w:tc>
          <w:tcPr>
            <w:tcW w:w="2425" w:type="dxa"/>
            <w:vMerge/>
            <w:tcBorders>
              <w:left w:val="single" w:sz="18" w:space="0" w:color="auto"/>
              <w:right w:val="single" w:sz="18" w:space="0" w:color="auto"/>
            </w:tcBorders>
            <w:vAlign w:val="center"/>
            <w:hideMark/>
          </w:tcPr>
          <w:p w:rsidR="00BA4035" w:rsidRPr="00D621BB" w:rsidRDefault="00BA4035" w:rsidP="00DF02AA">
            <w:pPr>
              <w:rPr>
                <w:rFonts w:ascii="Arial" w:hAnsi="Arial" w:cs="Arial"/>
                <w:color w:val="000000"/>
                <w:sz w:val="20"/>
                <w:szCs w:val="20"/>
                <w:lang w:eastAsia="en-AU"/>
              </w:rPr>
            </w:pPr>
          </w:p>
        </w:tc>
        <w:tc>
          <w:tcPr>
            <w:tcW w:w="2976" w:type="dxa"/>
            <w:tcBorders>
              <w:top w:val="single" w:sz="4" w:space="0" w:color="auto"/>
              <w:left w:val="single" w:sz="18" w:space="0" w:color="auto"/>
              <w:bottom w:val="single" w:sz="4" w:space="0" w:color="auto"/>
              <w:right w:val="single" w:sz="18" w:space="0" w:color="auto"/>
            </w:tcBorders>
            <w:shd w:val="clear" w:color="auto" w:fill="auto"/>
            <w:noWrap/>
            <w:hideMark/>
          </w:tcPr>
          <w:p w:rsidR="00BA4035" w:rsidRPr="00D621BB" w:rsidRDefault="00BA4035" w:rsidP="00DF02AA">
            <w:pPr>
              <w:rPr>
                <w:rFonts w:ascii="Arial" w:eastAsia="Arial" w:hAnsi="Arial" w:cs="Arial"/>
                <w:color w:val="000000"/>
                <w:sz w:val="20"/>
                <w:szCs w:val="20"/>
                <w:lang w:eastAsia="en-AU"/>
              </w:rPr>
            </w:pPr>
            <w:r w:rsidRPr="00D621BB">
              <w:rPr>
                <w:rFonts w:ascii="Arial" w:eastAsia="Arial" w:hAnsi="Arial" w:cs="Arial"/>
                <w:color w:val="000000"/>
                <w:sz w:val="20"/>
                <w:szCs w:val="20"/>
                <w:lang w:eastAsia="en-AU"/>
              </w:rPr>
              <w:t>Owen Oil Tools</w:t>
            </w:r>
          </w:p>
        </w:tc>
        <w:tc>
          <w:tcPr>
            <w:tcW w:w="1560" w:type="dxa"/>
            <w:tcBorders>
              <w:top w:val="single" w:sz="4" w:space="0" w:color="auto"/>
              <w:left w:val="single" w:sz="18" w:space="0" w:color="auto"/>
              <w:bottom w:val="single" w:sz="4" w:space="0" w:color="auto"/>
              <w:right w:val="single" w:sz="18" w:space="0" w:color="auto"/>
            </w:tcBorders>
          </w:tcPr>
          <w:p w:rsidR="00BA4035" w:rsidRPr="00D621BB" w:rsidRDefault="00BA4035" w:rsidP="00DF02AA">
            <w:pPr>
              <w:rPr>
                <w:rFonts w:ascii="Arial" w:hAnsi="Arial" w:cs="Arial"/>
                <w:color w:val="000000"/>
                <w:sz w:val="20"/>
                <w:szCs w:val="20"/>
                <w:lang w:eastAsia="en-AU"/>
              </w:rPr>
            </w:pPr>
            <w:r>
              <w:rPr>
                <w:rFonts w:ascii="Arial" w:hAnsi="Arial" w:cs="Arial"/>
                <w:color w:val="000000"/>
                <w:sz w:val="20"/>
                <w:szCs w:val="20"/>
                <w:lang w:eastAsia="en-AU"/>
              </w:rPr>
              <w:t>Yes</w:t>
            </w:r>
          </w:p>
        </w:tc>
        <w:tc>
          <w:tcPr>
            <w:tcW w:w="1208" w:type="dxa"/>
            <w:tcBorders>
              <w:top w:val="single" w:sz="4" w:space="0" w:color="auto"/>
              <w:left w:val="single" w:sz="18" w:space="0" w:color="auto"/>
              <w:bottom w:val="single" w:sz="4" w:space="0" w:color="auto"/>
              <w:right w:val="single" w:sz="18" w:space="0" w:color="auto"/>
            </w:tcBorders>
          </w:tcPr>
          <w:p w:rsidR="00BA4035" w:rsidRPr="00D621BB" w:rsidRDefault="00BA4035" w:rsidP="00DF02AA">
            <w:pPr>
              <w:rPr>
                <w:rFonts w:ascii="Arial" w:hAnsi="Arial" w:cs="Arial"/>
                <w:color w:val="000000"/>
                <w:sz w:val="20"/>
                <w:szCs w:val="20"/>
                <w:lang w:eastAsia="en-AU"/>
              </w:rPr>
            </w:pPr>
            <w:r>
              <w:rPr>
                <w:rFonts w:ascii="Arial" w:hAnsi="Arial" w:cs="Arial"/>
                <w:color w:val="000000"/>
                <w:sz w:val="20"/>
                <w:szCs w:val="20"/>
                <w:lang w:eastAsia="en-AU"/>
              </w:rPr>
              <w:t>No</w:t>
            </w:r>
          </w:p>
        </w:tc>
        <w:tc>
          <w:tcPr>
            <w:tcW w:w="5671" w:type="dxa"/>
            <w:tcBorders>
              <w:top w:val="single" w:sz="4" w:space="0" w:color="auto"/>
              <w:left w:val="single" w:sz="18" w:space="0" w:color="auto"/>
              <w:bottom w:val="single" w:sz="4" w:space="0" w:color="auto"/>
              <w:right w:val="single" w:sz="18" w:space="0" w:color="auto"/>
            </w:tcBorders>
            <w:shd w:val="clear" w:color="auto" w:fill="auto"/>
            <w:noWrap/>
            <w:hideMark/>
          </w:tcPr>
          <w:p w:rsidR="00BA4035" w:rsidRPr="00D621BB" w:rsidRDefault="00BA4035" w:rsidP="00DF02AA">
            <w:pPr>
              <w:rPr>
                <w:rFonts w:ascii="Arial" w:hAnsi="Arial" w:cs="Arial"/>
                <w:color w:val="000000"/>
                <w:sz w:val="20"/>
                <w:szCs w:val="20"/>
                <w:lang w:eastAsia="en-AU"/>
              </w:rPr>
            </w:pPr>
            <w:r w:rsidRPr="00D621BB">
              <w:rPr>
                <w:rFonts w:ascii="Arial" w:hAnsi="Arial" w:cs="Arial"/>
                <w:color w:val="000000"/>
                <w:sz w:val="20"/>
                <w:szCs w:val="20"/>
                <w:lang w:eastAsia="en-AU"/>
              </w:rPr>
              <w:t> </w:t>
            </w:r>
            <w:r>
              <w:rPr>
                <w:rFonts w:ascii="Arial" w:hAnsi="Arial" w:cs="Arial"/>
                <w:color w:val="000000"/>
                <w:sz w:val="20"/>
                <w:szCs w:val="20"/>
                <w:lang w:eastAsia="en-AU"/>
              </w:rPr>
              <w:t xml:space="preserve">Tool rental. No services. </w:t>
            </w:r>
          </w:p>
        </w:tc>
      </w:tr>
      <w:tr w:rsidR="00BA4035" w:rsidRPr="00D621BB" w:rsidTr="00DF02AA">
        <w:trPr>
          <w:cantSplit/>
          <w:trHeight w:val="300"/>
        </w:trPr>
        <w:tc>
          <w:tcPr>
            <w:tcW w:w="2425" w:type="dxa"/>
            <w:vMerge w:val="restart"/>
            <w:tcBorders>
              <w:top w:val="single" w:sz="18" w:space="0" w:color="auto"/>
              <w:left w:val="single" w:sz="18" w:space="0" w:color="auto"/>
              <w:right w:val="single" w:sz="18" w:space="0" w:color="auto"/>
            </w:tcBorders>
          </w:tcPr>
          <w:p w:rsidR="00BA4035" w:rsidRPr="00D621BB" w:rsidRDefault="00BA4035" w:rsidP="00DF02AA">
            <w:pPr>
              <w:rPr>
                <w:rFonts w:ascii="Arial" w:hAnsi="Arial" w:cs="Arial"/>
                <w:color w:val="000000"/>
                <w:sz w:val="20"/>
                <w:szCs w:val="20"/>
                <w:lang w:eastAsia="en-AU"/>
              </w:rPr>
            </w:pPr>
            <w:r>
              <w:rPr>
                <w:rFonts w:ascii="Arial" w:hAnsi="Arial" w:cs="Arial"/>
                <w:color w:val="000000"/>
                <w:sz w:val="20"/>
                <w:szCs w:val="20"/>
                <w:lang w:eastAsia="en-AU"/>
              </w:rPr>
              <w:t>Wireline – open</w:t>
            </w:r>
            <w:r w:rsidRPr="00D621BB">
              <w:rPr>
                <w:rFonts w:ascii="Arial" w:hAnsi="Arial" w:cs="Arial"/>
                <w:color w:val="000000"/>
                <w:sz w:val="20"/>
                <w:szCs w:val="20"/>
                <w:lang w:eastAsia="en-AU"/>
              </w:rPr>
              <w:t xml:space="preserve"> hole</w:t>
            </w:r>
          </w:p>
        </w:tc>
        <w:tc>
          <w:tcPr>
            <w:tcW w:w="2976" w:type="dxa"/>
            <w:tcBorders>
              <w:top w:val="single" w:sz="18" w:space="0" w:color="auto"/>
              <w:left w:val="single" w:sz="18" w:space="0" w:color="auto"/>
              <w:bottom w:val="single" w:sz="8" w:space="0" w:color="auto"/>
              <w:right w:val="single" w:sz="18" w:space="0" w:color="auto"/>
            </w:tcBorders>
            <w:shd w:val="clear" w:color="auto" w:fill="auto"/>
            <w:noWrap/>
          </w:tcPr>
          <w:p w:rsidR="00BA4035" w:rsidRPr="00D621BB" w:rsidRDefault="00BA4035" w:rsidP="00DF02AA">
            <w:pPr>
              <w:rPr>
                <w:rFonts w:ascii="Arial" w:eastAsia="Arial" w:hAnsi="Arial" w:cs="Arial"/>
                <w:color w:val="000000"/>
                <w:sz w:val="20"/>
                <w:szCs w:val="20"/>
                <w:lang w:eastAsia="en-AU"/>
              </w:rPr>
            </w:pPr>
            <w:r>
              <w:rPr>
                <w:rFonts w:ascii="Arial" w:eastAsia="Arial" w:hAnsi="Arial" w:cs="Arial"/>
                <w:color w:val="000000"/>
                <w:sz w:val="20"/>
                <w:szCs w:val="20"/>
                <w:lang w:eastAsia="en-AU"/>
              </w:rPr>
              <w:t xml:space="preserve">Halliburton </w:t>
            </w:r>
          </w:p>
        </w:tc>
        <w:tc>
          <w:tcPr>
            <w:tcW w:w="1560" w:type="dxa"/>
            <w:tcBorders>
              <w:top w:val="single" w:sz="18" w:space="0" w:color="auto"/>
              <w:left w:val="single" w:sz="18" w:space="0" w:color="auto"/>
              <w:bottom w:val="single" w:sz="8" w:space="0" w:color="auto"/>
              <w:right w:val="single" w:sz="18" w:space="0" w:color="auto"/>
            </w:tcBorders>
          </w:tcPr>
          <w:p w:rsidR="00BA4035" w:rsidRPr="00D621BB" w:rsidRDefault="00BA4035" w:rsidP="00DF02AA">
            <w:pPr>
              <w:rPr>
                <w:rFonts w:ascii="Arial" w:hAnsi="Arial" w:cs="Arial"/>
                <w:color w:val="000000"/>
                <w:sz w:val="20"/>
                <w:szCs w:val="20"/>
                <w:lang w:eastAsia="en-AU"/>
              </w:rPr>
            </w:pPr>
            <w:r>
              <w:rPr>
                <w:rFonts w:ascii="Arial" w:hAnsi="Arial" w:cs="Arial"/>
                <w:color w:val="000000"/>
                <w:sz w:val="20"/>
                <w:szCs w:val="20"/>
                <w:lang w:eastAsia="en-AU"/>
              </w:rPr>
              <w:t>Yes</w:t>
            </w:r>
          </w:p>
        </w:tc>
        <w:tc>
          <w:tcPr>
            <w:tcW w:w="1208" w:type="dxa"/>
            <w:tcBorders>
              <w:top w:val="single" w:sz="18" w:space="0" w:color="auto"/>
              <w:left w:val="single" w:sz="18" w:space="0" w:color="auto"/>
              <w:bottom w:val="single" w:sz="8" w:space="0" w:color="auto"/>
              <w:right w:val="single" w:sz="18" w:space="0" w:color="auto"/>
            </w:tcBorders>
          </w:tcPr>
          <w:p w:rsidR="00BA4035" w:rsidRPr="00D621BB" w:rsidRDefault="00BA4035" w:rsidP="00DF02AA">
            <w:pPr>
              <w:rPr>
                <w:rFonts w:ascii="Arial" w:hAnsi="Arial" w:cs="Arial"/>
                <w:color w:val="000000"/>
                <w:sz w:val="20"/>
                <w:szCs w:val="20"/>
                <w:lang w:eastAsia="en-AU"/>
              </w:rPr>
            </w:pPr>
            <w:r>
              <w:rPr>
                <w:rFonts w:ascii="Arial" w:hAnsi="Arial" w:cs="Arial"/>
                <w:color w:val="000000"/>
                <w:sz w:val="20"/>
                <w:szCs w:val="20"/>
                <w:lang w:eastAsia="en-AU"/>
              </w:rPr>
              <w:t>Yes</w:t>
            </w:r>
          </w:p>
        </w:tc>
        <w:tc>
          <w:tcPr>
            <w:tcW w:w="5671" w:type="dxa"/>
            <w:tcBorders>
              <w:top w:val="single" w:sz="18" w:space="0" w:color="auto"/>
              <w:left w:val="single" w:sz="18" w:space="0" w:color="auto"/>
              <w:bottom w:val="single" w:sz="8" w:space="0" w:color="auto"/>
              <w:right w:val="single" w:sz="18" w:space="0" w:color="auto"/>
            </w:tcBorders>
            <w:shd w:val="clear" w:color="auto" w:fill="auto"/>
            <w:noWrap/>
          </w:tcPr>
          <w:p w:rsidR="00BA4035" w:rsidRPr="00D621BB" w:rsidRDefault="00BA4035">
            <w:pPr>
              <w:rPr>
                <w:rFonts w:ascii="Arial" w:hAnsi="Arial" w:cs="Arial"/>
                <w:color w:val="000000"/>
                <w:sz w:val="20"/>
                <w:szCs w:val="20"/>
                <w:lang w:eastAsia="en-AU"/>
              </w:rPr>
            </w:pPr>
            <w:r>
              <w:rPr>
                <w:rFonts w:ascii="Arial" w:hAnsi="Arial" w:cs="Arial"/>
                <w:color w:val="000000"/>
                <w:sz w:val="20"/>
                <w:szCs w:val="20"/>
                <w:lang w:eastAsia="en-AU"/>
              </w:rPr>
              <w:t xml:space="preserve"> </w:t>
            </w:r>
          </w:p>
        </w:tc>
      </w:tr>
      <w:tr w:rsidR="00BA4035" w:rsidRPr="00D621BB" w:rsidTr="00DF02AA">
        <w:trPr>
          <w:cantSplit/>
          <w:trHeight w:val="300"/>
        </w:trPr>
        <w:tc>
          <w:tcPr>
            <w:tcW w:w="2425" w:type="dxa"/>
            <w:vMerge/>
            <w:tcBorders>
              <w:left w:val="single" w:sz="18" w:space="0" w:color="auto"/>
              <w:right w:val="single" w:sz="18" w:space="0" w:color="auto"/>
            </w:tcBorders>
          </w:tcPr>
          <w:p w:rsidR="00BA4035" w:rsidRPr="00D621BB" w:rsidRDefault="00BA4035" w:rsidP="00DF02AA">
            <w:pPr>
              <w:rPr>
                <w:rFonts w:ascii="Arial" w:hAnsi="Arial" w:cs="Arial"/>
                <w:color w:val="000000"/>
                <w:sz w:val="20"/>
                <w:szCs w:val="20"/>
                <w:lang w:eastAsia="en-AU"/>
              </w:rPr>
            </w:pPr>
          </w:p>
        </w:tc>
        <w:tc>
          <w:tcPr>
            <w:tcW w:w="2976" w:type="dxa"/>
            <w:tcBorders>
              <w:top w:val="single" w:sz="8" w:space="0" w:color="auto"/>
              <w:left w:val="single" w:sz="18" w:space="0" w:color="auto"/>
              <w:bottom w:val="single" w:sz="8" w:space="0" w:color="auto"/>
              <w:right w:val="single" w:sz="18" w:space="0" w:color="auto"/>
            </w:tcBorders>
            <w:shd w:val="clear" w:color="auto" w:fill="auto"/>
            <w:noWrap/>
          </w:tcPr>
          <w:p w:rsidR="00BA4035" w:rsidRPr="00D621BB" w:rsidRDefault="00BA4035" w:rsidP="00DF02AA">
            <w:pPr>
              <w:rPr>
                <w:rFonts w:ascii="Arial" w:eastAsia="Arial" w:hAnsi="Arial" w:cs="Arial"/>
                <w:color w:val="000000"/>
                <w:sz w:val="20"/>
                <w:szCs w:val="20"/>
                <w:lang w:eastAsia="en-AU"/>
              </w:rPr>
            </w:pPr>
            <w:r>
              <w:rPr>
                <w:rFonts w:ascii="Arial" w:eastAsia="Arial" w:hAnsi="Arial" w:cs="Arial"/>
                <w:color w:val="000000"/>
                <w:sz w:val="20"/>
                <w:szCs w:val="20"/>
                <w:lang w:eastAsia="en-AU"/>
              </w:rPr>
              <w:t>Baker Hughes</w:t>
            </w:r>
          </w:p>
        </w:tc>
        <w:tc>
          <w:tcPr>
            <w:tcW w:w="1560" w:type="dxa"/>
            <w:tcBorders>
              <w:top w:val="single" w:sz="8" w:space="0" w:color="auto"/>
              <w:left w:val="single" w:sz="18" w:space="0" w:color="auto"/>
              <w:bottom w:val="single" w:sz="8" w:space="0" w:color="auto"/>
              <w:right w:val="single" w:sz="18" w:space="0" w:color="auto"/>
            </w:tcBorders>
          </w:tcPr>
          <w:p w:rsidR="00BA4035" w:rsidRPr="00D621BB" w:rsidRDefault="00BA4035" w:rsidP="00DF02AA">
            <w:pPr>
              <w:rPr>
                <w:rFonts w:ascii="Arial" w:hAnsi="Arial" w:cs="Arial"/>
                <w:color w:val="000000"/>
                <w:sz w:val="20"/>
                <w:szCs w:val="20"/>
                <w:lang w:eastAsia="en-AU"/>
              </w:rPr>
            </w:pPr>
            <w:r>
              <w:rPr>
                <w:rFonts w:ascii="Arial" w:hAnsi="Arial" w:cs="Arial"/>
                <w:color w:val="000000"/>
                <w:sz w:val="20"/>
                <w:szCs w:val="20"/>
                <w:lang w:eastAsia="en-AU"/>
              </w:rPr>
              <w:t>Yes</w:t>
            </w:r>
          </w:p>
        </w:tc>
        <w:tc>
          <w:tcPr>
            <w:tcW w:w="1208" w:type="dxa"/>
            <w:tcBorders>
              <w:top w:val="single" w:sz="8" w:space="0" w:color="auto"/>
              <w:left w:val="single" w:sz="18" w:space="0" w:color="auto"/>
              <w:bottom w:val="single" w:sz="8" w:space="0" w:color="auto"/>
              <w:right w:val="single" w:sz="18" w:space="0" w:color="auto"/>
            </w:tcBorders>
          </w:tcPr>
          <w:p w:rsidR="00BA4035" w:rsidRPr="00D621BB" w:rsidRDefault="00BA4035" w:rsidP="00DF02AA">
            <w:pPr>
              <w:rPr>
                <w:rFonts w:ascii="Arial" w:hAnsi="Arial" w:cs="Arial"/>
                <w:color w:val="000000"/>
                <w:sz w:val="20"/>
                <w:szCs w:val="20"/>
                <w:lang w:eastAsia="en-AU"/>
              </w:rPr>
            </w:pPr>
            <w:r>
              <w:rPr>
                <w:rFonts w:ascii="Arial" w:hAnsi="Arial" w:cs="Arial"/>
                <w:color w:val="000000"/>
                <w:sz w:val="20"/>
                <w:szCs w:val="20"/>
                <w:lang w:eastAsia="en-AU"/>
              </w:rPr>
              <w:t>Yes</w:t>
            </w:r>
          </w:p>
        </w:tc>
        <w:tc>
          <w:tcPr>
            <w:tcW w:w="5671" w:type="dxa"/>
            <w:tcBorders>
              <w:top w:val="single" w:sz="8" w:space="0" w:color="auto"/>
              <w:left w:val="single" w:sz="18" w:space="0" w:color="auto"/>
              <w:bottom w:val="single" w:sz="8" w:space="0" w:color="auto"/>
              <w:right w:val="single" w:sz="18" w:space="0" w:color="auto"/>
            </w:tcBorders>
            <w:shd w:val="clear" w:color="auto" w:fill="auto"/>
            <w:noWrap/>
          </w:tcPr>
          <w:p w:rsidR="00BA4035" w:rsidRPr="00D621BB" w:rsidRDefault="00BA4035" w:rsidP="00DF02AA">
            <w:pPr>
              <w:rPr>
                <w:rFonts w:ascii="Arial" w:hAnsi="Arial" w:cs="Arial"/>
                <w:color w:val="000000"/>
                <w:sz w:val="20"/>
                <w:szCs w:val="20"/>
                <w:lang w:eastAsia="en-AU"/>
              </w:rPr>
            </w:pPr>
          </w:p>
        </w:tc>
      </w:tr>
      <w:tr w:rsidR="00BA4035" w:rsidRPr="00D621BB" w:rsidTr="00DF02AA">
        <w:trPr>
          <w:cantSplit/>
          <w:trHeight w:val="300"/>
        </w:trPr>
        <w:tc>
          <w:tcPr>
            <w:tcW w:w="2425" w:type="dxa"/>
            <w:vMerge/>
            <w:tcBorders>
              <w:left w:val="single" w:sz="18" w:space="0" w:color="auto"/>
              <w:right w:val="single" w:sz="18" w:space="0" w:color="auto"/>
            </w:tcBorders>
          </w:tcPr>
          <w:p w:rsidR="00BA4035" w:rsidRPr="00D621BB" w:rsidRDefault="00BA4035" w:rsidP="00DF02AA">
            <w:pPr>
              <w:rPr>
                <w:rFonts w:ascii="Arial" w:hAnsi="Arial" w:cs="Arial"/>
                <w:color w:val="000000"/>
                <w:sz w:val="20"/>
                <w:szCs w:val="20"/>
                <w:lang w:eastAsia="en-AU"/>
              </w:rPr>
            </w:pPr>
          </w:p>
        </w:tc>
        <w:tc>
          <w:tcPr>
            <w:tcW w:w="2976" w:type="dxa"/>
            <w:tcBorders>
              <w:top w:val="single" w:sz="8" w:space="0" w:color="auto"/>
              <w:left w:val="single" w:sz="18" w:space="0" w:color="auto"/>
              <w:bottom w:val="single" w:sz="4" w:space="0" w:color="auto"/>
              <w:right w:val="single" w:sz="18" w:space="0" w:color="auto"/>
            </w:tcBorders>
            <w:shd w:val="clear" w:color="auto" w:fill="auto"/>
            <w:noWrap/>
          </w:tcPr>
          <w:p w:rsidR="00BA4035" w:rsidRPr="00D621BB" w:rsidRDefault="00BA4035" w:rsidP="00DF02AA">
            <w:pPr>
              <w:rPr>
                <w:rFonts w:ascii="Arial" w:eastAsia="Arial" w:hAnsi="Arial" w:cs="Arial"/>
                <w:color w:val="000000"/>
                <w:sz w:val="20"/>
                <w:szCs w:val="20"/>
                <w:lang w:eastAsia="en-AU"/>
              </w:rPr>
            </w:pPr>
            <w:r w:rsidRPr="00D621BB">
              <w:rPr>
                <w:rFonts w:ascii="Arial" w:eastAsia="Arial" w:hAnsi="Arial" w:cs="Arial"/>
                <w:color w:val="000000"/>
                <w:sz w:val="20"/>
                <w:szCs w:val="20"/>
                <w:lang w:eastAsia="en-AU"/>
              </w:rPr>
              <w:t>Schlumberger</w:t>
            </w:r>
          </w:p>
        </w:tc>
        <w:tc>
          <w:tcPr>
            <w:tcW w:w="1560" w:type="dxa"/>
            <w:tcBorders>
              <w:top w:val="single" w:sz="8" w:space="0" w:color="auto"/>
              <w:left w:val="single" w:sz="18" w:space="0" w:color="auto"/>
              <w:bottom w:val="single" w:sz="4" w:space="0" w:color="auto"/>
              <w:right w:val="single" w:sz="18" w:space="0" w:color="auto"/>
            </w:tcBorders>
          </w:tcPr>
          <w:p w:rsidR="00BA4035" w:rsidRPr="00D621BB" w:rsidRDefault="00BA4035" w:rsidP="00DF02AA">
            <w:pPr>
              <w:rPr>
                <w:rFonts w:ascii="Arial" w:hAnsi="Arial" w:cs="Arial"/>
                <w:color w:val="000000"/>
                <w:sz w:val="20"/>
                <w:szCs w:val="20"/>
                <w:lang w:eastAsia="en-AU"/>
              </w:rPr>
            </w:pPr>
            <w:r>
              <w:rPr>
                <w:rFonts w:ascii="Arial" w:hAnsi="Arial" w:cs="Arial"/>
                <w:color w:val="000000"/>
                <w:sz w:val="20"/>
                <w:szCs w:val="20"/>
                <w:lang w:eastAsia="en-AU"/>
              </w:rPr>
              <w:t>Yes</w:t>
            </w:r>
          </w:p>
        </w:tc>
        <w:tc>
          <w:tcPr>
            <w:tcW w:w="1208" w:type="dxa"/>
            <w:tcBorders>
              <w:top w:val="single" w:sz="8" w:space="0" w:color="auto"/>
              <w:left w:val="single" w:sz="18" w:space="0" w:color="auto"/>
              <w:bottom w:val="single" w:sz="4" w:space="0" w:color="auto"/>
              <w:right w:val="single" w:sz="18" w:space="0" w:color="auto"/>
            </w:tcBorders>
          </w:tcPr>
          <w:p w:rsidR="00BA4035" w:rsidRPr="00D621BB" w:rsidRDefault="00BA4035" w:rsidP="00DF02AA">
            <w:pPr>
              <w:rPr>
                <w:rFonts w:ascii="Arial" w:hAnsi="Arial" w:cs="Arial"/>
                <w:color w:val="000000"/>
                <w:sz w:val="20"/>
                <w:szCs w:val="20"/>
                <w:lang w:eastAsia="en-AU"/>
              </w:rPr>
            </w:pPr>
            <w:r>
              <w:rPr>
                <w:rFonts w:ascii="Arial" w:hAnsi="Arial" w:cs="Arial"/>
                <w:color w:val="000000"/>
                <w:sz w:val="20"/>
                <w:szCs w:val="20"/>
                <w:lang w:eastAsia="en-AU"/>
              </w:rPr>
              <w:t>Yes</w:t>
            </w:r>
          </w:p>
        </w:tc>
        <w:tc>
          <w:tcPr>
            <w:tcW w:w="5671" w:type="dxa"/>
            <w:tcBorders>
              <w:top w:val="single" w:sz="8" w:space="0" w:color="auto"/>
              <w:left w:val="single" w:sz="18" w:space="0" w:color="auto"/>
              <w:bottom w:val="single" w:sz="4" w:space="0" w:color="auto"/>
              <w:right w:val="single" w:sz="18" w:space="0" w:color="auto"/>
            </w:tcBorders>
            <w:shd w:val="clear" w:color="auto" w:fill="auto"/>
            <w:noWrap/>
          </w:tcPr>
          <w:p w:rsidR="00BA4035" w:rsidRPr="00D621BB" w:rsidRDefault="00BA4035" w:rsidP="00DF02AA">
            <w:pPr>
              <w:rPr>
                <w:rFonts w:ascii="Arial" w:hAnsi="Arial" w:cs="Arial"/>
                <w:color w:val="000000"/>
                <w:sz w:val="20"/>
                <w:szCs w:val="20"/>
                <w:lang w:eastAsia="en-AU"/>
              </w:rPr>
            </w:pPr>
          </w:p>
        </w:tc>
      </w:tr>
      <w:tr w:rsidR="00BA4035" w:rsidRPr="00D621BB" w:rsidTr="00DF02AA">
        <w:trPr>
          <w:cantSplit/>
          <w:trHeight w:val="300"/>
        </w:trPr>
        <w:tc>
          <w:tcPr>
            <w:tcW w:w="2425" w:type="dxa"/>
            <w:vMerge/>
            <w:tcBorders>
              <w:left w:val="single" w:sz="18" w:space="0" w:color="auto"/>
              <w:right w:val="single" w:sz="18" w:space="0" w:color="auto"/>
            </w:tcBorders>
            <w:vAlign w:val="center"/>
          </w:tcPr>
          <w:p w:rsidR="00BA4035" w:rsidRPr="00D621BB" w:rsidRDefault="00BA4035" w:rsidP="00DF02AA">
            <w:pPr>
              <w:rPr>
                <w:rFonts w:ascii="Arial" w:hAnsi="Arial" w:cs="Arial"/>
                <w:color w:val="000000"/>
                <w:sz w:val="20"/>
                <w:szCs w:val="20"/>
                <w:lang w:eastAsia="en-AU"/>
              </w:rPr>
            </w:pPr>
          </w:p>
        </w:tc>
        <w:tc>
          <w:tcPr>
            <w:tcW w:w="2976" w:type="dxa"/>
            <w:tcBorders>
              <w:top w:val="single" w:sz="4" w:space="0" w:color="auto"/>
              <w:left w:val="single" w:sz="18" w:space="0" w:color="auto"/>
              <w:bottom w:val="single" w:sz="4" w:space="0" w:color="auto"/>
              <w:right w:val="single" w:sz="18" w:space="0" w:color="auto"/>
            </w:tcBorders>
            <w:shd w:val="clear" w:color="auto" w:fill="auto"/>
            <w:noWrap/>
          </w:tcPr>
          <w:p w:rsidR="00BA4035" w:rsidRPr="00D621BB" w:rsidRDefault="00BA4035" w:rsidP="00DF02AA">
            <w:pPr>
              <w:rPr>
                <w:rFonts w:ascii="Arial" w:eastAsia="Arial" w:hAnsi="Arial" w:cs="Arial"/>
                <w:color w:val="000000"/>
                <w:sz w:val="20"/>
                <w:szCs w:val="20"/>
                <w:lang w:eastAsia="en-AU"/>
              </w:rPr>
            </w:pPr>
            <w:r w:rsidRPr="00D621BB">
              <w:rPr>
                <w:rFonts w:ascii="Arial" w:eastAsia="Arial" w:hAnsi="Arial" w:cs="Arial"/>
                <w:color w:val="000000"/>
                <w:sz w:val="20"/>
                <w:szCs w:val="20"/>
                <w:lang w:eastAsia="en-AU"/>
              </w:rPr>
              <w:t>Weatherford</w:t>
            </w:r>
          </w:p>
        </w:tc>
        <w:tc>
          <w:tcPr>
            <w:tcW w:w="1560" w:type="dxa"/>
            <w:tcBorders>
              <w:top w:val="single" w:sz="4" w:space="0" w:color="auto"/>
              <w:left w:val="single" w:sz="18" w:space="0" w:color="auto"/>
              <w:bottom w:val="single" w:sz="4" w:space="0" w:color="auto"/>
              <w:right w:val="single" w:sz="18" w:space="0" w:color="auto"/>
            </w:tcBorders>
          </w:tcPr>
          <w:p w:rsidR="00BA4035" w:rsidRPr="00D621BB" w:rsidRDefault="00BA4035" w:rsidP="00DF02AA">
            <w:pPr>
              <w:rPr>
                <w:rFonts w:ascii="Arial" w:hAnsi="Arial" w:cs="Arial"/>
                <w:color w:val="000000"/>
                <w:sz w:val="20"/>
                <w:szCs w:val="20"/>
                <w:lang w:eastAsia="en-AU"/>
              </w:rPr>
            </w:pPr>
            <w:r>
              <w:rPr>
                <w:rFonts w:ascii="Arial" w:hAnsi="Arial" w:cs="Arial"/>
                <w:color w:val="000000"/>
                <w:sz w:val="20"/>
                <w:szCs w:val="20"/>
                <w:lang w:eastAsia="en-AU"/>
              </w:rPr>
              <w:t>Yes</w:t>
            </w:r>
          </w:p>
        </w:tc>
        <w:tc>
          <w:tcPr>
            <w:tcW w:w="1208" w:type="dxa"/>
            <w:tcBorders>
              <w:top w:val="single" w:sz="4" w:space="0" w:color="auto"/>
              <w:left w:val="single" w:sz="18" w:space="0" w:color="auto"/>
              <w:bottom w:val="single" w:sz="4" w:space="0" w:color="auto"/>
              <w:right w:val="single" w:sz="18" w:space="0" w:color="auto"/>
            </w:tcBorders>
          </w:tcPr>
          <w:p w:rsidR="00BA4035" w:rsidRPr="00D621BB" w:rsidRDefault="00BA4035" w:rsidP="00DF02AA">
            <w:pPr>
              <w:rPr>
                <w:rFonts w:ascii="Arial" w:hAnsi="Arial" w:cs="Arial"/>
                <w:color w:val="000000"/>
                <w:sz w:val="20"/>
                <w:szCs w:val="20"/>
                <w:lang w:eastAsia="en-AU"/>
              </w:rPr>
            </w:pPr>
            <w:r>
              <w:rPr>
                <w:rFonts w:ascii="Arial" w:hAnsi="Arial" w:cs="Arial"/>
                <w:color w:val="000000"/>
                <w:sz w:val="20"/>
                <w:szCs w:val="20"/>
                <w:lang w:eastAsia="en-AU"/>
              </w:rPr>
              <w:t>No</w:t>
            </w:r>
          </w:p>
        </w:tc>
        <w:tc>
          <w:tcPr>
            <w:tcW w:w="5671" w:type="dxa"/>
            <w:tcBorders>
              <w:top w:val="single" w:sz="4" w:space="0" w:color="auto"/>
              <w:left w:val="single" w:sz="18" w:space="0" w:color="auto"/>
              <w:bottom w:val="single" w:sz="4" w:space="0" w:color="auto"/>
              <w:right w:val="single" w:sz="18" w:space="0" w:color="auto"/>
            </w:tcBorders>
            <w:shd w:val="clear" w:color="auto" w:fill="auto"/>
            <w:noWrap/>
          </w:tcPr>
          <w:p w:rsidR="00BA4035" w:rsidRPr="00D621BB" w:rsidRDefault="00BA4035" w:rsidP="00DF02AA">
            <w:pPr>
              <w:rPr>
                <w:rFonts w:ascii="Arial" w:hAnsi="Arial" w:cs="Arial"/>
                <w:color w:val="000000"/>
                <w:sz w:val="20"/>
                <w:szCs w:val="20"/>
                <w:lang w:eastAsia="en-AU"/>
              </w:rPr>
            </w:pPr>
          </w:p>
        </w:tc>
      </w:tr>
      <w:tr w:rsidR="00BA4035" w:rsidRPr="00D621BB" w:rsidTr="00DF02AA">
        <w:trPr>
          <w:cantSplit/>
          <w:trHeight w:val="300"/>
        </w:trPr>
        <w:tc>
          <w:tcPr>
            <w:tcW w:w="2425" w:type="dxa"/>
            <w:vMerge w:val="restart"/>
            <w:tcBorders>
              <w:top w:val="single" w:sz="18" w:space="0" w:color="auto"/>
              <w:left w:val="single" w:sz="18" w:space="0" w:color="auto"/>
              <w:right w:val="single" w:sz="18" w:space="0" w:color="auto"/>
            </w:tcBorders>
            <w:shd w:val="clear" w:color="auto" w:fill="auto"/>
            <w:noWrap/>
          </w:tcPr>
          <w:p w:rsidR="00BA4035" w:rsidRPr="00D621BB" w:rsidRDefault="00BA4035" w:rsidP="00DF02AA">
            <w:pPr>
              <w:rPr>
                <w:rFonts w:ascii="Arial" w:hAnsi="Arial" w:cs="Arial"/>
                <w:color w:val="000000"/>
                <w:sz w:val="20"/>
                <w:szCs w:val="20"/>
                <w:lang w:eastAsia="en-AU"/>
              </w:rPr>
            </w:pPr>
            <w:r w:rsidRPr="00D621BB">
              <w:rPr>
                <w:rFonts w:ascii="Arial" w:hAnsi="Arial" w:cs="Arial"/>
                <w:color w:val="000000"/>
                <w:sz w:val="20"/>
                <w:szCs w:val="20"/>
                <w:lang w:eastAsia="en-AU"/>
              </w:rPr>
              <w:t xml:space="preserve">Coring </w:t>
            </w:r>
          </w:p>
        </w:tc>
        <w:tc>
          <w:tcPr>
            <w:tcW w:w="2976" w:type="dxa"/>
            <w:tcBorders>
              <w:top w:val="single" w:sz="18" w:space="0" w:color="auto"/>
              <w:left w:val="single" w:sz="18" w:space="0" w:color="auto"/>
              <w:bottom w:val="single" w:sz="8" w:space="0" w:color="auto"/>
              <w:right w:val="single" w:sz="18" w:space="0" w:color="auto"/>
            </w:tcBorders>
            <w:shd w:val="clear" w:color="auto" w:fill="auto"/>
            <w:noWrap/>
          </w:tcPr>
          <w:p w:rsidR="00BA4035" w:rsidRPr="00D621BB" w:rsidRDefault="00BA4035" w:rsidP="00DF02AA">
            <w:pPr>
              <w:rPr>
                <w:rFonts w:ascii="Arial" w:eastAsia="Arial" w:hAnsi="Arial" w:cs="Arial"/>
                <w:color w:val="000000"/>
                <w:sz w:val="20"/>
                <w:szCs w:val="20"/>
                <w:lang w:eastAsia="en-AU"/>
              </w:rPr>
            </w:pPr>
            <w:r>
              <w:rPr>
                <w:rFonts w:ascii="Arial" w:eastAsia="Arial" w:hAnsi="Arial" w:cs="Arial"/>
                <w:color w:val="000000"/>
                <w:sz w:val="20"/>
                <w:szCs w:val="20"/>
                <w:lang w:eastAsia="en-AU"/>
              </w:rPr>
              <w:t xml:space="preserve">Halliburton </w:t>
            </w:r>
          </w:p>
        </w:tc>
        <w:tc>
          <w:tcPr>
            <w:tcW w:w="1560" w:type="dxa"/>
            <w:tcBorders>
              <w:top w:val="single" w:sz="18" w:space="0" w:color="auto"/>
              <w:left w:val="single" w:sz="18" w:space="0" w:color="auto"/>
              <w:bottom w:val="single" w:sz="8" w:space="0" w:color="auto"/>
              <w:right w:val="single" w:sz="18" w:space="0" w:color="auto"/>
            </w:tcBorders>
          </w:tcPr>
          <w:p w:rsidR="00BA4035" w:rsidRPr="00D621BB" w:rsidRDefault="00BA4035" w:rsidP="00DF02AA">
            <w:pPr>
              <w:rPr>
                <w:rFonts w:ascii="Arial" w:hAnsi="Arial" w:cs="Arial"/>
                <w:color w:val="000000"/>
                <w:sz w:val="20"/>
                <w:szCs w:val="20"/>
                <w:lang w:eastAsia="en-AU"/>
              </w:rPr>
            </w:pPr>
            <w:r>
              <w:rPr>
                <w:rFonts w:ascii="Arial" w:hAnsi="Arial" w:cs="Arial"/>
                <w:color w:val="000000"/>
                <w:sz w:val="20"/>
                <w:szCs w:val="20"/>
                <w:lang w:eastAsia="en-AU"/>
              </w:rPr>
              <w:t>Yes</w:t>
            </w:r>
          </w:p>
        </w:tc>
        <w:tc>
          <w:tcPr>
            <w:tcW w:w="1208" w:type="dxa"/>
            <w:tcBorders>
              <w:top w:val="single" w:sz="18" w:space="0" w:color="auto"/>
              <w:left w:val="single" w:sz="18" w:space="0" w:color="auto"/>
              <w:bottom w:val="single" w:sz="8" w:space="0" w:color="auto"/>
              <w:right w:val="single" w:sz="18" w:space="0" w:color="auto"/>
            </w:tcBorders>
          </w:tcPr>
          <w:p w:rsidR="00BA4035" w:rsidRPr="00D621BB" w:rsidRDefault="00BA4035" w:rsidP="00DF02AA">
            <w:pPr>
              <w:rPr>
                <w:rFonts w:ascii="Arial" w:hAnsi="Arial" w:cs="Arial"/>
                <w:color w:val="000000"/>
                <w:sz w:val="20"/>
                <w:szCs w:val="20"/>
                <w:lang w:eastAsia="en-AU"/>
              </w:rPr>
            </w:pPr>
            <w:r>
              <w:rPr>
                <w:rFonts w:ascii="Arial" w:hAnsi="Arial" w:cs="Arial"/>
                <w:color w:val="000000"/>
                <w:sz w:val="20"/>
                <w:szCs w:val="20"/>
                <w:lang w:eastAsia="en-AU"/>
              </w:rPr>
              <w:t>Yes</w:t>
            </w:r>
          </w:p>
        </w:tc>
        <w:tc>
          <w:tcPr>
            <w:tcW w:w="5671" w:type="dxa"/>
            <w:tcBorders>
              <w:top w:val="single" w:sz="18" w:space="0" w:color="auto"/>
              <w:left w:val="single" w:sz="18" w:space="0" w:color="auto"/>
              <w:bottom w:val="single" w:sz="8" w:space="0" w:color="auto"/>
              <w:right w:val="single" w:sz="18" w:space="0" w:color="auto"/>
            </w:tcBorders>
            <w:shd w:val="clear" w:color="auto" w:fill="auto"/>
            <w:noWrap/>
          </w:tcPr>
          <w:p w:rsidR="00BA4035" w:rsidRPr="00D621BB" w:rsidRDefault="00BA4035" w:rsidP="00DF02AA">
            <w:pPr>
              <w:rPr>
                <w:rFonts w:ascii="Arial" w:hAnsi="Arial" w:cs="Arial"/>
                <w:color w:val="000000"/>
                <w:sz w:val="20"/>
                <w:szCs w:val="20"/>
                <w:lang w:eastAsia="en-AU"/>
              </w:rPr>
            </w:pPr>
          </w:p>
        </w:tc>
      </w:tr>
      <w:tr w:rsidR="00BA4035" w:rsidRPr="00D621BB" w:rsidTr="00DF02AA">
        <w:trPr>
          <w:cantSplit/>
          <w:trHeight w:val="300"/>
        </w:trPr>
        <w:tc>
          <w:tcPr>
            <w:tcW w:w="2425" w:type="dxa"/>
            <w:vMerge/>
            <w:tcBorders>
              <w:left w:val="single" w:sz="18" w:space="0" w:color="auto"/>
              <w:right w:val="single" w:sz="18" w:space="0" w:color="auto"/>
            </w:tcBorders>
            <w:shd w:val="clear" w:color="auto" w:fill="auto"/>
            <w:noWrap/>
          </w:tcPr>
          <w:p w:rsidR="00BA4035" w:rsidRPr="00D621BB" w:rsidRDefault="00BA4035" w:rsidP="00DF02AA">
            <w:pPr>
              <w:rPr>
                <w:rFonts w:ascii="Arial" w:hAnsi="Arial" w:cs="Arial"/>
                <w:color w:val="000000"/>
                <w:sz w:val="20"/>
                <w:szCs w:val="20"/>
                <w:lang w:eastAsia="en-AU"/>
              </w:rPr>
            </w:pPr>
          </w:p>
        </w:tc>
        <w:tc>
          <w:tcPr>
            <w:tcW w:w="2976" w:type="dxa"/>
            <w:tcBorders>
              <w:top w:val="single" w:sz="8" w:space="0" w:color="auto"/>
              <w:left w:val="single" w:sz="18" w:space="0" w:color="auto"/>
              <w:bottom w:val="single" w:sz="8" w:space="0" w:color="auto"/>
              <w:right w:val="single" w:sz="18" w:space="0" w:color="auto"/>
            </w:tcBorders>
            <w:shd w:val="clear" w:color="auto" w:fill="auto"/>
            <w:noWrap/>
          </w:tcPr>
          <w:p w:rsidR="00BA4035" w:rsidRPr="00D621BB" w:rsidRDefault="00BA4035" w:rsidP="00DF02AA">
            <w:pPr>
              <w:rPr>
                <w:rFonts w:ascii="Arial" w:eastAsia="Arial" w:hAnsi="Arial" w:cs="Arial"/>
                <w:color w:val="000000"/>
                <w:sz w:val="20"/>
                <w:szCs w:val="20"/>
                <w:lang w:eastAsia="en-AU"/>
              </w:rPr>
            </w:pPr>
            <w:r>
              <w:rPr>
                <w:rFonts w:ascii="Arial" w:eastAsia="Arial" w:hAnsi="Arial" w:cs="Arial"/>
                <w:color w:val="000000"/>
                <w:sz w:val="20"/>
                <w:szCs w:val="20"/>
                <w:lang w:eastAsia="en-AU"/>
              </w:rPr>
              <w:t>Baker Hughes</w:t>
            </w:r>
          </w:p>
        </w:tc>
        <w:tc>
          <w:tcPr>
            <w:tcW w:w="1560" w:type="dxa"/>
            <w:tcBorders>
              <w:top w:val="single" w:sz="8" w:space="0" w:color="auto"/>
              <w:left w:val="single" w:sz="18" w:space="0" w:color="auto"/>
              <w:bottom w:val="single" w:sz="8" w:space="0" w:color="auto"/>
              <w:right w:val="single" w:sz="18" w:space="0" w:color="auto"/>
            </w:tcBorders>
          </w:tcPr>
          <w:p w:rsidR="00BA4035" w:rsidRPr="00D621BB" w:rsidRDefault="00BA4035" w:rsidP="00DF02AA">
            <w:pPr>
              <w:rPr>
                <w:rFonts w:ascii="Arial" w:hAnsi="Arial" w:cs="Arial"/>
                <w:color w:val="000000"/>
                <w:sz w:val="20"/>
                <w:szCs w:val="20"/>
                <w:lang w:eastAsia="en-AU"/>
              </w:rPr>
            </w:pPr>
            <w:r>
              <w:rPr>
                <w:rFonts w:ascii="Arial" w:hAnsi="Arial" w:cs="Arial"/>
                <w:color w:val="000000"/>
                <w:sz w:val="20"/>
                <w:szCs w:val="20"/>
                <w:lang w:eastAsia="en-AU"/>
              </w:rPr>
              <w:t>Yes</w:t>
            </w:r>
          </w:p>
        </w:tc>
        <w:tc>
          <w:tcPr>
            <w:tcW w:w="1208" w:type="dxa"/>
            <w:tcBorders>
              <w:top w:val="single" w:sz="8" w:space="0" w:color="auto"/>
              <w:left w:val="single" w:sz="18" w:space="0" w:color="auto"/>
              <w:bottom w:val="single" w:sz="8" w:space="0" w:color="auto"/>
              <w:right w:val="single" w:sz="18" w:space="0" w:color="auto"/>
            </w:tcBorders>
          </w:tcPr>
          <w:p w:rsidR="00BA4035" w:rsidRPr="00D621BB" w:rsidRDefault="00BA4035" w:rsidP="00DF02AA">
            <w:pPr>
              <w:rPr>
                <w:rFonts w:ascii="Arial" w:hAnsi="Arial" w:cs="Arial"/>
                <w:color w:val="000000"/>
                <w:sz w:val="20"/>
                <w:szCs w:val="20"/>
                <w:lang w:eastAsia="en-AU"/>
              </w:rPr>
            </w:pPr>
            <w:r>
              <w:rPr>
                <w:rFonts w:ascii="Arial" w:hAnsi="Arial" w:cs="Arial"/>
                <w:color w:val="000000"/>
                <w:sz w:val="20"/>
                <w:szCs w:val="20"/>
                <w:lang w:eastAsia="en-AU"/>
              </w:rPr>
              <w:t>Yes</w:t>
            </w:r>
          </w:p>
        </w:tc>
        <w:tc>
          <w:tcPr>
            <w:tcW w:w="5671" w:type="dxa"/>
            <w:tcBorders>
              <w:top w:val="single" w:sz="8" w:space="0" w:color="auto"/>
              <w:left w:val="single" w:sz="18" w:space="0" w:color="auto"/>
              <w:bottom w:val="single" w:sz="8" w:space="0" w:color="auto"/>
              <w:right w:val="single" w:sz="18" w:space="0" w:color="auto"/>
            </w:tcBorders>
            <w:shd w:val="clear" w:color="auto" w:fill="auto"/>
            <w:noWrap/>
          </w:tcPr>
          <w:p w:rsidR="00BA4035" w:rsidRPr="00D621BB" w:rsidRDefault="00BA4035" w:rsidP="00DF02AA">
            <w:pPr>
              <w:rPr>
                <w:rFonts w:ascii="Arial" w:hAnsi="Arial" w:cs="Arial"/>
                <w:color w:val="000000"/>
                <w:sz w:val="20"/>
                <w:szCs w:val="20"/>
                <w:lang w:eastAsia="en-AU"/>
              </w:rPr>
            </w:pPr>
          </w:p>
        </w:tc>
      </w:tr>
      <w:tr w:rsidR="00BA4035" w:rsidRPr="00D621BB" w:rsidTr="00DF02AA">
        <w:trPr>
          <w:cantSplit/>
          <w:trHeight w:val="300"/>
        </w:trPr>
        <w:tc>
          <w:tcPr>
            <w:tcW w:w="2425" w:type="dxa"/>
            <w:vMerge/>
            <w:tcBorders>
              <w:left w:val="single" w:sz="18" w:space="0" w:color="auto"/>
              <w:right w:val="single" w:sz="18" w:space="0" w:color="auto"/>
            </w:tcBorders>
            <w:shd w:val="clear" w:color="auto" w:fill="auto"/>
            <w:noWrap/>
          </w:tcPr>
          <w:p w:rsidR="00BA4035" w:rsidRPr="00D621BB" w:rsidRDefault="00BA4035" w:rsidP="00DF02AA">
            <w:pPr>
              <w:rPr>
                <w:rFonts w:ascii="Arial" w:hAnsi="Arial" w:cs="Arial"/>
                <w:color w:val="000000"/>
                <w:sz w:val="20"/>
                <w:szCs w:val="20"/>
                <w:lang w:eastAsia="en-AU"/>
              </w:rPr>
            </w:pPr>
          </w:p>
        </w:tc>
        <w:tc>
          <w:tcPr>
            <w:tcW w:w="2976" w:type="dxa"/>
            <w:tcBorders>
              <w:top w:val="single" w:sz="8" w:space="0" w:color="auto"/>
              <w:left w:val="single" w:sz="18" w:space="0" w:color="auto"/>
              <w:bottom w:val="single" w:sz="4" w:space="0" w:color="auto"/>
              <w:right w:val="single" w:sz="18" w:space="0" w:color="auto"/>
            </w:tcBorders>
            <w:shd w:val="clear" w:color="auto" w:fill="auto"/>
            <w:noWrap/>
          </w:tcPr>
          <w:p w:rsidR="00BA4035" w:rsidRPr="00D621BB" w:rsidRDefault="00BA4035" w:rsidP="00DF02AA">
            <w:pPr>
              <w:rPr>
                <w:rFonts w:ascii="Arial" w:eastAsia="Arial" w:hAnsi="Arial" w:cs="Arial"/>
                <w:color w:val="000000"/>
                <w:sz w:val="20"/>
                <w:szCs w:val="20"/>
                <w:lang w:eastAsia="en-AU"/>
              </w:rPr>
            </w:pPr>
            <w:r w:rsidRPr="00D621BB">
              <w:rPr>
                <w:rFonts w:ascii="Arial" w:eastAsia="Arial" w:hAnsi="Arial" w:cs="Arial"/>
                <w:color w:val="000000"/>
                <w:sz w:val="20"/>
                <w:szCs w:val="20"/>
                <w:lang w:eastAsia="en-AU"/>
              </w:rPr>
              <w:t>Schlumberger</w:t>
            </w:r>
          </w:p>
        </w:tc>
        <w:tc>
          <w:tcPr>
            <w:tcW w:w="1560" w:type="dxa"/>
            <w:tcBorders>
              <w:top w:val="single" w:sz="8" w:space="0" w:color="auto"/>
              <w:left w:val="single" w:sz="18" w:space="0" w:color="auto"/>
              <w:bottom w:val="single" w:sz="4" w:space="0" w:color="auto"/>
              <w:right w:val="single" w:sz="18" w:space="0" w:color="auto"/>
            </w:tcBorders>
          </w:tcPr>
          <w:p w:rsidR="00BA4035" w:rsidRPr="00D621BB" w:rsidRDefault="00BA4035" w:rsidP="00DF02AA">
            <w:pPr>
              <w:rPr>
                <w:rFonts w:ascii="Arial" w:hAnsi="Arial" w:cs="Arial"/>
                <w:color w:val="000000"/>
                <w:sz w:val="20"/>
                <w:szCs w:val="20"/>
                <w:lang w:eastAsia="en-AU"/>
              </w:rPr>
            </w:pPr>
            <w:r>
              <w:rPr>
                <w:rFonts w:ascii="Arial" w:hAnsi="Arial" w:cs="Arial"/>
                <w:color w:val="000000"/>
                <w:sz w:val="20"/>
                <w:szCs w:val="20"/>
                <w:lang w:eastAsia="en-AU"/>
              </w:rPr>
              <w:t>No</w:t>
            </w:r>
          </w:p>
        </w:tc>
        <w:tc>
          <w:tcPr>
            <w:tcW w:w="1208" w:type="dxa"/>
            <w:tcBorders>
              <w:top w:val="single" w:sz="8" w:space="0" w:color="auto"/>
              <w:left w:val="single" w:sz="18" w:space="0" w:color="auto"/>
              <w:bottom w:val="single" w:sz="4" w:space="0" w:color="auto"/>
              <w:right w:val="single" w:sz="18" w:space="0" w:color="auto"/>
            </w:tcBorders>
          </w:tcPr>
          <w:p w:rsidR="00BA4035" w:rsidRPr="00D621BB" w:rsidRDefault="00BA4035" w:rsidP="00DF02AA">
            <w:pPr>
              <w:rPr>
                <w:rFonts w:ascii="Arial" w:hAnsi="Arial" w:cs="Arial"/>
                <w:color w:val="000000"/>
                <w:sz w:val="20"/>
                <w:szCs w:val="20"/>
                <w:lang w:eastAsia="en-AU"/>
              </w:rPr>
            </w:pPr>
            <w:r>
              <w:rPr>
                <w:rFonts w:ascii="Arial" w:hAnsi="Arial" w:cs="Arial"/>
                <w:color w:val="000000"/>
                <w:sz w:val="20"/>
                <w:szCs w:val="20"/>
                <w:lang w:eastAsia="en-AU"/>
              </w:rPr>
              <w:t>No</w:t>
            </w:r>
          </w:p>
        </w:tc>
        <w:tc>
          <w:tcPr>
            <w:tcW w:w="5671" w:type="dxa"/>
            <w:tcBorders>
              <w:top w:val="single" w:sz="8" w:space="0" w:color="auto"/>
              <w:left w:val="single" w:sz="18" w:space="0" w:color="auto"/>
              <w:bottom w:val="single" w:sz="4" w:space="0" w:color="auto"/>
              <w:right w:val="single" w:sz="18" w:space="0" w:color="auto"/>
            </w:tcBorders>
            <w:shd w:val="clear" w:color="auto" w:fill="auto"/>
            <w:noWrap/>
          </w:tcPr>
          <w:p w:rsidR="00BA4035" w:rsidRPr="00D621BB" w:rsidRDefault="00BA4035" w:rsidP="00DF02AA">
            <w:pPr>
              <w:rPr>
                <w:rFonts w:ascii="Arial" w:hAnsi="Arial" w:cs="Arial"/>
                <w:color w:val="000000"/>
                <w:sz w:val="20"/>
                <w:szCs w:val="20"/>
                <w:lang w:eastAsia="en-AU"/>
              </w:rPr>
            </w:pPr>
          </w:p>
        </w:tc>
      </w:tr>
      <w:tr w:rsidR="00BA4035" w:rsidRPr="00D621BB" w:rsidTr="00DF02AA">
        <w:trPr>
          <w:cantSplit/>
          <w:trHeight w:val="300"/>
        </w:trPr>
        <w:tc>
          <w:tcPr>
            <w:tcW w:w="2425" w:type="dxa"/>
            <w:vMerge/>
            <w:tcBorders>
              <w:left w:val="single" w:sz="18" w:space="0" w:color="auto"/>
              <w:right w:val="single" w:sz="18" w:space="0" w:color="auto"/>
            </w:tcBorders>
            <w:shd w:val="clear" w:color="auto" w:fill="auto"/>
            <w:noWrap/>
            <w:hideMark/>
          </w:tcPr>
          <w:p w:rsidR="00BA4035" w:rsidRPr="00D621BB" w:rsidRDefault="00BA4035" w:rsidP="00DF02AA">
            <w:pPr>
              <w:rPr>
                <w:rFonts w:ascii="Arial" w:hAnsi="Arial" w:cs="Arial"/>
                <w:color w:val="000000"/>
                <w:sz w:val="20"/>
                <w:szCs w:val="20"/>
                <w:lang w:eastAsia="en-AU"/>
              </w:rPr>
            </w:pPr>
          </w:p>
        </w:tc>
        <w:tc>
          <w:tcPr>
            <w:tcW w:w="2976" w:type="dxa"/>
            <w:tcBorders>
              <w:top w:val="single" w:sz="4" w:space="0" w:color="auto"/>
              <w:left w:val="single" w:sz="18" w:space="0" w:color="auto"/>
              <w:bottom w:val="single" w:sz="4" w:space="0" w:color="auto"/>
              <w:right w:val="single" w:sz="18" w:space="0" w:color="auto"/>
            </w:tcBorders>
            <w:shd w:val="clear" w:color="auto" w:fill="auto"/>
            <w:noWrap/>
            <w:hideMark/>
          </w:tcPr>
          <w:p w:rsidR="00BA4035" w:rsidRPr="00D621BB" w:rsidRDefault="00BA4035" w:rsidP="00DF02AA">
            <w:pPr>
              <w:rPr>
                <w:rFonts w:ascii="Arial" w:eastAsia="Arial" w:hAnsi="Arial" w:cs="Arial"/>
                <w:color w:val="000000"/>
                <w:sz w:val="20"/>
                <w:szCs w:val="20"/>
                <w:lang w:eastAsia="en-AU"/>
              </w:rPr>
            </w:pPr>
            <w:r w:rsidRPr="00D621BB">
              <w:rPr>
                <w:rFonts w:ascii="Arial" w:eastAsia="Arial" w:hAnsi="Arial" w:cs="Arial"/>
                <w:color w:val="000000"/>
                <w:sz w:val="20"/>
                <w:szCs w:val="20"/>
                <w:lang w:eastAsia="en-AU"/>
              </w:rPr>
              <w:t xml:space="preserve">NOV </w:t>
            </w:r>
          </w:p>
        </w:tc>
        <w:tc>
          <w:tcPr>
            <w:tcW w:w="1560" w:type="dxa"/>
            <w:tcBorders>
              <w:top w:val="single" w:sz="4" w:space="0" w:color="auto"/>
              <w:left w:val="single" w:sz="18" w:space="0" w:color="auto"/>
              <w:bottom w:val="single" w:sz="4" w:space="0" w:color="auto"/>
              <w:right w:val="single" w:sz="18" w:space="0" w:color="auto"/>
            </w:tcBorders>
          </w:tcPr>
          <w:p w:rsidR="00BA4035" w:rsidRPr="00D621BB" w:rsidRDefault="00BA4035" w:rsidP="00DF02AA">
            <w:pPr>
              <w:rPr>
                <w:rFonts w:ascii="Arial" w:hAnsi="Arial" w:cs="Arial"/>
                <w:color w:val="000000"/>
                <w:sz w:val="20"/>
                <w:szCs w:val="20"/>
                <w:lang w:eastAsia="en-AU"/>
              </w:rPr>
            </w:pPr>
            <w:r>
              <w:rPr>
                <w:rFonts w:ascii="Arial" w:hAnsi="Arial" w:cs="Arial"/>
                <w:color w:val="000000"/>
                <w:sz w:val="20"/>
                <w:szCs w:val="20"/>
                <w:lang w:eastAsia="en-AU"/>
              </w:rPr>
              <w:t>Yes</w:t>
            </w:r>
          </w:p>
        </w:tc>
        <w:tc>
          <w:tcPr>
            <w:tcW w:w="1208" w:type="dxa"/>
            <w:tcBorders>
              <w:top w:val="single" w:sz="4" w:space="0" w:color="auto"/>
              <w:left w:val="single" w:sz="18" w:space="0" w:color="auto"/>
              <w:bottom w:val="single" w:sz="4" w:space="0" w:color="auto"/>
              <w:right w:val="single" w:sz="18" w:space="0" w:color="auto"/>
            </w:tcBorders>
          </w:tcPr>
          <w:p w:rsidR="00BA4035" w:rsidRPr="00D621BB" w:rsidRDefault="00BA4035" w:rsidP="00DF02AA">
            <w:pPr>
              <w:rPr>
                <w:rFonts w:ascii="Arial" w:hAnsi="Arial" w:cs="Arial"/>
                <w:color w:val="000000"/>
                <w:sz w:val="20"/>
                <w:szCs w:val="20"/>
                <w:lang w:eastAsia="en-AU"/>
              </w:rPr>
            </w:pPr>
            <w:r>
              <w:rPr>
                <w:rFonts w:ascii="Arial" w:hAnsi="Arial" w:cs="Arial"/>
                <w:color w:val="000000"/>
                <w:sz w:val="20"/>
                <w:szCs w:val="20"/>
                <w:lang w:eastAsia="en-AU"/>
              </w:rPr>
              <w:t>Yes</w:t>
            </w:r>
          </w:p>
        </w:tc>
        <w:tc>
          <w:tcPr>
            <w:tcW w:w="5671" w:type="dxa"/>
            <w:tcBorders>
              <w:top w:val="single" w:sz="4" w:space="0" w:color="auto"/>
              <w:left w:val="single" w:sz="18" w:space="0" w:color="auto"/>
              <w:bottom w:val="single" w:sz="4" w:space="0" w:color="auto"/>
              <w:right w:val="single" w:sz="18" w:space="0" w:color="auto"/>
            </w:tcBorders>
            <w:shd w:val="clear" w:color="auto" w:fill="auto"/>
            <w:noWrap/>
            <w:hideMark/>
          </w:tcPr>
          <w:p w:rsidR="00BA4035" w:rsidRPr="00D621BB" w:rsidRDefault="00BA4035" w:rsidP="00DF02AA">
            <w:pPr>
              <w:rPr>
                <w:rFonts w:ascii="Arial" w:hAnsi="Arial" w:cs="Arial"/>
                <w:color w:val="000000"/>
                <w:sz w:val="20"/>
                <w:szCs w:val="20"/>
                <w:lang w:eastAsia="en-AU"/>
              </w:rPr>
            </w:pPr>
            <w:r w:rsidRPr="00D621BB">
              <w:rPr>
                <w:rFonts w:ascii="Arial" w:hAnsi="Arial" w:cs="Arial"/>
                <w:color w:val="000000"/>
                <w:sz w:val="20"/>
                <w:szCs w:val="20"/>
                <w:lang w:eastAsia="en-AU"/>
              </w:rPr>
              <w:t> </w:t>
            </w:r>
          </w:p>
        </w:tc>
      </w:tr>
      <w:tr w:rsidR="00BA4035" w:rsidRPr="00D621BB" w:rsidTr="00DF02AA">
        <w:trPr>
          <w:cantSplit/>
          <w:trHeight w:val="300"/>
        </w:trPr>
        <w:tc>
          <w:tcPr>
            <w:tcW w:w="2425" w:type="dxa"/>
            <w:vMerge/>
            <w:tcBorders>
              <w:left w:val="single" w:sz="18" w:space="0" w:color="auto"/>
              <w:right w:val="single" w:sz="18" w:space="0" w:color="auto"/>
            </w:tcBorders>
            <w:vAlign w:val="center"/>
            <w:hideMark/>
          </w:tcPr>
          <w:p w:rsidR="00BA4035" w:rsidRPr="00D621BB" w:rsidRDefault="00BA4035" w:rsidP="00DF02AA">
            <w:pPr>
              <w:rPr>
                <w:rFonts w:ascii="Arial" w:hAnsi="Arial" w:cs="Arial"/>
                <w:color w:val="000000"/>
                <w:sz w:val="20"/>
                <w:szCs w:val="20"/>
                <w:lang w:eastAsia="en-AU"/>
              </w:rPr>
            </w:pPr>
          </w:p>
        </w:tc>
        <w:tc>
          <w:tcPr>
            <w:tcW w:w="2976" w:type="dxa"/>
            <w:tcBorders>
              <w:top w:val="single" w:sz="4" w:space="0" w:color="auto"/>
              <w:left w:val="single" w:sz="18" w:space="0" w:color="auto"/>
              <w:bottom w:val="single" w:sz="4" w:space="0" w:color="auto"/>
              <w:right w:val="single" w:sz="18" w:space="0" w:color="auto"/>
            </w:tcBorders>
            <w:shd w:val="clear" w:color="auto" w:fill="auto"/>
            <w:noWrap/>
            <w:hideMark/>
          </w:tcPr>
          <w:p w:rsidR="00BA4035" w:rsidRPr="00D621BB" w:rsidRDefault="00BA4035" w:rsidP="00DF02AA">
            <w:pPr>
              <w:rPr>
                <w:rFonts w:ascii="Arial" w:eastAsia="Arial" w:hAnsi="Arial" w:cs="Arial"/>
                <w:color w:val="000000"/>
                <w:sz w:val="20"/>
                <w:szCs w:val="20"/>
                <w:lang w:eastAsia="en-AU"/>
              </w:rPr>
            </w:pPr>
            <w:proofErr w:type="spellStart"/>
            <w:r w:rsidRPr="00D621BB">
              <w:rPr>
                <w:rFonts w:ascii="Arial" w:eastAsia="Arial" w:hAnsi="Arial" w:cs="Arial"/>
                <w:color w:val="000000"/>
                <w:sz w:val="20"/>
                <w:szCs w:val="20"/>
                <w:lang w:eastAsia="en-AU"/>
              </w:rPr>
              <w:t>Corpro</w:t>
            </w:r>
            <w:proofErr w:type="spellEnd"/>
          </w:p>
        </w:tc>
        <w:tc>
          <w:tcPr>
            <w:tcW w:w="1560" w:type="dxa"/>
            <w:tcBorders>
              <w:top w:val="single" w:sz="4" w:space="0" w:color="auto"/>
              <w:left w:val="single" w:sz="18" w:space="0" w:color="auto"/>
              <w:bottom w:val="single" w:sz="4" w:space="0" w:color="auto"/>
              <w:right w:val="single" w:sz="18" w:space="0" w:color="auto"/>
            </w:tcBorders>
          </w:tcPr>
          <w:p w:rsidR="00BA4035" w:rsidRPr="00D621BB" w:rsidRDefault="00BA4035" w:rsidP="00DF02AA">
            <w:pPr>
              <w:rPr>
                <w:rFonts w:ascii="Arial" w:hAnsi="Arial" w:cs="Arial"/>
                <w:color w:val="000000"/>
                <w:sz w:val="20"/>
                <w:szCs w:val="20"/>
                <w:lang w:eastAsia="en-AU"/>
              </w:rPr>
            </w:pPr>
            <w:r>
              <w:rPr>
                <w:rFonts w:ascii="Arial" w:hAnsi="Arial" w:cs="Arial"/>
                <w:color w:val="000000"/>
                <w:sz w:val="20"/>
                <w:szCs w:val="20"/>
                <w:lang w:eastAsia="en-AU"/>
              </w:rPr>
              <w:t>Yes</w:t>
            </w:r>
          </w:p>
        </w:tc>
        <w:tc>
          <w:tcPr>
            <w:tcW w:w="1208" w:type="dxa"/>
            <w:tcBorders>
              <w:top w:val="single" w:sz="4" w:space="0" w:color="auto"/>
              <w:left w:val="single" w:sz="18" w:space="0" w:color="auto"/>
              <w:bottom w:val="single" w:sz="4" w:space="0" w:color="auto"/>
              <w:right w:val="single" w:sz="18" w:space="0" w:color="auto"/>
            </w:tcBorders>
          </w:tcPr>
          <w:p w:rsidR="00BA4035" w:rsidRPr="00D621BB" w:rsidRDefault="00BA4035" w:rsidP="00DF02AA">
            <w:pPr>
              <w:rPr>
                <w:rFonts w:ascii="Arial" w:hAnsi="Arial" w:cs="Arial"/>
                <w:color w:val="000000"/>
                <w:sz w:val="20"/>
                <w:szCs w:val="20"/>
                <w:lang w:eastAsia="en-AU"/>
              </w:rPr>
            </w:pPr>
            <w:r>
              <w:rPr>
                <w:rFonts w:ascii="Arial" w:hAnsi="Arial" w:cs="Arial"/>
                <w:color w:val="000000"/>
                <w:sz w:val="20"/>
                <w:szCs w:val="20"/>
                <w:lang w:eastAsia="en-AU"/>
              </w:rPr>
              <w:t>Yes</w:t>
            </w:r>
          </w:p>
        </w:tc>
        <w:tc>
          <w:tcPr>
            <w:tcW w:w="5671" w:type="dxa"/>
            <w:tcBorders>
              <w:top w:val="single" w:sz="4" w:space="0" w:color="auto"/>
              <w:left w:val="single" w:sz="18" w:space="0" w:color="auto"/>
              <w:bottom w:val="single" w:sz="4" w:space="0" w:color="auto"/>
              <w:right w:val="single" w:sz="18" w:space="0" w:color="auto"/>
            </w:tcBorders>
            <w:shd w:val="clear" w:color="auto" w:fill="auto"/>
            <w:noWrap/>
            <w:hideMark/>
          </w:tcPr>
          <w:p w:rsidR="00BA4035" w:rsidRPr="00D621BB" w:rsidRDefault="00BA4035" w:rsidP="00DF02AA">
            <w:pPr>
              <w:rPr>
                <w:rFonts w:ascii="Arial" w:hAnsi="Arial" w:cs="Arial"/>
                <w:color w:val="000000"/>
                <w:sz w:val="20"/>
                <w:szCs w:val="20"/>
                <w:lang w:eastAsia="en-AU"/>
              </w:rPr>
            </w:pPr>
            <w:r w:rsidRPr="00D621BB">
              <w:rPr>
                <w:rFonts w:ascii="Arial" w:hAnsi="Arial" w:cs="Arial"/>
                <w:color w:val="000000"/>
                <w:sz w:val="20"/>
                <w:szCs w:val="20"/>
                <w:lang w:eastAsia="en-AU"/>
              </w:rPr>
              <w:t> </w:t>
            </w:r>
          </w:p>
        </w:tc>
      </w:tr>
      <w:tr w:rsidR="00BA4035" w:rsidRPr="00D621BB" w:rsidTr="00DF02AA">
        <w:trPr>
          <w:cantSplit/>
          <w:trHeight w:val="300"/>
        </w:trPr>
        <w:tc>
          <w:tcPr>
            <w:tcW w:w="2425" w:type="dxa"/>
            <w:vMerge w:val="restart"/>
            <w:tcBorders>
              <w:top w:val="single" w:sz="18" w:space="0" w:color="auto"/>
              <w:left w:val="single" w:sz="18" w:space="0" w:color="auto"/>
              <w:right w:val="single" w:sz="18" w:space="0" w:color="auto"/>
            </w:tcBorders>
            <w:shd w:val="clear" w:color="auto" w:fill="auto"/>
            <w:noWrap/>
          </w:tcPr>
          <w:p w:rsidR="00C01999" w:rsidRDefault="00BA4035" w:rsidP="00DF02AA">
            <w:pPr>
              <w:keepNext/>
              <w:rPr>
                <w:rFonts w:ascii="Arial" w:hAnsi="Arial" w:cs="Arial"/>
                <w:color w:val="000000"/>
                <w:sz w:val="20"/>
                <w:szCs w:val="20"/>
                <w:lang w:eastAsia="en-AU"/>
              </w:rPr>
            </w:pPr>
            <w:r w:rsidRPr="00D621BB">
              <w:rPr>
                <w:rFonts w:ascii="Arial" w:hAnsi="Arial" w:cs="Arial"/>
                <w:color w:val="000000"/>
                <w:sz w:val="20"/>
                <w:szCs w:val="20"/>
                <w:lang w:eastAsia="en-AU"/>
              </w:rPr>
              <w:lastRenderedPageBreak/>
              <w:t>Drill bits</w:t>
            </w:r>
            <w:r w:rsidR="000A41BF">
              <w:rPr>
                <w:rFonts w:ascii="Arial" w:hAnsi="Arial" w:cs="Arial"/>
                <w:color w:val="000000"/>
                <w:sz w:val="20"/>
                <w:szCs w:val="20"/>
                <w:lang w:eastAsia="en-AU"/>
              </w:rPr>
              <w:t xml:space="preserve"> </w:t>
            </w:r>
          </w:p>
          <w:p w:rsidR="00C01999" w:rsidRDefault="00C01999" w:rsidP="00DF02AA">
            <w:pPr>
              <w:keepNext/>
              <w:rPr>
                <w:rFonts w:ascii="Arial" w:hAnsi="Arial" w:cs="Arial"/>
                <w:color w:val="000000"/>
                <w:sz w:val="20"/>
                <w:szCs w:val="20"/>
                <w:lang w:eastAsia="en-AU"/>
              </w:rPr>
            </w:pPr>
          </w:p>
          <w:p w:rsidR="00BA4035" w:rsidRPr="00D621BB" w:rsidRDefault="000A41BF" w:rsidP="00DF02AA">
            <w:pPr>
              <w:keepNext/>
              <w:rPr>
                <w:rFonts w:ascii="Arial" w:hAnsi="Arial" w:cs="Arial"/>
                <w:color w:val="000000"/>
                <w:sz w:val="20"/>
                <w:szCs w:val="20"/>
                <w:lang w:eastAsia="en-AU"/>
              </w:rPr>
            </w:pPr>
            <w:r>
              <w:rPr>
                <w:rFonts w:ascii="Arial" w:hAnsi="Arial" w:cs="Arial"/>
                <w:color w:val="000000"/>
                <w:sz w:val="20"/>
                <w:szCs w:val="20"/>
                <w:lang w:eastAsia="en-AU"/>
              </w:rPr>
              <w:t>(</w:t>
            </w:r>
            <w:r w:rsidR="00C01999">
              <w:rPr>
                <w:rFonts w:ascii="Arial" w:hAnsi="Arial" w:cs="Arial"/>
                <w:color w:val="000000"/>
                <w:sz w:val="20"/>
                <w:szCs w:val="20"/>
                <w:lang w:eastAsia="en-AU"/>
              </w:rPr>
              <w:t xml:space="preserve">combines </w:t>
            </w:r>
            <w:r>
              <w:rPr>
                <w:rFonts w:ascii="Arial" w:hAnsi="Arial" w:cs="Arial"/>
                <w:color w:val="000000"/>
                <w:sz w:val="20"/>
                <w:szCs w:val="20"/>
                <w:lang w:eastAsia="en-AU"/>
              </w:rPr>
              <w:t>fixed and roller</w:t>
            </w:r>
            <w:r w:rsidR="00C01999">
              <w:rPr>
                <w:rFonts w:ascii="Arial" w:hAnsi="Arial" w:cs="Arial"/>
                <w:color w:val="000000"/>
                <w:sz w:val="20"/>
                <w:szCs w:val="20"/>
                <w:lang w:eastAsia="en-AU"/>
              </w:rPr>
              <w:t xml:space="preserve"> drill bits</w:t>
            </w:r>
            <w:r>
              <w:rPr>
                <w:rFonts w:ascii="Arial" w:hAnsi="Arial" w:cs="Arial"/>
                <w:color w:val="000000"/>
                <w:sz w:val="20"/>
                <w:szCs w:val="20"/>
                <w:lang w:eastAsia="en-AU"/>
              </w:rPr>
              <w:t>)</w:t>
            </w:r>
          </w:p>
        </w:tc>
        <w:tc>
          <w:tcPr>
            <w:tcW w:w="2976" w:type="dxa"/>
            <w:tcBorders>
              <w:top w:val="single" w:sz="18" w:space="0" w:color="auto"/>
              <w:left w:val="single" w:sz="18" w:space="0" w:color="auto"/>
              <w:bottom w:val="single" w:sz="8" w:space="0" w:color="auto"/>
              <w:right w:val="single" w:sz="18" w:space="0" w:color="auto"/>
            </w:tcBorders>
            <w:shd w:val="clear" w:color="auto" w:fill="auto"/>
            <w:noWrap/>
          </w:tcPr>
          <w:p w:rsidR="00BA4035" w:rsidRPr="00D621BB" w:rsidRDefault="00BA4035" w:rsidP="00DF02AA">
            <w:pPr>
              <w:rPr>
                <w:rFonts w:ascii="Arial" w:eastAsia="Arial" w:hAnsi="Arial" w:cs="Arial"/>
                <w:color w:val="000000"/>
                <w:sz w:val="20"/>
                <w:szCs w:val="20"/>
                <w:lang w:eastAsia="en-AU"/>
              </w:rPr>
            </w:pPr>
            <w:r>
              <w:rPr>
                <w:rFonts w:ascii="Arial" w:eastAsia="Arial" w:hAnsi="Arial" w:cs="Arial"/>
                <w:color w:val="000000"/>
                <w:sz w:val="20"/>
                <w:szCs w:val="20"/>
                <w:lang w:eastAsia="en-AU"/>
              </w:rPr>
              <w:t xml:space="preserve">Halliburton </w:t>
            </w:r>
          </w:p>
        </w:tc>
        <w:tc>
          <w:tcPr>
            <w:tcW w:w="1560" w:type="dxa"/>
            <w:tcBorders>
              <w:top w:val="single" w:sz="18" w:space="0" w:color="auto"/>
              <w:left w:val="single" w:sz="18" w:space="0" w:color="auto"/>
              <w:bottom w:val="single" w:sz="8" w:space="0" w:color="auto"/>
              <w:right w:val="single" w:sz="18" w:space="0" w:color="auto"/>
            </w:tcBorders>
          </w:tcPr>
          <w:p w:rsidR="00BA4035" w:rsidRPr="00D621BB" w:rsidRDefault="00BA4035" w:rsidP="00DF02AA">
            <w:pPr>
              <w:keepNext/>
              <w:rPr>
                <w:rFonts w:ascii="Arial" w:hAnsi="Arial" w:cs="Arial"/>
                <w:color w:val="000000"/>
                <w:sz w:val="20"/>
                <w:szCs w:val="20"/>
                <w:lang w:eastAsia="en-AU"/>
              </w:rPr>
            </w:pPr>
            <w:r>
              <w:rPr>
                <w:rFonts w:ascii="Arial" w:hAnsi="Arial" w:cs="Arial"/>
                <w:color w:val="000000"/>
                <w:sz w:val="20"/>
                <w:szCs w:val="20"/>
                <w:lang w:eastAsia="en-AU"/>
              </w:rPr>
              <w:t>Yes</w:t>
            </w:r>
          </w:p>
        </w:tc>
        <w:tc>
          <w:tcPr>
            <w:tcW w:w="1208" w:type="dxa"/>
            <w:tcBorders>
              <w:top w:val="single" w:sz="18" w:space="0" w:color="auto"/>
              <w:left w:val="single" w:sz="18" w:space="0" w:color="auto"/>
              <w:bottom w:val="single" w:sz="8" w:space="0" w:color="auto"/>
              <w:right w:val="single" w:sz="18" w:space="0" w:color="auto"/>
            </w:tcBorders>
          </w:tcPr>
          <w:p w:rsidR="00BA4035" w:rsidRPr="00D621BB" w:rsidRDefault="00BA4035" w:rsidP="00DF02AA">
            <w:pPr>
              <w:keepNext/>
              <w:rPr>
                <w:rFonts w:ascii="Arial" w:hAnsi="Arial" w:cs="Arial"/>
                <w:color w:val="000000"/>
                <w:sz w:val="20"/>
                <w:szCs w:val="20"/>
                <w:lang w:eastAsia="en-AU"/>
              </w:rPr>
            </w:pPr>
            <w:r>
              <w:rPr>
                <w:rFonts w:ascii="Arial" w:hAnsi="Arial" w:cs="Arial"/>
                <w:color w:val="000000"/>
                <w:sz w:val="20"/>
                <w:szCs w:val="20"/>
                <w:lang w:eastAsia="en-AU"/>
              </w:rPr>
              <w:t>Yes</w:t>
            </w:r>
          </w:p>
        </w:tc>
        <w:tc>
          <w:tcPr>
            <w:tcW w:w="5671" w:type="dxa"/>
            <w:tcBorders>
              <w:top w:val="single" w:sz="18" w:space="0" w:color="auto"/>
              <w:left w:val="single" w:sz="18" w:space="0" w:color="auto"/>
              <w:bottom w:val="single" w:sz="8" w:space="0" w:color="auto"/>
              <w:right w:val="single" w:sz="18" w:space="0" w:color="auto"/>
            </w:tcBorders>
            <w:shd w:val="clear" w:color="auto" w:fill="auto"/>
            <w:noWrap/>
          </w:tcPr>
          <w:p w:rsidR="00BA4035" w:rsidRPr="00D621BB" w:rsidRDefault="00BA4035" w:rsidP="00DF02AA">
            <w:pPr>
              <w:keepNext/>
              <w:rPr>
                <w:rFonts w:ascii="Arial" w:hAnsi="Arial" w:cs="Arial"/>
                <w:color w:val="000000"/>
                <w:sz w:val="20"/>
                <w:szCs w:val="20"/>
                <w:lang w:eastAsia="en-AU"/>
              </w:rPr>
            </w:pPr>
          </w:p>
        </w:tc>
      </w:tr>
      <w:tr w:rsidR="00BA4035" w:rsidRPr="00D621BB" w:rsidTr="00DF02AA">
        <w:trPr>
          <w:cantSplit/>
          <w:trHeight w:val="300"/>
        </w:trPr>
        <w:tc>
          <w:tcPr>
            <w:tcW w:w="2425" w:type="dxa"/>
            <w:vMerge/>
            <w:tcBorders>
              <w:left w:val="single" w:sz="18" w:space="0" w:color="auto"/>
              <w:right w:val="single" w:sz="18" w:space="0" w:color="auto"/>
            </w:tcBorders>
            <w:shd w:val="clear" w:color="auto" w:fill="auto"/>
            <w:noWrap/>
          </w:tcPr>
          <w:p w:rsidR="00BA4035" w:rsidRPr="00D621BB" w:rsidRDefault="00BA4035" w:rsidP="00DF02AA">
            <w:pPr>
              <w:keepNext/>
              <w:rPr>
                <w:rFonts w:ascii="Arial" w:hAnsi="Arial" w:cs="Arial"/>
                <w:color w:val="000000"/>
                <w:sz w:val="20"/>
                <w:szCs w:val="20"/>
                <w:lang w:eastAsia="en-AU"/>
              </w:rPr>
            </w:pPr>
          </w:p>
        </w:tc>
        <w:tc>
          <w:tcPr>
            <w:tcW w:w="2976" w:type="dxa"/>
            <w:tcBorders>
              <w:top w:val="single" w:sz="8" w:space="0" w:color="auto"/>
              <w:left w:val="single" w:sz="18" w:space="0" w:color="auto"/>
              <w:bottom w:val="single" w:sz="8" w:space="0" w:color="auto"/>
              <w:right w:val="single" w:sz="18" w:space="0" w:color="auto"/>
            </w:tcBorders>
            <w:shd w:val="clear" w:color="auto" w:fill="auto"/>
            <w:noWrap/>
          </w:tcPr>
          <w:p w:rsidR="00BA4035" w:rsidRPr="00D621BB" w:rsidRDefault="00BA4035" w:rsidP="00DF02AA">
            <w:pPr>
              <w:rPr>
                <w:rFonts w:ascii="Arial" w:eastAsia="Arial" w:hAnsi="Arial" w:cs="Arial"/>
                <w:color w:val="000000"/>
                <w:sz w:val="20"/>
                <w:szCs w:val="20"/>
                <w:lang w:eastAsia="en-AU"/>
              </w:rPr>
            </w:pPr>
            <w:r>
              <w:rPr>
                <w:rFonts w:ascii="Arial" w:eastAsia="Arial" w:hAnsi="Arial" w:cs="Arial"/>
                <w:color w:val="000000"/>
                <w:sz w:val="20"/>
                <w:szCs w:val="20"/>
                <w:lang w:eastAsia="en-AU"/>
              </w:rPr>
              <w:t>Baker Hughes</w:t>
            </w:r>
          </w:p>
        </w:tc>
        <w:tc>
          <w:tcPr>
            <w:tcW w:w="1560" w:type="dxa"/>
            <w:tcBorders>
              <w:top w:val="single" w:sz="8" w:space="0" w:color="auto"/>
              <w:left w:val="single" w:sz="18" w:space="0" w:color="auto"/>
              <w:bottom w:val="single" w:sz="8" w:space="0" w:color="auto"/>
              <w:right w:val="single" w:sz="18" w:space="0" w:color="auto"/>
            </w:tcBorders>
          </w:tcPr>
          <w:p w:rsidR="00BA4035" w:rsidRPr="00D621BB" w:rsidRDefault="00BA4035" w:rsidP="00DF02AA">
            <w:pPr>
              <w:keepNext/>
              <w:rPr>
                <w:rFonts w:ascii="Arial" w:hAnsi="Arial" w:cs="Arial"/>
                <w:color w:val="000000"/>
                <w:sz w:val="20"/>
                <w:szCs w:val="20"/>
                <w:lang w:eastAsia="en-AU"/>
              </w:rPr>
            </w:pPr>
            <w:r>
              <w:rPr>
                <w:rFonts w:ascii="Arial" w:hAnsi="Arial" w:cs="Arial"/>
                <w:color w:val="000000"/>
                <w:sz w:val="20"/>
                <w:szCs w:val="20"/>
                <w:lang w:eastAsia="en-AU"/>
              </w:rPr>
              <w:t>Yes</w:t>
            </w:r>
          </w:p>
        </w:tc>
        <w:tc>
          <w:tcPr>
            <w:tcW w:w="1208" w:type="dxa"/>
            <w:tcBorders>
              <w:top w:val="single" w:sz="8" w:space="0" w:color="auto"/>
              <w:left w:val="single" w:sz="18" w:space="0" w:color="auto"/>
              <w:bottom w:val="single" w:sz="8" w:space="0" w:color="auto"/>
              <w:right w:val="single" w:sz="18" w:space="0" w:color="auto"/>
            </w:tcBorders>
          </w:tcPr>
          <w:p w:rsidR="00BA4035" w:rsidRPr="00D621BB" w:rsidRDefault="00BA4035" w:rsidP="00DF02AA">
            <w:pPr>
              <w:keepNext/>
              <w:rPr>
                <w:rFonts w:ascii="Arial" w:hAnsi="Arial" w:cs="Arial"/>
                <w:color w:val="000000"/>
                <w:sz w:val="20"/>
                <w:szCs w:val="20"/>
                <w:lang w:eastAsia="en-AU"/>
              </w:rPr>
            </w:pPr>
            <w:r>
              <w:rPr>
                <w:rFonts w:ascii="Arial" w:hAnsi="Arial" w:cs="Arial"/>
                <w:color w:val="000000"/>
                <w:sz w:val="20"/>
                <w:szCs w:val="20"/>
                <w:lang w:eastAsia="en-AU"/>
              </w:rPr>
              <w:t>Yes</w:t>
            </w:r>
          </w:p>
        </w:tc>
        <w:tc>
          <w:tcPr>
            <w:tcW w:w="5671" w:type="dxa"/>
            <w:tcBorders>
              <w:top w:val="single" w:sz="8" w:space="0" w:color="auto"/>
              <w:left w:val="single" w:sz="18" w:space="0" w:color="auto"/>
              <w:bottom w:val="single" w:sz="8" w:space="0" w:color="auto"/>
              <w:right w:val="single" w:sz="18" w:space="0" w:color="auto"/>
            </w:tcBorders>
            <w:shd w:val="clear" w:color="auto" w:fill="auto"/>
            <w:noWrap/>
          </w:tcPr>
          <w:p w:rsidR="00BA4035" w:rsidRPr="00D621BB" w:rsidRDefault="00BA4035" w:rsidP="00DF02AA">
            <w:pPr>
              <w:keepNext/>
              <w:rPr>
                <w:rFonts w:ascii="Arial" w:hAnsi="Arial" w:cs="Arial"/>
                <w:color w:val="000000"/>
                <w:sz w:val="20"/>
                <w:szCs w:val="20"/>
                <w:lang w:eastAsia="en-AU"/>
              </w:rPr>
            </w:pPr>
          </w:p>
        </w:tc>
      </w:tr>
      <w:tr w:rsidR="00BA4035" w:rsidRPr="00D621BB" w:rsidTr="00DF02AA">
        <w:trPr>
          <w:cantSplit/>
          <w:trHeight w:val="300"/>
        </w:trPr>
        <w:tc>
          <w:tcPr>
            <w:tcW w:w="2425" w:type="dxa"/>
            <w:vMerge/>
            <w:tcBorders>
              <w:left w:val="single" w:sz="18" w:space="0" w:color="auto"/>
              <w:right w:val="single" w:sz="18" w:space="0" w:color="auto"/>
            </w:tcBorders>
            <w:shd w:val="clear" w:color="auto" w:fill="auto"/>
            <w:noWrap/>
          </w:tcPr>
          <w:p w:rsidR="00BA4035" w:rsidRPr="00D621BB" w:rsidRDefault="00BA4035" w:rsidP="00DF02AA">
            <w:pPr>
              <w:keepNext/>
              <w:rPr>
                <w:rFonts w:ascii="Arial" w:hAnsi="Arial" w:cs="Arial"/>
                <w:color w:val="000000"/>
                <w:sz w:val="20"/>
                <w:szCs w:val="20"/>
                <w:lang w:eastAsia="en-AU"/>
              </w:rPr>
            </w:pPr>
          </w:p>
        </w:tc>
        <w:tc>
          <w:tcPr>
            <w:tcW w:w="2976" w:type="dxa"/>
            <w:tcBorders>
              <w:top w:val="single" w:sz="8" w:space="0" w:color="auto"/>
              <w:left w:val="single" w:sz="18" w:space="0" w:color="auto"/>
              <w:bottom w:val="single" w:sz="4" w:space="0" w:color="auto"/>
              <w:right w:val="single" w:sz="18" w:space="0" w:color="auto"/>
            </w:tcBorders>
            <w:shd w:val="clear" w:color="auto" w:fill="auto"/>
            <w:noWrap/>
          </w:tcPr>
          <w:p w:rsidR="00BA4035" w:rsidRPr="00D621BB" w:rsidRDefault="00BA4035" w:rsidP="00DF02AA">
            <w:pPr>
              <w:keepNext/>
              <w:rPr>
                <w:rFonts w:ascii="Arial" w:eastAsia="Arial" w:hAnsi="Arial" w:cs="Arial"/>
                <w:color w:val="000000"/>
                <w:sz w:val="20"/>
                <w:szCs w:val="20"/>
                <w:lang w:eastAsia="en-AU"/>
              </w:rPr>
            </w:pPr>
            <w:r w:rsidRPr="00D621BB">
              <w:rPr>
                <w:rFonts w:ascii="Arial" w:eastAsia="Arial" w:hAnsi="Arial" w:cs="Arial"/>
                <w:color w:val="000000"/>
                <w:sz w:val="20"/>
                <w:szCs w:val="20"/>
                <w:lang w:eastAsia="en-AU"/>
              </w:rPr>
              <w:t>Schlumberger</w:t>
            </w:r>
          </w:p>
        </w:tc>
        <w:tc>
          <w:tcPr>
            <w:tcW w:w="1560" w:type="dxa"/>
            <w:tcBorders>
              <w:top w:val="single" w:sz="8" w:space="0" w:color="auto"/>
              <w:left w:val="single" w:sz="18" w:space="0" w:color="auto"/>
              <w:bottom w:val="single" w:sz="4" w:space="0" w:color="auto"/>
              <w:right w:val="single" w:sz="18" w:space="0" w:color="auto"/>
            </w:tcBorders>
          </w:tcPr>
          <w:p w:rsidR="00BA4035" w:rsidRPr="00D621BB" w:rsidRDefault="00BA4035" w:rsidP="00DF02AA">
            <w:pPr>
              <w:keepNext/>
              <w:rPr>
                <w:rFonts w:ascii="Arial" w:hAnsi="Arial" w:cs="Arial"/>
                <w:color w:val="000000"/>
                <w:sz w:val="20"/>
                <w:szCs w:val="20"/>
                <w:lang w:eastAsia="en-AU"/>
              </w:rPr>
            </w:pPr>
            <w:r>
              <w:rPr>
                <w:rFonts w:ascii="Arial" w:hAnsi="Arial" w:cs="Arial"/>
                <w:color w:val="000000"/>
                <w:sz w:val="20"/>
                <w:szCs w:val="20"/>
                <w:lang w:eastAsia="en-AU"/>
              </w:rPr>
              <w:t>Yes</w:t>
            </w:r>
          </w:p>
        </w:tc>
        <w:tc>
          <w:tcPr>
            <w:tcW w:w="1208" w:type="dxa"/>
            <w:tcBorders>
              <w:top w:val="single" w:sz="8" w:space="0" w:color="auto"/>
              <w:left w:val="single" w:sz="18" w:space="0" w:color="auto"/>
              <w:bottom w:val="single" w:sz="4" w:space="0" w:color="auto"/>
              <w:right w:val="single" w:sz="18" w:space="0" w:color="auto"/>
            </w:tcBorders>
          </w:tcPr>
          <w:p w:rsidR="00BA4035" w:rsidRPr="00D621BB" w:rsidRDefault="00BA4035" w:rsidP="00DF02AA">
            <w:pPr>
              <w:keepNext/>
              <w:rPr>
                <w:rFonts w:ascii="Arial" w:hAnsi="Arial" w:cs="Arial"/>
                <w:color w:val="000000"/>
                <w:sz w:val="20"/>
                <w:szCs w:val="20"/>
                <w:lang w:eastAsia="en-AU"/>
              </w:rPr>
            </w:pPr>
            <w:r>
              <w:rPr>
                <w:rFonts w:ascii="Arial" w:hAnsi="Arial" w:cs="Arial"/>
                <w:color w:val="000000"/>
                <w:sz w:val="20"/>
                <w:szCs w:val="20"/>
                <w:lang w:eastAsia="en-AU"/>
              </w:rPr>
              <w:t>Yes</w:t>
            </w:r>
          </w:p>
        </w:tc>
        <w:tc>
          <w:tcPr>
            <w:tcW w:w="5671" w:type="dxa"/>
            <w:tcBorders>
              <w:top w:val="single" w:sz="8" w:space="0" w:color="auto"/>
              <w:left w:val="single" w:sz="18" w:space="0" w:color="auto"/>
              <w:bottom w:val="single" w:sz="4" w:space="0" w:color="auto"/>
              <w:right w:val="single" w:sz="18" w:space="0" w:color="auto"/>
            </w:tcBorders>
            <w:shd w:val="clear" w:color="auto" w:fill="auto"/>
            <w:noWrap/>
          </w:tcPr>
          <w:p w:rsidR="00BA4035" w:rsidRPr="00D621BB" w:rsidRDefault="00BA4035" w:rsidP="00DF02AA">
            <w:pPr>
              <w:keepNext/>
              <w:rPr>
                <w:rFonts w:ascii="Arial" w:hAnsi="Arial" w:cs="Arial"/>
                <w:color w:val="000000"/>
                <w:sz w:val="20"/>
                <w:szCs w:val="20"/>
                <w:lang w:eastAsia="en-AU"/>
              </w:rPr>
            </w:pPr>
          </w:p>
        </w:tc>
      </w:tr>
      <w:tr w:rsidR="00BA4035" w:rsidRPr="00D621BB" w:rsidTr="00DF02AA">
        <w:trPr>
          <w:cantSplit/>
          <w:trHeight w:val="300"/>
        </w:trPr>
        <w:tc>
          <w:tcPr>
            <w:tcW w:w="2425" w:type="dxa"/>
            <w:vMerge/>
            <w:tcBorders>
              <w:left w:val="single" w:sz="18" w:space="0" w:color="auto"/>
              <w:right w:val="single" w:sz="18" w:space="0" w:color="auto"/>
            </w:tcBorders>
            <w:shd w:val="clear" w:color="auto" w:fill="auto"/>
            <w:noWrap/>
            <w:hideMark/>
          </w:tcPr>
          <w:p w:rsidR="00BA4035" w:rsidRPr="00D621BB" w:rsidRDefault="00BA4035" w:rsidP="00DF02AA">
            <w:pPr>
              <w:keepNext/>
              <w:rPr>
                <w:rFonts w:ascii="Arial" w:hAnsi="Arial" w:cs="Arial"/>
                <w:color w:val="000000"/>
                <w:sz w:val="20"/>
                <w:szCs w:val="20"/>
                <w:lang w:eastAsia="en-AU"/>
              </w:rPr>
            </w:pPr>
          </w:p>
        </w:tc>
        <w:tc>
          <w:tcPr>
            <w:tcW w:w="2976" w:type="dxa"/>
            <w:tcBorders>
              <w:top w:val="single" w:sz="4" w:space="0" w:color="auto"/>
              <w:left w:val="single" w:sz="18" w:space="0" w:color="auto"/>
              <w:bottom w:val="single" w:sz="4" w:space="0" w:color="auto"/>
              <w:right w:val="single" w:sz="18" w:space="0" w:color="auto"/>
            </w:tcBorders>
            <w:shd w:val="clear" w:color="auto" w:fill="auto"/>
            <w:noWrap/>
            <w:hideMark/>
          </w:tcPr>
          <w:p w:rsidR="00BA4035" w:rsidRPr="00D621BB" w:rsidRDefault="00BA4035" w:rsidP="00DF02AA">
            <w:pPr>
              <w:keepNext/>
              <w:rPr>
                <w:rFonts w:ascii="Arial" w:eastAsia="Arial" w:hAnsi="Arial" w:cs="Arial"/>
                <w:color w:val="000000"/>
                <w:sz w:val="20"/>
                <w:szCs w:val="20"/>
                <w:lang w:eastAsia="en-AU"/>
              </w:rPr>
            </w:pPr>
            <w:r w:rsidRPr="00D621BB">
              <w:rPr>
                <w:rFonts w:ascii="Arial" w:eastAsia="Arial" w:hAnsi="Arial" w:cs="Arial"/>
                <w:color w:val="000000"/>
                <w:sz w:val="20"/>
                <w:szCs w:val="20"/>
                <w:lang w:eastAsia="en-AU"/>
              </w:rPr>
              <w:t>NOV</w:t>
            </w:r>
          </w:p>
        </w:tc>
        <w:tc>
          <w:tcPr>
            <w:tcW w:w="1560" w:type="dxa"/>
            <w:tcBorders>
              <w:top w:val="single" w:sz="4" w:space="0" w:color="auto"/>
              <w:left w:val="single" w:sz="18" w:space="0" w:color="auto"/>
              <w:bottom w:val="single" w:sz="4" w:space="0" w:color="auto"/>
              <w:right w:val="single" w:sz="18" w:space="0" w:color="auto"/>
            </w:tcBorders>
          </w:tcPr>
          <w:p w:rsidR="00BA4035" w:rsidRPr="00D621BB" w:rsidRDefault="00BA4035" w:rsidP="00DF02AA">
            <w:pPr>
              <w:keepNext/>
              <w:rPr>
                <w:rFonts w:ascii="Arial" w:hAnsi="Arial" w:cs="Arial"/>
                <w:color w:val="000000"/>
                <w:sz w:val="20"/>
                <w:szCs w:val="20"/>
                <w:lang w:eastAsia="en-AU"/>
              </w:rPr>
            </w:pPr>
            <w:r>
              <w:rPr>
                <w:rFonts w:ascii="Arial" w:hAnsi="Arial" w:cs="Arial"/>
                <w:color w:val="000000"/>
                <w:sz w:val="20"/>
                <w:szCs w:val="20"/>
                <w:lang w:eastAsia="en-AU"/>
              </w:rPr>
              <w:t>Yes</w:t>
            </w:r>
          </w:p>
        </w:tc>
        <w:tc>
          <w:tcPr>
            <w:tcW w:w="1208" w:type="dxa"/>
            <w:tcBorders>
              <w:top w:val="single" w:sz="4" w:space="0" w:color="auto"/>
              <w:left w:val="single" w:sz="18" w:space="0" w:color="auto"/>
              <w:bottom w:val="single" w:sz="4" w:space="0" w:color="auto"/>
              <w:right w:val="single" w:sz="18" w:space="0" w:color="auto"/>
            </w:tcBorders>
          </w:tcPr>
          <w:p w:rsidR="00BA4035" w:rsidRPr="00D621BB" w:rsidRDefault="000A41BF" w:rsidP="00DF02AA">
            <w:pPr>
              <w:keepNext/>
              <w:rPr>
                <w:rFonts w:ascii="Arial" w:hAnsi="Arial" w:cs="Arial"/>
                <w:color w:val="000000"/>
                <w:sz w:val="20"/>
                <w:szCs w:val="20"/>
                <w:lang w:eastAsia="en-AU"/>
              </w:rPr>
            </w:pPr>
            <w:r>
              <w:rPr>
                <w:rFonts w:ascii="Arial" w:hAnsi="Arial" w:cs="Arial"/>
                <w:color w:val="000000"/>
                <w:sz w:val="20"/>
                <w:szCs w:val="20"/>
                <w:lang w:eastAsia="en-AU"/>
              </w:rPr>
              <w:t>Yes</w:t>
            </w:r>
          </w:p>
        </w:tc>
        <w:tc>
          <w:tcPr>
            <w:tcW w:w="5671" w:type="dxa"/>
            <w:tcBorders>
              <w:top w:val="single" w:sz="4" w:space="0" w:color="auto"/>
              <w:left w:val="single" w:sz="18" w:space="0" w:color="auto"/>
              <w:bottom w:val="single" w:sz="4" w:space="0" w:color="auto"/>
              <w:right w:val="single" w:sz="18" w:space="0" w:color="auto"/>
            </w:tcBorders>
            <w:shd w:val="clear" w:color="auto" w:fill="auto"/>
            <w:noWrap/>
            <w:hideMark/>
          </w:tcPr>
          <w:p w:rsidR="00BA4035" w:rsidRPr="00D621BB" w:rsidRDefault="000A41BF">
            <w:pPr>
              <w:keepNext/>
              <w:rPr>
                <w:rFonts w:ascii="Arial" w:hAnsi="Arial" w:cs="Arial"/>
                <w:color w:val="000000"/>
                <w:sz w:val="20"/>
                <w:szCs w:val="20"/>
                <w:lang w:eastAsia="en-AU"/>
              </w:rPr>
            </w:pPr>
            <w:r>
              <w:rPr>
                <w:rFonts w:ascii="Arial" w:hAnsi="Arial" w:cs="Arial"/>
                <w:color w:val="000000"/>
                <w:sz w:val="20"/>
                <w:szCs w:val="20"/>
                <w:lang w:eastAsia="en-AU"/>
              </w:rPr>
              <w:t xml:space="preserve">Understood to have limited presence for offshore drilling projects. </w:t>
            </w:r>
            <w:r w:rsidR="00BA4035">
              <w:rPr>
                <w:rFonts w:ascii="Arial" w:hAnsi="Arial" w:cs="Arial"/>
                <w:color w:val="000000"/>
                <w:sz w:val="20"/>
                <w:szCs w:val="20"/>
                <w:lang w:eastAsia="en-AU"/>
              </w:rPr>
              <w:t xml:space="preserve"> </w:t>
            </w:r>
            <w:r w:rsidR="00BA4035" w:rsidRPr="00D621BB">
              <w:rPr>
                <w:rFonts w:ascii="Arial" w:hAnsi="Arial" w:cs="Arial"/>
                <w:color w:val="000000"/>
                <w:sz w:val="20"/>
                <w:szCs w:val="20"/>
                <w:lang w:eastAsia="en-AU"/>
              </w:rPr>
              <w:t> </w:t>
            </w:r>
          </w:p>
        </w:tc>
      </w:tr>
      <w:tr w:rsidR="00BA4035" w:rsidRPr="00D621BB" w:rsidTr="00DF02AA">
        <w:trPr>
          <w:cantSplit/>
          <w:trHeight w:val="300"/>
        </w:trPr>
        <w:tc>
          <w:tcPr>
            <w:tcW w:w="2425" w:type="dxa"/>
            <w:vMerge/>
            <w:tcBorders>
              <w:left w:val="single" w:sz="18" w:space="0" w:color="auto"/>
              <w:right w:val="single" w:sz="18" w:space="0" w:color="auto"/>
            </w:tcBorders>
            <w:vAlign w:val="center"/>
            <w:hideMark/>
          </w:tcPr>
          <w:p w:rsidR="00BA4035" w:rsidRPr="00D621BB" w:rsidRDefault="00BA4035" w:rsidP="00DF02AA">
            <w:pPr>
              <w:keepNext/>
              <w:rPr>
                <w:rFonts w:ascii="Arial" w:hAnsi="Arial" w:cs="Arial"/>
                <w:color w:val="000000"/>
                <w:sz w:val="20"/>
                <w:szCs w:val="20"/>
                <w:lang w:eastAsia="en-AU"/>
              </w:rPr>
            </w:pPr>
          </w:p>
        </w:tc>
        <w:tc>
          <w:tcPr>
            <w:tcW w:w="2976" w:type="dxa"/>
            <w:tcBorders>
              <w:top w:val="single" w:sz="4" w:space="0" w:color="auto"/>
              <w:left w:val="single" w:sz="18" w:space="0" w:color="auto"/>
              <w:bottom w:val="single" w:sz="4" w:space="0" w:color="auto"/>
              <w:right w:val="single" w:sz="18" w:space="0" w:color="auto"/>
            </w:tcBorders>
            <w:shd w:val="clear" w:color="auto" w:fill="auto"/>
            <w:noWrap/>
            <w:hideMark/>
          </w:tcPr>
          <w:p w:rsidR="00BA4035" w:rsidRPr="00D621BB" w:rsidRDefault="00BA4035" w:rsidP="00DF02AA">
            <w:pPr>
              <w:keepNext/>
              <w:rPr>
                <w:rFonts w:ascii="Arial" w:eastAsia="Arial" w:hAnsi="Arial" w:cs="Arial"/>
                <w:color w:val="000000"/>
                <w:sz w:val="20"/>
                <w:szCs w:val="20"/>
                <w:lang w:eastAsia="en-AU"/>
              </w:rPr>
            </w:pPr>
            <w:proofErr w:type="spellStart"/>
            <w:r w:rsidRPr="00D621BB">
              <w:rPr>
                <w:rFonts w:ascii="Arial" w:eastAsia="Arial" w:hAnsi="Arial" w:cs="Arial"/>
                <w:color w:val="000000"/>
                <w:sz w:val="20"/>
                <w:szCs w:val="20"/>
                <w:lang w:eastAsia="en-AU"/>
              </w:rPr>
              <w:t>Varel</w:t>
            </w:r>
            <w:proofErr w:type="spellEnd"/>
            <w:r w:rsidRPr="00D621BB">
              <w:rPr>
                <w:rFonts w:ascii="Arial" w:eastAsia="Arial" w:hAnsi="Arial" w:cs="Arial"/>
                <w:color w:val="000000"/>
                <w:sz w:val="20"/>
                <w:szCs w:val="20"/>
                <w:lang w:eastAsia="en-AU"/>
              </w:rPr>
              <w:t xml:space="preserve"> International</w:t>
            </w:r>
          </w:p>
        </w:tc>
        <w:tc>
          <w:tcPr>
            <w:tcW w:w="1560" w:type="dxa"/>
            <w:tcBorders>
              <w:top w:val="single" w:sz="4" w:space="0" w:color="auto"/>
              <w:left w:val="single" w:sz="18" w:space="0" w:color="auto"/>
              <w:bottom w:val="single" w:sz="4" w:space="0" w:color="auto"/>
              <w:right w:val="single" w:sz="18" w:space="0" w:color="auto"/>
            </w:tcBorders>
          </w:tcPr>
          <w:p w:rsidR="00BA4035" w:rsidRPr="00D621BB" w:rsidRDefault="00BA4035" w:rsidP="00DF02AA">
            <w:pPr>
              <w:keepNext/>
              <w:rPr>
                <w:rFonts w:ascii="Arial" w:hAnsi="Arial" w:cs="Arial"/>
                <w:color w:val="000000"/>
                <w:sz w:val="20"/>
                <w:szCs w:val="20"/>
                <w:lang w:eastAsia="en-AU"/>
              </w:rPr>
            </w:pPr>
            <w:r>
              <w:rPr>
                <w:rFonts w:ascii="Arial" w:hAnsi="Arial" w:cs="Arial"/>
                <w:color w:val="000000"/>
                <w:sz w:val="20"/>
                <w:szCs w:val="20"/>
                <w:lang w:eastAsia="en-AU"/>
              </w:rPr>
              <w:t>Yes</w:t>
            </w:r>
          </w:p>
        </w:tc>
        <w:tc>
          <w:tcPr>
            <w:tcW w:w="1208" w:type="dxa"/>
            <w:tcBorders>
              <w:top w:val="single" w:sz="4" w:space="0" w:color="auto"/>
              <w:left w:val="single" w:sz="18" w:space="0" w:color="auto"/>
              <w:bottom w:val="single" w:sz="4" w:space="0" w:color="auto"/>
              <w:right w:val="single" w:sz="18" w:space="0" w:color="auto"/>
            </w:tcBorders>
          </w:tcPr>
          <w:p w:rsidR="00BA4035" w:rsidRPr="00D621BB" w:rsidRDefault="00BA4035" w:rsidP="00DF02AA">
            <w:pPr>
              <w:keepNext/>
              <w:rPr>
                <w:rFonts w:ascii="Arial" w:hAnsi="Arial" w:cs="Arial"/>
                <w:color w:val="000000"/>
                <w:sz w:val="20"/>
                <w:szCs w:val="20"/>
                <w:lang w:eastAsia="en-AU"/>
              </w:rPr>
            </w:pPr>
            <w:r>
              <w:rPr>
                <w:rFonts w:ascii="Arial" w:hAnsi="Arial" w:cs="Arial"/>
                <w:color w:val="000000"/>
                <w:sz w:val="20"/>
                <w:szCs w:val="20"/>
                <w:lang w:eastAsia="en-AU"/>
              </w:rPr>
              <w:t>No</w:t>
            </w:r>
          </w:p>
        </w:tc>
        <w:tc>
          <w:tcPr>
            <w:tcW w:w="5671" w:type="dxa"/>
            <w:tcBorders>
              <w:top w:val="single" w:sz="4" w:space="0" w:color="auto"/>
              <w:left w:val="single" w:sz="18" w:space="0" w:color="auto"/>
              <w:bottom w:val="single" w:sz="4" w:space="0" w:color="auto"/>
              <w:right w:val="single" w:sz="18" w:space="0" w:color="auto"/>
            </w:tcBorders>
            <w:shd w:val="clear" w:color="auto" w:fill="auto"/>
            <w:noWrap/>
            <w:hideMark/>
          </w:tcPr>
          <w:p w:rsidR="00BA4035" w:rsidRPr="00D621BB" w:rsidRDefault="00BA4035" w:rsidP="00DF02AA">
            <w:pPr>
              <w:keepNext/>
              <w:rPr>
                <w:rFonts w:ascii="Arial" w:hAnsi="Arial" w:cs="Arial"/>
                <w:color w:val="000000"/>
                <w:sz w:val="20"/>
                <w:szCs w:val="20"/>
                <w:lang w:eastAsia="en-AU"/>
              </w:rPr>
            </w:pPr>
            <w:r w:rsidRPr="00D621BB">
              <w:rPr>
                <w:rFonts w:ascii="Arial" w:hAnsi="Arial" w:cs="Arial"/>
                <w:color w:val="000000"/>
                <w:sz w:val="20"/>
                <w:szCs w:val="20"/>
                <w:lang w:eastAsia="en-AU"/>
              </w:rPr>
              <w:t> </w:t>
            </w:r>
          </w:p>
        </w:tc>
      </w:tr>
      <w:tr w:rsidR="00BA4035" w:rsidRPr="00D621BB" w:rsidTr="00DF02AA">
        <w:trPr>
          <w:cantSplit/>
          <w:trHeight w:val="300"/>
        </w:trPr>
        <w:tc>
          <w:tcPr>
            <w:tcW w:w="2425" w:type="dxa"/>
            <w:vMerge/>
            <w:tcBorders>
              <w:left w:val="single" w:sz="18" w:space="0" w:color="auto"/>
              <w:right w:val="single" w:sz="18" w:space="0" w:color="auto"/>
            </w:tcBorders>
            <w:vAlign w:val="center"/>
            <w:hideMark/>
          </w:tcPr>
          <w:p w:rsidR="00BA4035" w:rsidRPr="00D621BB" w:rsidRDefault="00BA4035" w:rsidP="00DF02AA">
            <w:pPr>
              <w:keepNext/>
              <w:rPr>
                <w:rFonts w:ascii="Arial" w:hAnsi="Arial" w:cs="Arial"/>
                <w:color w:val="000000"/>
                <w:sz w:val="20"/>
                <w:szCs w:val="20"/>
                <w:lang w:eastAsia="en-AU"/>
              </w:rPr>
            </w:pPr>
          </w:p>
        </w:tc>
        <w:tc>
          <w:tcPr>
            <w:tcW w:w="2976" w:type="dxa"/>
            <w:tcBorders>
              <w:top w:val="single" w:sz="4" w:space="0" w:color="auto"/>
              <w:left w:val="single" w:sz="18" w:space="0" w:color="auto"/>
              <w:bottom w:val="single" w:sz="4" w:space="0" w:color="auto"/>
              <w:right w:val="single" w:sz="18" w:space="0" w:color="auto"/>
            </w:tcBorders>
            <w:shd w:val="clear" w:color="auto" w:fill="auto"/>
            <w:noWrap/>
            <w:hideMark/>
          </w:tcPr>
          <w:p w:rsidR="00BA4035" w:rsidRPr="00D621BB" w:rsidRDefault="00BA4035" w:rsidP="00DF02AA">
            <w:pPr>
              <w:keepNext/>
              <w:rPr>
                <w:rFonts w:ascii="Arial" w:eastAsia="Arial" w:hAnsi="Arial" w:cs="Arial"/>
                <w:color w:val="000000"/>
                <w:sz w:val="20"/>
                <w:szCs w:val="20"/>
                <w:lang w:eastAsia="en-AU"/>
              </w:rPr>
            </w:pPr>
            <w:proofErr w:type="spellStart"/>
            <w:r w:rsidRPr="00D621BB">
              <w:rPr>
                <w:rFonts w:ascii="Arial" w:eastAsia="Arial" w:hAnsi="Arial" w:cs="Arial"/>
                <w:color w:val="000000"/>
                <w:sz w:val="20"/>
                <w:szCs w:val="20"/>
                <w:lang w:eastAsia="en-AU"/>
              </w:rPr>
              <w:t>Ulterra</w:t>
            </w:r>
            <w:proofErr w:type="spellEnd"/>
          </w:p>
        </w:tc>
        <w:tc>
          <w:tcPr>
            <w:tcW w:w="1560" w:type="dxa"/>
            <w:tcBorders>
              <w:top w:val="single" w:sz="4" w:space="0" w:color="auto"/>
              <w:left w:val="single" w:sz="18" w:space="0" w:color="auto"/>
              <w:bottom w:val="single" w:sz="4" w:space="0" w:color="auto"/>
              <w:right w:val="single" w:sz="18" w:space="0" w:color="auto"/>
            </w:tcBorders>
          </w:tcPr>
          <w:p w:rsidR="00BA4035" w:rsidRPr="00D621BB" w:rsidRDefault="00BA4035" w:rsidP="00DF02AA">
            <w:pPr>
              <w:keepNext/>
              <w:rPr>
                <w:rFonts w:ascii="Arial" w:hAnsi="Arial" w:cs="Arial"/>
                <w:color w:val="000000"/>
                <w:sz w:val="20"/>
                <w:szCs w:val="20"/>
                <w:lang w:eastAsia="en-AU"/>
              </w:rPr>
            </w:pPr>
            <w:r>
              <w:rPr>
                <w:rFonts w:ascii="Arial" w:hAnsi="Arial" w:cs="Arial"/>
                <w:color w:val="000000"/>
                <w:sz w:val="20"/>
                <w:szCs w:val="20"/>
                <w:lang w:eastAsia="en-AU"/>
              </w:rPr>
              <w:t>Yes</w:t>
            </w:r>
          </w:p>
        </w:tc>
        <w:tc>
          <w:tcPr>
            <w:tcW w:w="1208" w:type="dxa"/>
            <w:tcBorders>
              <w:top w:val="single" w:sz="4" w:space="0" w:color="auto"/>
              <w:left w:val="single" w:sz="18" w:space="0" w:color="auto"/>
              <w:bottom w:val="single" w:sz="4" w:space="0" w:color="auto"/>
              <w:right w:val="single" w:sz="18" w:space="0" w:color="auto"/>
            </w:tcBorders>
          </w:tcPr>
          <w:p w:rsidR="00BA4035" w:rsidRPr="00D621BB" w:rsidRDefault="00BA4035" w:rsidP="00DF02AA">
            <w:pPr>
              <w:keepNext/>
              <w:rPr>
                <w:rFonts w:ascii="Arial" w:hAnsi="Arial" w:cs="Arial"/>
                <w:color w:val="000000"/>
                <w:sz w:val="20"/>
                <w:szCs w:val="20"/>
                <w:lang w:eastAsia="en-AU"/>
              </w:rPr>
            </w:pPr>
            <w:r>
              <w:rPr>
                <w:rFonts w:ascii="Arial" w:hAnsi="Arial" w:cs="Arial"/>
                <w:color w:val="000000"/>
                <w:sz w:val="20"/>
                <w:szCs w:val="20"/>
                <w:lang w:eastAsia="en-AU"/>
              </w:rPr>
              <w:t>No</w:t>
            </w:r>
          </w:p>
        </w:tc>
        <w:tc>
          <w:tcPr>
            <w:tcW w:w="5671" w:type="dxa"/>
            <w:tcBorders>
              <w:top w:val="single" w:sz="4" w:space="0" w:color="auto"/>
              <w:left w:val="single" w:sz="18" w:space="0" w:color="auto"/>
              <w:bottom w:val="single" w:sz="4" w:space="0" w:color="auto"/>
              <w:right w:val="single" w:sz="18" w:space="0" w:color="auto"/>
            </w:tcBorders>
            <w:shd w:val="clear" w:color="auto" w:fill="auto"/>
            <w:noWrap/>
            <w:hideMark/>
          </w:tcPr>
          <w:p w:rsidR="00BA4035" w:rsidRPr="00D621BB" w:rsidRDefault="00BA4035" w:rsidP="00DF02AA">
            <w:pPr>
              <w:keepNext/>
              <w:rPr>
                <w:rFonts w:ascii="Arial" w:hAnsi="Arial" w:cs="Arial"/>
                <w:color w:val="000000"/>
                <w:sz w:val="20"/>
                <w:szCs w:val="20"/>
                <w:lang w:eastAsia="en-AU"/>
              </w:rPr>
            </w:pPr>
            <w:r w:rsidRPr="00D621BB">
              <w:rPr>
                <w:rFonts w:ascii="Arial" w:hAnsi="Arial" w:cs="Arial"/>
                <w:color w:val="000000"/>
                <w:sz w:val="20"/>
                <w:szCs w:val="20"/>
                <w:lang w:eastAsia="en-AU"/>
              </w:rPr>
              <w:t> </w:t>
            </w:r>
          </w:p>
        </w:tc>
      </w:tr>
      <w:tr w:rsidR="00BA4035" w:rsidRPr="00D621BB" w:rsidTr="00DF02AA">
        <w:trPr>
          <w:cantSplit/>
          <w:trHeight w:val="300"/>
        </w:trPr>
        <w:tc>
          <w:tcPr>
            <w:tcW w:w="2425" w:type="dxa"/>
            <w:vMerge/>
            <w:tcBorders>
              <w:left w:val="single" w:sz="18" w:space="0" w:color="auto"/>
              <w:right w:val="single" w:sz="18" w:space="0" w:color="auto"/>
            </w:tcBorders>
            <w:vAlign w:val="center"/>
            <w:hideMark/>
          </w:tcPr>
          <w:p w:rsidR="00BA4035" w:rsidRPr="00D621BB" w:rsidRDefault="00BA4035" w:rsidP="00DF02AA">
            <w:pPr>
              <w:keepNext/>
              <w:rPr>
                <w:rFonts w:ascii="Arial" w:hAnsi="Arial" w:cs="Arial"/>
                <w:color w:val="000000"/>
                <w:sz w:val="20"/>
                <w:szCs w:val="20"/>
                <w:lang w:eastAsia="en-AU"/>
              </w:rPr>
            </w:pPr>
          </w:p>
        </w:tc>
        <w:tc>
          <w:tcPr>
            <w:tcW w:w="2976" w:type="dxa"/>
            <w:tcBorders>
              <w:top w:val="single" w:sz="4" w:space="0" w:color="auto"/>
              <w:left w:val="single" w:sz="18" w:space="0" w:color="auto"/>
              <w:bottom w:val="single" w:sz="4" w:space="0" w:color="auto"/>
              <w:right w:val="single" w:sz="18" w:space="0" w:color="auto"/>
            </w:tcBorders>
            <w:shd w:val="clear" w:color="auto" w:fill="auto"/>
            <w:noWrap/>
            <w:hideMark/>
          </w:tcPr>
          <w:p w:rsidR="00BA4035" w:rsidRPr="00D621BB" w:rsidRDefault="00BA4035" w:rsidP="00DF02AA">
            <w:pPr>
              <w:keepNext/>
              <w:rPr>
                <w:rFonts w:ascii="Arial" w:eastAsia="Arial" w:hAnsi="Arial" w:cs="Arial"/>
                <w:color w:val="000000"/>
                <w:sz w:val="20"/>
                <w:szCs w:val="20"/>
                <w:lang w:eastAsia="en-AU"/>
              </w:rPr>
            </w:pPr>
            <w:proofErr w:type="spellStart"/>
            <w:r w:rsidRPr="00D621BB">
              <w:rPr>
                <w:rFonts w:ascii="Arial" w:eastAsia="Arial" w:hAnsi="Arial" w:cs="Arial"/>
                <w:color w:val="000000"/>
                <w:sz w:val="20"/>
                <w:szCs w:val="20"/>
                <w:lang w:eastAsia="en-AU"/>
              </w:rPr>
              <w:t>Tercel</w:t>
            </w:r>
            <w:proofErr w:type="spellEnd"/>
          </w:p>
        </w:tc>
        <w:tc>
          <w:tcPr>
            <w:tcW w:w="1560" w:type="dxa"/>
            <w:tcBorders>
              <w:top w:val="single" w:sz="4" w:space="0" w:color="auto"/>
              <w:left w:val="single" w:sz="18" w:space="0" w:color="auto"/>
              <w:bottom w:val="single" w:sz="4" w:space="0" w:color="auto"/>
              <w:right w:val="single" w:sz="18" w:space="0" w:color="auto"/>
            </w:tcBorders>
          </w:tcPr>
          <w:p w:rsidR="00BA4035" w:rsidRPr="00D621BB" w:rsidRDefault="00BA4035" w:rsidP="00DF02AA">
            <w:pPr>
              <w:keepNext/>
              <w:rPr>
                <w:rFonts w:ascii="Arial" w:hAnsi="Arial" w:cs="Arial"/>
                <w:color w:val="000000"/>
                <w:sz w:val="20"/>
                <w:szCs w:val="20"/>
                <w:lang w:eastAsia="en-AU"/>
              </w:rPr>
            </w:pPr>
            <w:r>
              <w:rPr>
                <w:rFonts w:ascii="Arial" w:hAnsi="Arial" w:cs="Arial"/>
                <w:color w:val="000000"/>
                <w:sz w:val="20"/>
                <w:szCs w:val="20"/>
                <w:lang w:eastAsia="en-AU"/>
              </w:rPr>
              <w:t>Yes</w:t>
            </w:r>
          </w:p>
        </w:tc>
        <w:tc>
          <w:tcPr>
            <w:tcW w:w="1208" w:type="dxa"/>
            <w:tcBorders>
              <w:top w:val="single" w:sz="4" w:space="0" w:color="auto"/>
              <w:left w:val="single" w:sz="18" w:space="0" w:color="auto"/>
              <w:bottom w:val="single" w:sz="4" w:space="0" w:color="auto"/>
              <w:right w:val="single" w:sz="18" w:space="0" w:color="auto"/>
            </w:tcBorders>
          </w:tcPr>
          <w:p w:rsidR="00BA4035" w:rsidRPr="00D621BB" w:rsidRDefault="00BA4035" w:rsidP="00DF02AA">
            <w:pPr>
              <w:keepNext/>
              <w:rPr>
                <w:rFonts w:ascii="Arial" w:hAnsi="Arial" w:cs="Arial"/>
                <w:color w:val="000000"/>
                <w:sz w:val="20"/>
                <w:szCs w:val="20"/>
                <w:lang w:eastAsia="en-AU"/>
              </w:rPr>
            </w:pPr>
            <w:r>
              <w:rPr>
                <w:rFonts w:ascii="Arial" w:hAnsi="Arial" w:cs="Arial"/>
                <w:color w:val="000000"/>
                <w:sz w:val="20"/>
                <w:szCs w:val="20"/>
                <w:lang w:eastAsia="en-AU"/>
              </w:rPr>
              <w:t>No</w:t>
            </w:r>
          </w:p>
        </w:tc>
        <w:tc>
          <w:tcPr>
            <w:tcW w:w="5671" w:type="dxa"/>
            <w:tcBorders>
              <w:top w:val="single" w:sz="4" w:space="0" w:color="auto"/>
              <w:left w:val="single" w:sz="18" w:space="0" w:color="auto"/>
              <w:bottom w:val="single" w:sz="4" w:space="0" w:color="auto"/>
              <w:right w:val="single" w:sz="18" w:space="0" w:color="auto"/>
            </w:tcBorders>
            <w:shd w:val="clear" w:color="auto" w:fill="auto"/>
            <w:noWrap/>
            <w:hideMark/>
          </w:tcPr>
          <w:p w:rsidR="00BA4035" w:rsidRPr="00D621BB" w:rsidRDefault="00BA4035" w:rsidP="00DF02AA">
            <w:pPr>
              <w:keepNext/>
              <w:rPr>
                <w:rFonts w:ascii="Arial" w:hAnsi="Arial" w:cs="Arial"/>
                <w:color w:val="000000"/>
                <w:sz w:val="20"/>
                <w:szCs w:val="20"/>
                <w:lang w:eastAsia="en-AU"/>
              </w:rPr>
            </w:pPr>
            <w:r w:rsidRPr="00D621BB">
              <w:rPr>
                <w:rFonts w:ascii="Arial" w:hAnsi="Arial" w:cs="Arial"/>
                <w:color w:val="000000"/>
                <w:sz w:val="20"/>
                <w:szCs w:val="20"/>
                <w:lang w:eastAsia="en-AU"/>
              </w:rPr>
              <w:t> </w:t>
            </w:r>
          </w:p>
        </w:tc>
      </w:tr>
      <w:tr w:rsidR="00BA4035" w:rsidRPr="00D621BB" w:rsidTr="00DF02AA">
        <w:trPr>
          <w:cantSplit/>
          <w:trHeight w:val="300"/>
        </w:trPr>
        <w:tc>
          <w:tcPr>
            <w:tcW w:w="2425" w:type="dxa"/>
            <w:vMerge/>
            <w:tcBorders>
              <w:left w:val="single" w:sz="18" w:space="0" w:color="auto"/>
              <w:bottom w:val="single" w:sz="18" w:space="0" w:color="auto"/>
              <w:right w:val="single" w:sz="18" w:space="0" w:color="auto"/>
            </w:tcBorders>
            <w:vAlign w:val="center"/>
            <w:hideMark/>
          </w:tcPr>
          <w:p w:rsidR="00BA4035" w:rsidRPr="00D621BB" w:rsidRDefault="00BA4035" w:rsidP="00DF02AA">
            <w:pPr>
              <w:rPr>
                <w:rFonts w:ascii="Arial" w:hAnsi="Arial" w:cs="Arial"/>
                <w:color w:val="000000"/>
                <w:sz w:val="20"/>
                <w:szCs w:val="20"/>
                <w:lang w:eastAsia="en-AU"/>
              </w:rPr>
            </w:pPr>
          </w:p>
        </w:tc>
        <w:tc>
          <w:tcPr>
            <w:tcW w:w="2976" w:type="dxa"/>
            <w:tcBorders>
              <w:top w:val="single" w:sz="4" w:space="0" w:color="auto"/>
              <w:left w:val="single" w:sz="18" w:space="0" w:color="auto"/>
              <w:bottom w:val="single" w:sz="18" w:space="0" w:color="auto"/>
              <w:right w:val="single" w:sz="18" w:space="0" w:color="auto"/>
            </w:tcBorders>
            <w:shd w:val="clear" w:color="auto" w:fill="auto"/>
            <w:noWrap/>
            <w:hideMark/>
          </w:tcPr>
          <w:p w:rsidR="00BA4035" w:rsidRPr="00D621BB" w:rsidRDefault="00BA4035" w:rsidP="00DF02AA">
            <w:pPr>
              <w:rPr>
                <w:rFonts w:ascii="Arial" w:eastAsia="Arial" w:hAnsi="Arial" w:cs="Arial"/>
                <w:color w:val="000000"/>
                <w:sz w:val="20"/>
                <w:szCs w:val="20"/>
                <w:lang w:eastAsia="en-AU"/>
              </w:rPr>
            </w:pPr>
            <w:r w:rsidRPr="00D621BB">
              <w:rPr>
                <w:rFonts w:ascii="Arial" w:eastAsia="Arial" w:hAnsi="Arial" w:cs="Arial"/>
                <w:color w:val="000000"/>
                <w:sz w:val="20"/>
                <w:szCs w:val="20"/>
                <w:lang w:eastAsia="en-AU"/>
              </w:rPr>
              <w:t>Stealth Tools</w:t>
            </w:r>
          </w:p>
        </w:tc>
        <w:tc>
          <w:tcPr>
            <w:tcW w:w="1560" w:type="dxa"/>
            <w:tcBorders>
              <w:top w:val="single" w:sz="4" w:space="0" w:color="auto"/>
              <w:left w:val="single" w:sz="18" w:space="0" w:color="auto"/>
              <w:bottom w:val="single" w:sz="18" w:space="0" w:color="auto"/>
              <w:right w:val="single" w:sz="18" w:space="0" w:color="auto"/>
            </w:tcBorders>
          </w:tcPr>
          <w:p w:rsidR="00BA4035" w:rsidRPr="00D621BB" w:rsidRDefault="00BA4035" w:rsidP="00DF02AA">
            <w:pPr>
              <w:rPr>
                <w:rFonts w:ascii="Arial" w:hAnsi="Arial" w:cs="Arial"/>
                <w:color w:val="000000"/>
                <w:sz w:val="20"/>
                <w:szCs w:val="20"/>
                <w:lang w:eastAsia="en-AU"/>
              </w:rPr>
            </w:pPr>
            <w:r>
              <w:rPr>
                <w:rFonts w:ascii="Arial" w:hAnsi="Arial" w:cs="Arial"/>
                <w:color w:val="000000"/>
                <w:sz w:val="20"/>
                <w:szCs w:val="20"/>
                <w:lang w:eastAsia="en-AU"/>
              </w:rPr>
              <w:t>Yes</w:t>
            </w:r>
          </w:p>
        </w:tc>
        <w:tc>
          <w:tcPr>
            <w:tcW w:w="1208" w:type="dxa"/>
            <w:tcBorders>
              <w:top w:val="single" w:sz="4" w:space="0" w:color="auto"/>
              <w:left w:val="single" w:sz="18" w:space="0" w:color="auto"/>
              <w:bottom w:val="single" w:sz="18" w:space="0" w:color="auto"/>
              <w:right w:val="single" w:sz="18" w:space="0" w:color="auto"/>
            </w:tcBorders>
          </w:tcPr>
          <w:p w:rsidR="00BA4035" w:rsidRPr="00D621BB" w:rsidRDefault="00BA4035" w:rsidP="00DF02AA">
            <w:pPr>
              <w:rPr>
                <w:rFonts w:ascii="Arial" w:hAnsi="Arial" w:cs="Arial"/>
                <w:color w:val="000000"/>
                <w:sz w:val="20"/>
                <w:szCs w:val="20"/>
                <w:lang w:eastAsia="en-AU"/>
              </w:rPr>
            </w:pPr>
            <w:r>
              <w:rPr>
                <w:rFonts w:ascii="Arial" w:hAnsi="Arial" w:cs="Arial"/>
                <w:color w:val="000000"/>
                <w:sz w:val="20"/>
                <w:szCs w:val="20"/>
                <w:lang w:eastAsia="en-AU"/>
              </w:rPr>
              <w:t>No</w:t>
            </w:r>
          </w:p>
        </w:tc>
        <w:tc>
          <w:tcPr>
            <w:tcW w:w="5671" w:type="dxa"/>
            <w:tcBorders>
              <w:top w:val="single" w:sz="4" w:space="0" w:color="auto"/>
              <w:left w:val="single" w:sz="18" w:space="0" w:color="auto"/>
              <w:bottom w:val="single" w:sz="18" w:space="0" w:color="auto"/>
              <w:right w:val="single" w:sz="18" w:space="0" w:color="auto"/>
            </w:tcBorders>
            <w:shd w:val="clear" w:color="auto" w:fill="auto"/>
            <w:noWrap/>
            <w:hideMark/>
          </w:tcPr>
          <w:p w:rsidR="00BA4035" w:rsidRPr="00D621BB" w:rsidRDefault="00BA4035" w:rsidP="00DF02AA">
            <w:pPr>
              <w:rPr>
                <w:rFonts w:ascii="Arial" w:hAnsi="Arial" w:cs="Arial"/>
                <w:color w:val="000000"/>
                <w:sz w:val="20"/>
                <w:szCs w:val="20"/>
                <w:lang w:eastAsia="en-AU"/>
              </w:rPr>
            </w:pPr>
            <w:r w:rsidRPr="00D621BB">
              <w:rPr>
                <w:rFonts w:ascii="Arial" w:hAnsi="Arial" w:cs="Arial"/>
                <w:color w:val="000000"/>
                <w:sz w:val="20"/>
                <w:szCs w:val="20"/>
                <w:lang w:eastAsia="en-AU"/>
              </w:rPr>
              <w:t> </w:t>
            </w:r>
          </w:p>
        </w:tc>
      </w:tr>
      <w:tr w:rsidR="00BA4035" w:rsidRPr="00D621BB" w:rsidTr="00DF02AA">
        <w:trPr>
          <w:cantSplit/>
          <w:trHeight w:val="300"/>
        </w:trPr>
        <w:tc>
          <w:tcPr>
            <w:tcW w:w="2425" w:type="dxa"/>
            <w:vMerge w:val="restart"/>
            <w:tcBorders>
              <w:top w:val="single" w:sz="18" w:space="0" w:color="auto"/>
              <w:left w:val="single" w:sz="18" w:space="0" w:color="auto"/>
              <w:right w:val="single" w:sz="18" w:space="0" w:color="auto"/>
            </w:tcBorders>
          </w:tcPr>
          <w:p w:rsidR="00BA4035" w:rsidRPr="00D621BB" w:rsidRDefault="00BA4035" w:rsidP="00DF02AA">
            <w:pPr>
              <w:rPr>
                <w:rFonts w:ascii="Arial" w:hAnsi="Arial" w:cs="Arial"/>
                <w:color w:val="000000"/>
                <w:sz w:val="20"/>
                <w:szCs w:val="20"/>
                <w:lang w:eastAsia="en-AU"/>
              </w:rPr>
            </w:pPr>
            <w:r w:rsidRPr="00D621BB">
              <w:rPr>
                <w:rFonts w:ascii="Arial" w:hAnsi="Arial" w:cs="Arial"/>
                <w:color w:val="000000"/>
                <w:sz w:val="20"/>
                <w:szCs w:val="20"/>
                <w:lang w:eastAsia="en-AU"/>
              </w:rPr>
              <w:t>Surface data logging</w:t>
            </w:r>
          </w:p>
        </w:tc>
        <w:tc>
          <w:tcPr>
            <w:tcW w:w="2976" w:type="dxa"/>
            <w:tcBorders>
              <w:top w:val="single" w:sz="18" w:space="0" w:color="auto"/>
              <w:left w:val="single" w:sz="18" w:space="0" w:color="auto"/>
              <w:bottom w:val="single" w:sz="8" w:space="0" w:color="auto"/>
              <w:right w:val="single" w:sz="18" w:space="0" w:color="auto"/>
            </w:tcBorders>
            <w:shd w:val="clear" w:color="auto" w:fill="auto"/>
            <w:noWrap/>
          </w:tcPr>
          <w:p w:rsidR="00BA4035" w:rsidRPr="00D621BB" w:rsidRDefault="00BA4035" w:rsidP="00DF02AA">
            <w:pPr>
              <w:rPr>
                <w:rFonts w:ascii="Arial" w:eastAsia="Arial" w:hAnsi="Arial" w:cs="Arial"/>
                <w:color w:val="000000"/>
                <w:sz w:val="20"/>
                <w:szCs w:val="20"/>
                <w:lang w:eastAsia="en-AU"/>
              </w:rPr>
            </w:pPr>
            <w:r>
              <w:rPr>
                <w:rFonts w:ascii="Arial" w:eastAsia="Arial" w:hAnsi="Arial" w:cs="Arial"/>
                <w:color w:val="000000"/>
                <w:sz w:val="20"/>
                <w:szCs w:val="20"/>
                <w:lang w:eastAsia="en-AU"/>
              </w:rPr>
              <w:t xml:space="preserve">Halliburton </w:t>
            </w:r>
          </w:p>
        </w:tc>
        <w:tc>
          <w:tcPr>
            <w:tcW w:w="1560" w:type="dxa"/>
            <w:tcBorders>
              <w:top w:val="single" w:sz="18" w:space="0" w:color="auto"/>
              <w:left w:val="single" w:sz="18" w:space="0" w:color="auto"/>
              <w:bottom w:val="single" w:sz="8" w:space="0" w:color="auto"/>
              <w:right w:val="single" w:sz="18" w:space="0" w:color="auto"/>
            </w:tcBorders>
          </w:tcPr>
          <w:p w:rsidR="00BA4035" w:rsidRPr="00D621BB" w:rsidRDefault="00BA4035" w:rsidP="00DF02AA">
            <w:pPr>
              <w:rPr>
                <w:rFonts w:ascii="Arial" w:hAnsi="Arial" w:cs="Arial"/>
                <w:color w:val="000000"/>
                <w:sz w:val="20"/>
                <w:szCs w:val="20"/>
                <w:lang w:eastAsia="en-AU"/>
              </w:rPr>
            </w:pPr>
            <w:r>
              <w:rPr>
                <w:rFonts w:ascii="Arial" w:hAnsi="Arial" w:cs="Arial"/>
                <w:color w:val="000000"/>
                <w:sz w:val="20"/>
                <w:szCs w:val="20"/>
                <w:lang w:eastAsia="en-AU"/>
              </w:rPr>
              <w:t>Yes</w:t>
            </w:r>
          </w:p>
        </w:tc>
        <w:tc>
          <w:tcPr>
            <w:tcW w:w="1208" w:type="dxa"/>
            <w:tcBorders>
              <w:top w:val="single" w:sz="18" w:space="0" w:color="auto"/>
              <w:left w:val="single" w:sz="18" w:space="0" w:color="auto"/>
              <w:bottom w:val="single" w:sz="8" w:space="0" w:color="auto"/>
              <w:right w:val="single" w:sz="18" w:space="0" w:color="auto"/>
            </w:tcBorders>
          </w:tcPr>
          <w:p w:rsidR="00BA4035" w:rsidRPr="00D621BB" w:rsidRDefault="00BA4035" w:rsidP="00DF02AA">
            <w:pPr>
              <w:rPr>
                <w:rFonts w:ascii="Arial" w:hAnsi="Arial" w:cs="Arial"/>
                <w:color w:val="000000"/>
                <w:sz w:val="20"/>
                <w:szCs w:val="20"/>
                <w:lang w:eastAsia="en-AU"/>
              </w:rPr>
            </w:pPr>
            <w:r>
              <w:rPr>
                <w:rFonts w:ascii="Arial" w:hAnsi="Arial" w:cs="Arial"/>
                <w:color w:val="000000"/>
                <w:sz w:val="20"/>
                <w:szCs w:val="20"/>
                <w:lang w:eastAsia="en-AU"/>
              </w:rPr>
              <w:t>No</w:t>
            </w:r>
          </w:p>
        </w:tc>
        <w:tc>
          <w:tcPr>
            <w:tcW w:w="5671" w:type="dxa"/>
            <w:tcBorders>
              <w:top w:val="single" w:sz="18" w:space="0" w:color="auto"/>
              <w:left w:val="single" w:sz="18" w:space="0" w:color="auto"/>
              <w:bottom w:val="single" w:sz="8" w:space="0" w:color="auto"/>
              <w:right w:val="single" w:sz="18" w:space="0" w:color="auto"/>
            </w:tcBorders>
            <w:shd w:val="clear" w:color="auto" w:fill="auto"/>
            <w:noWrap/>
          </w:tcPr>
          <w:p w:rsidR="00BA4035" w:rsidRPr="00D621BB" w:rsidRDefault="00BA4035" w:rsidP="00DF02AA">
            <w:pPr>
              <w:rPr>
                <w:rFonts w:ascii="Arial" w:hAnsi="Arial" w:cs="Arial"/>
                <w:color w:val="000000"/>
                <w:sz w:val="20"/>
                <w:szCs w:val="20"/>
                <w:lang w:eastAsia="en-AU"/>
              </w:rPr>
            </w:pPr>
          </w:p>
        </w:tc>
      </w:tr>
      <w:tr w:rsidR="00BA4035" w:rsidRPr="00D621BB" w:rsidTr="00DF02AA">
        <w:trPr>
          <w:cantSplit/>
          <w:trHeight w:val="300"/>
        </w:trPr>
        <w:tc>
          <w:tcPr>
            <w:tcW w:w="2425" w:type="dxa"/>
            <w:vMerge/>
            <w:tcBorders>
              <w:left w:val="single" w:sz="18" w:space="0" w:color="auto"/>
              <w:right w:val="single" w:sz="18" w:space="0" w:color="auto"/>
            </w:tcBorders>
          </w:tcPr>
          <w:p w:rsidR="00BA4035" w:rsidRPr="00D621BB" w:rsidRDefault="00BA4035" w:rsidP="00DF02AA">
            <w:pPr>
              <w:rPr>
                <w:rFonts w:ascii="Arial" w:hAnsi="Arial" w:cs="Arial"/>
                <w:color w:val="000000"/>
                <w:sz w:val="20"/>
                <w:szCs w:val="20"/>
                <w:lang w:eastAsia="en-AU"/>
              </w:rPr>
            </w:pPr>
          </w:p>
        </w:tc>
        <w:tc>
          <w:tcPr>
            <w:tcW w:w="2976" w:type="dxa"/>
            <w:tcBorders>
              <w:top w:val="single" w:sz="8" w:space="0" w:color="auto"/>
              <w:left w:val="single" w:sz="18" w:space="0" w:color="auto"/>
              <w:bottom w:val="single" w:sz="4" w:space="0" w:color="auto"/>
              <w:right w:val="single" w:sz="18" w:space="0" w:color="auto"/>
            </w:tcBorders>
            <w:shd w:val="clear" w:color="auto" w:fill="auto"/>
            <w:noWrap/>
          </w:tcPr>
          <w:p w:rsidR="00BA4035" w:rsidRPr="00D621BB" w:rsidRDefault="00BA4035" w:rsidP="00DF02AA">
            <w:pPr>
              <w:rPr>
                <w:rFonts w:ascii="Arial" w:eastAsia="Arial" w:hAnsi="Arial" w:cs="Arial"/>
                <w:color w:val="000000"/>
                <w:sz w:val="20"/>
                <w:szCs w:val="20"/>
                <w:lang w:eastAsia="en-AU"/>
              </w:rPr>
            </w:pPr>
            <w:r>
              <w:rPr>
                <w:rFonts w:ascii="Arial" w:eastAsia="Arial" w:hAnsi="Arial" w:cs="Arial"/>
                <w:color w:val="000000"/>
                <w:sz w:val="20"/>
                <w:szCs w:val="20"/>
                <w:lang w:eastAsia="en-AU"/>
              </w:rPr>
              <w:t>Baker Hughes</w:t>
            </w:r>
          </w:p>
        </w:tc>
        <w:tc>
          <w:tcPr>
            <w:tcW w:w="1560" w:type="dxa"/>
            <w:tcBorders>
              <w:top w:val="single" w:sz="8" w:space="0" w:color="auto"/>
              <w:left w:val="single" w:sz="18" w:space="0" w:color="auto"/>
              <w:bottom w:val="single" w:sz="4" w:space="0" w:color="auto"/>
              <w:right w:val="single" w:sz="18" w:space="0" w:color="auto"/>
            </w:tcBorders>
          </w:tcPr>
          <w:p w:rsidR="00BA4035" w:rsidRPr="00D621BB" w:rsidRDefault="00BA4035" w:rsidP="00DF02AA">
            <w:pPr>
              <w:rPr>
                <w:rFonts w:ascii="Arial" w:hAnsi="Arial" w:cs="Arial"/>
                <w:color w:val="000000"/>
                <w:sz w:val="20"/>
                <w:szCs w:val="20"/>
                <w:lang w:eastAsia="en-AU"/>
              </w:rPr>
            </w:pPr>
            <w:r>
              <w:rPr>
                <w:rFonts w:ascii="Arial" w:hAnsi="Arial" w:cs="Arial"/>
                <w:color w:val="000000"/>
                <w:sz w:val="20"/>
                <w:szCs w:val="20"/>
                <w:lang w:eastAsia="en-AU"/>
              </w:rPr>
              <w:t>Yes</w:t>
            </w:r>
          </w:p>
        </w:tc>
        <w:tc>
          <w:tcPr>
            <w:tcW w:w="1208" w:type="dxa"/>
            <w:tcBorders>
              <w:top w:val="single" w:sz="8" w:space="0" w:color="auto"/>
              <w:left w:val="single" w:sz="18" w:space="0" w:color="auto"/>
              <w:bottom w:val="single" w:sz="4" w:space="0" w:color="auto"/>
              <w:right w:val="single" w:sz="18" w:space="0" w:color="auto"/>
            </w:tcBorders>
          </w:tcPr>
          <w:p w:rsidR="00BA4035" w:rsidRPr="00D621BB" w:rsidRDefault="00BA4035" w:rsidP="00DF02AA">
            <w:pPr>
              <w:rPr>
                <w:rFonts w:ascii="Arial" w:hAnsi="Arial" w:cs="Arial"/>
                <w:color w:val="000000"/>
                <w:sz w:val="20"/>
                <w:szCs w:val="20"/>
                <w:lang w:eastAsia="en-AU"/>
              </w:rPr>
            </w:pPr>
            <w:r>
              <w:rPr>
                <w:rFonts w:ascii="Arial" w:hAnsi="Arial" w:cs="Arial"/>
                <w:color w:val="000000"/>
                <w:sz w:val="20"/>
                <w:szCs w:val="20"/>
                <w:lang w:eastAsia="en-AU"/>
              </w:rPr>
              <w:t>Yes</w:t>
            </w:r>
          </w:p>
        </w:tc>
        <w:tc>
          <w:tcPr>
            <w:tcW w:w="5671" w:type="dxa"/>
            <w:tcBorders>
              <w:top w:val="single" w:sz="8" w:space="0" w:color="auto"/>
              <w:left w:val="single" w:sz="18" w:space="0" w:color="auto"/>
              <w:bottom w:val="single" w:sz="4" w:space="0" w:color="auto"/>
              <w:right w:val="single" w:sz="18" w:space="0" w:color="auto"/>
            </w:tcBorders>
            <w:shd w:val="clear" w:color="auto" w:fill="auto"/>
            <w:noWrap/>
          </w:tcPr>
          <w:p w:rsidR="00BA4035" w:rsidRPr="00D621BB" w:rsidRDefault="00BA4035" w:rsidP="00DF02AA">
            <w:pPr>
              <w:rPr>
                <w:rFonts w:ascii="Arial" w:hAnsi="Arial" w:cs="Arial"/>
                <w:color w:val="000000"/>
                <w:sz w:val="20"/>
                <w:szCs w:val="20"/>
                <w:lang w:eastAsia="en-AU"/>
              </w:rPr>
            </w:pPr>
          </w:p>
        </w:tc>
      </w:tr>
      <w:tr w:rsidR="00BA4035" w:rsidRPr="00D621BB" w:rsidTr="00DF02AA">
        <w:trPr>
          <w:cantSplit/>
          <w:trHeight w:val="300"/>
        </w:trPr>
        <w:tc>
          <w:tcPr>
            <w:tcW w:w="2425" w:type="dxa"/>
            <w:vMerge/>
            <w:tcBorders>
              <w:left w:val="single" w:sz="18" w:space="0" w:color="auto"/>
              <w:right w:val="single" w:sz="18" w:space="0" w:color="auto"/>
            </w:tcBorders>
          </w:tcPr>
          <w:p w:rsidR="00BA4035" w:rsidRPr="00D621BB" w:rsidRDefault="00BA4035" w:rsidP="00DF02AA">
            <w:pPr>
              <w:rPr>
                <w:rFonts w:ascii="Arial" w:hAnsi="Arial" w:cs="Arial"/>
                <w:color w:val="000000"/>
                <w:sz w:val="20"/>
                <w:szCs w:val="20"/>
                <w:lang w:eastAsia="en-AU"/>
              </w:rPr>
            </w:pPr>
          </w:p>
        </w:tc>
        <w:tc>
          <w:tcPr>
            <w:tcW w:w="2976" w:type="dxa"/>
            <w:tcBorders>
              <w:top w:val="single" w:sz="4" w:space="0" w:color="auto"/>
              <w:left w:val="single" w:sz="18" w:space="0" w:color="auto"/>
              <w:bottom w:val="single" w:sz="4" w:space="0" w:color="auto"/>
              <w:right w:val="single" w:sz="18" w:space="0" w:color="auto"/>
            </w:tcBorders>
            <w:shd w:val="clear" w:color="auto" w:fill="auto"/>
            <w:noWrap/>
          </w:tcPr>
          <w:p w:rsidR="00BA4035" w:rsidRPr="00D621BB" w:rsidRDefault="00BA4035" w:rsidP="00DF02AA">
            <w:pPr>
              <w:rPr>
                <w:rFonts w:ascii="Arial" w:eastAsia="Arial" w:hAnsi="Arial" w:cs="Arial"/>
                <w:color w:val="000000"/>
                <w:sz w:val="20"/>
                <w:szCs w:val="20"/>
                <w:lang w:eastAsia="en-AU"/>
              </w:rPr>
            </w:pPr>
            <w:r w:rsidRPr="00D621BB">
              <w:rPr>
                <w:rFonts w:ascii="Arial" w:eastAsia="Arial" w:hAnsi="Arial" w:cs="Arial"/>
                <w:color w:val="000000"/>
                <w:sz w:val="20"/>
                <w:szCs w:val="20"/>
                <w:lang w:eastAsia="en-AU"/>
              </w:rPr>
              <w:t>Schlumberger</w:t>
            </w:r>
          </w:p>
        </w:tc>
        <w:tc>
          <w:tcPr>
            <w:tcW w:w="1560" w:type="dxa"/>
            <w:tcBorders>
              <w:top w:val="single" w:sz="4" w:space="0" w:color="auto"/>
              <w:left w:val="single" w:sz="18" w:space="0" w:color="auto"/>
              <w:bottom w:val="single" w:sz="4" w:space="0" w:color="auto"/>
              <w:right w:val="single" w:sz="18" w:space="0" w:color="auto"/>
            </w:tcBorders>
          </w:tcPr>
          <w:p w:rsidR="00BA4035" w:rsidRPr="00D621BB" w:rsidRDefault="00BA4035" w:rsidP="00DF02AA">
            <w:pPr>
              <w:rPr>
                <w:rFonts w:ascii="Arial" w:hAnsi="Arial" w:cs="Arial"/>
                <w:color w:val="000000"/>
                <w:sz w:val="20"/>
                <w:szCs w:val="20"/>
                <w:lang w:eastAsia="en-AU"/>
              </w:rPr>
            </w:pPr>
            <w:r>
              <w:rPr>
                <w:rFonts w:ascii="Arial" w:hAnsi="Arial" w:cs="Arial"/>
                <w:color w:val="000000"/>
                <w:sz w:val="20"/>
                <w:szCs w:val="20"/>
                <w:lang w:eastAsia="en-AU"/>
              </w:rPr>
              <w:t>Yes</w:t>
            </w:r>
          </w:p>
        </w:tc>
        <w:tc>
          <w:tcPr>
            <w:tcW w:w="1208" w:type="dxa"/>
            <w:tcBorders>
              <w:top w:val="single" w:sz="4" w:space="0" w:color="auto"/>
              <w:left w:val="single" w:sz="18" w:space="0" w:color="auto"/>
              <w:bottom w:val="single" w:sz="4" w:space="0" w:color="auto"/>
              <w:right w:val="single" w:sz="18" w:space="0" w:color="auto"/>
            </w:tcBorders>
          </w:tcPr>
          <w:p w:rsidR="00BA4035" w:rsidRPr="00D621BB" w:rsidRDefault="00BA4035" w:rsidP="00DF02AA">
            <w:pPr>
              <w:rPr>
                <w:rFonts w:ascii="Arial" w:hAnsi="Arial" w:cs="Arial"/>
                <w:color w:val="000000"/>
                <w:sz w:val="20"/>
                <w:szCs w:val="20"/>
                <w:lang w:eastAsia="en-AU"/>
              </w:rPr>
            </w:pPr>
            <w:r>
              <w:rPr>
                <w:rFonts w:ascii="Arial" w:hAnsi="Arial" w:cs="Arial"/>
                <w:color w:val="000000"/>
                <w:sz w:val="20"/>
                <w:szCs w:val="20"/>
                <w:lang w:eastAsia="en-AU"/>
              </w:rPr>
              <w:t>Yes</w:t>
            </w:r>
          </w:p>
        </w:tc>
        <w:tc>
          <w:tcPr>
            <w:tcW w:w="5671" w:type="dxa"/>
            <w:tcBorders>
              <w:top w:val="single" w:sz="4" w:space="0" w:color="auto"/>
              <w:left w:val="single" w:sz="18" w:space="0" w:color="auto"/>
              <w:bottom w:val="single" w:sz="4" w:space="0" w:color="auto"/>
              <w:right w:val="single" w:sz="18" w:space="0" w:color="auto"/>
            </w:tcBorders>
            <w:shd w:val="clear" w:color="auto" w:fill="auto"/>
            <w:noWrap/>
          </w:tcPr>
          <w:p w:rsidR="00BA4035" w:rsidRPr="00D621BB" w:rsidRDefault="00BA4035" w:rsidP="00DF02AA">
            <w:pPr>
              <w:rPr>
                <w:rFonts w:ascii="Arial" w:hAnsi="Arial" w:cs="Arial"/>
                <w:color w:val="000000"/>
                <w:sz w:val="20"/>
                <w:szCs w:val="20"/>
                <w:lang w:eastAsia="en-AU"/>
              </w:rPr>
            </w:pPr>
          </w:p>
        </w:tc>
      </w:tr>
      <w:tr w:rsidR="00BA4035" w:rsidRPr="00D621BB" w:rsidTr="00DF02AA">
        <w:trPr>
          <w:cantSplit/>
          <w:trHeight w:val="300"/>
        </w:trPr>
        <w:tc>
          <w:tcPr>
            <w:tcW w:w="2425" w:type="dxa"/>
            <w:vMerge/>
            <w:tcBorders>
              <w:left w:val="single" w:sz="18" w:space="0" w:color="auto"/>
              <w:right w:val="single" w:sz="18" w:space="0" w:color="auto"/>
            </w:tcBorders>
            <w:vAlign w:val="center"/>
          </w:tcPr>
          <w:p w:rsidR="00BA4035" w:rsidRPr="00D621BB" w:rsidRDefault="00BA4035" w:rsidP="00DF02AA">
            <w:pPr>
              <w:rPr>
                <w:rFonts w:ascii="Arial" w:hAnsi="Arial" w:cs="Arial"/>
                <w:color w:val="000000"/>
                <w:sz w:val="20"/>
                <w:szCs w:val="20"/>
                <w:lang w:eastAsia="en-AU"/>
              </w:rPr>
            </w:pPr>
          </w:p>
        </w:tc>
        <w:tc>
          <w:tcPr>
            <w:tcW w:w="2976" w:type="dxa"/>
            <w:tcBorders>
              <w:top w:val="single" w:sz="4" w:space="0" w:color="auto"/>
              <w:left w:val="single" w:sz="18" w:space="0" w:color="auto"/>
              <w:bottom w:val="single" w:sz="4" w:space="0" w:color="auto"/>
              <w:right w:val="single" w:sz="18" w:space="0" w:color="auto"/>
            </w:tcBorders>
            <w:shd w:val="clear" w:color="auto" w:fill="auto"/>
            <w:noWrap/>
          </w:tcPr>
          <w:p w:rsidR="00BA4035" w:rsidRPr="00D621BB" w:rsidRDefault="00BA4035" w:rsidP="00DF02AA">
            <w:pPr>
              <w:rPr>
                <w:rFonts w:ascii="Arial" w:eastAsia="Arial" w:hAnsi="Arial" w:cs="Arial"/>
                <w:color w:val="000000"/>
                <w:sz w:val="20"/>
                <w:szCs w:val="20"/>
                <w:lang w:eastAsia="en-AU"/>
              </w:rPr>
            </w:pPr>
            <w:r w:rsidRPr="00D621BB">
              <w:rPr>
                <w:rFonts w:ascii="Arial" w:eastAsia="Arial" w:hAnsi="Arial" w:cs="Arial"/>
                <w:color w:val="000000"/>
                <w:sz w:val="20"/>
                <w:szCs w:val="20"/>
                <w:lang w:eastAsia="en-AU"/>
              </w:rPr>
              <w:t>Weatherford</w:t>
            </w:r>
          </w:p>
        </w:tc>
        <w:tc>
          <w:tcPr>
            <w:tcW w:w="1560" w:type="dxa"/>
            <w:tcBorders>
              <w:top w:val="single" w:sz="4" w:space="0" w:color="auto"/>
              <w:left w:val="single" w:sz="18" w:space="0" w:color="auto"/>
              <w:bottom w:val="single" w:sz="4" w:space="0" w:color="auto"/>
              <w:right w:val="single" w:sz="18" w:space="0" w:color="auto"/>
            </w:tcBorders>
          </w:tcPr>
          <w:p w:rsidR="00BA4035" w:rsidRPr="00D621BB" w:rsidRDefault="00BA4035" w:rsidP="00DF02AA">
            <w:pPr>
              <w:rPr>
                <w:rFonts w:ascii="Arial" w:hAnsi="Arial" w:cs="Arial"/>
                <w:color w:val="000000"/>
                <w:sz w:val="20"/>
                <w:szCs w:val="20"/>
                <w:lang w:eastAsia="en-AU"/>
              </w:rPr>
            </w:pPr>
            <w:r>
              <w:rPr>
                <w:rFonts w:ascii="Arial" w:hAnsi="Arial" w:cs="Arial"/>
                <w:color w:val="000000"/>
                <w:sz w:val="20"/>
                <w:szCs w:val="20"/>
                <w:lang w:eastAsia="en-AU"/>
              </w:rPr>
              <w:t>Yes</w:t>
            </w:r>
          </w:p>
        </w:tc>
        <w:tc>
          <w:tcPr>
            <w:tcW w:w="1208" w:type="dxa"/>
            <w:tcBorders>
              <w:top w:val="single" w:sz="4" w:space="0" w:color="auto"/>
              <w:left w:val="single" w:sz="18" w:space="0" w:color="auto"/>
              <w:bottom w:val="single" w:sz="4" w:space="0" w:color="auto"/>
              <w:right w:val="single" w:sz="18" w:space="0" w:color="auto"/>
            </w:tcBorders>
          </w:tcPr>
          <w:p w:rsidR="00BA4035" w:rsidRPr="00D621BB" w:rsidRDefault="00BA4035" w:rsidP="00DF02AA">
            <w:pPr>
              <w:rPr>
                <w:rFonts w:ascii="Arial" w:hAnsi="Arial" w:cs="Arial"/>
                <w:color w:val="000000"/>
                <w:sz w:val="20"/>
                <w:szCs w:val="20"/>
                <w:lang w:eastAsia="en-AU"/>
              </w:rPr>
            </w:pPr>
            <w:r>
              <w:rPr>
                <w:rFonts w:ascii="Arial" w:hAnsi="Arial" w:cs="Arial"/>
                <w:color w:val="000000"/>
                <w:sz w:val="20"/>
                <w:szCs w:val="20"/>
                <w:lang w:eastAsia="en-AU"/>
              </w:rPr>
              <w:t>No</w:t>
            </w:r>
          </w:p>
        </w:tc>
        <w:tc>
          <w:tcPr>
            <w:tcW w:w="5671" w:type="dxa"/>
            <w:tcBorders>
              <w:top w:val="single" w:sz="4" w:space="0" w:color="auto"/>
              <w:left w:val="single" w:sz="18" w:space="0" w:color="auto"/>
              <w:bottom w:val="single" w:sz="4" w:space="0" w:color="auto"/>
              <w:right w:val="single" w:sz="18" w:space="0" w:color="auto"/>
            </w:tcBorders>
            <w:shd w:val="clear" w:color="auto" w:fill="auto"/>
            <w:noWrap/>
          </w:tcPr>
          <w:p w:rsidR="00BA4035" w:rsidRPr="00D621BB" w:rsidRDefault="00BA4035" w:rsidP="00DF02AA">
            <w:pPr>
              <w:rPr>
                <w:rFonts w:ascii="Arial" w:hAnsi="Arial" w:cs="Arial"/>
                <w:color w:val="000000"/>
                <w:sz w:val="20"/>
                <w:szCs w:val="20"/>
                <w:lang w:eastAsia="en-AU"/>
              </w:rPr>
            </w:pPr>
          </w:p>
        </w:tc>
      </w:tr>
      <w:tr w:rsidR="00BA4035" w:rsidRPr="00D621BB" w:rsidTr="00DF02AA">
        <w:trPr>
          <w:cantSplit/>
          <w:trHeight w:val="300"/>
        </w:trPr>
        <w:tc>
          <w:tcPr>
            <w:tcW w:w="2425" w:type="dxa"/>
            <w:vMerge w:val="restart"/>
            <w:tcBorders>
              <w:top w:val="single" w:sz="18" w:space="0" w:color="auto"/>
              <w:left w:val="single" w:sz="18" w:space="0" w:color="auto"/>
              <w:right w:val="single" w:sz="18" w:space="0" w:color="auto"/>
            </w:tcBorders>
            <w:shd w:val="clear" w:color="auto" w:fill="auto"/>
            <w:noWrap/>
          </w:tcPr>
          <w:p w:rsidR="00BA4035" w:rsidRPr="00D621BB" w:rsidRDefault="00BA4035" w:rsidP="00DF02AA">
            <w:pPr>
              <w:rPr>
                <w:rFonts w:ascii="Arial" w:hAnsi="Arial" w:cs="Arial"/>
                <w:color w:val="000000"/>
                <w:sz w:val="20"/>
                <w:szCs w:val="20"/>
                <w:lang w:eastAsia="en-AU"/>
              </w:rPr>
            </w:pPr>
            <w:r w:rsidRPr="00D621BB">
              <w:rPr>
                <w:rFonts w:ascii="Arial" w:hAnsi="Arial" w:cs="Arial"/>
                <w:color w:val="000000"/>
                <w:sz w:val="20"/>
                <w:szCs w:val="20"/>
                <w:lang w:eastAsia="en-AU"/>
              </w:rPr>
              <w:t>Cementing</w:t>
            </w:r>
          </w:p>
        </w:tc>
        <w:tc>
          <w:tcPr>
            <w:tcW w:w="2976" w:type="dxa"/>
            <w:tcBorders>
              <w:top w:val="single" w:sz="18" w:space="0" w:color="auto"/>
              <w:left w:val="single" w:sz="18" w:space="0" w:color="auto"/>
              <w:bottom w:val="single" w:sz="8" w:space="0" w:color="auto"/>
              <w:right w:val="single" w:sz="18" w:space="0" w:color="auto"/>
            </w:tcBorders>
            <w:shd w:val="clear" w:color="auto" w:fill="auto"/>
            <w:noWrap/>
          </w:tcPr>
          <w:p w:rsidR="00BA4035" w:rsidRPr="00D621BB" w:rsidRDefault="00BA4035" w:rsidP="00DF02AA">
            <w:pPr>
              <w:rPr>
                <w:rFonts w:ascii="Arial" w:eastAsia="Arial" w:hAnsi="Arial" w:cs="Arial"/>
                <w:color w:val="000000"/>
                <w:sz w:val="20"/>
                <w:szCs w:val="20"/>
                <w:lang w:eastAsia="en-AU"/>
              </w:rPr>
            </w:pPr>
            <w:r>
              <w:rPr>
                <w:rFonts w:ascii="Arial" w:eastAsia="Arial" w:hAnsi="Arial" w:cs="Arial"/>
                <w:color w:val="000000"/>
                <w:sz w:val="20"/>
                <w:szCs w:val="20"/>
                <w:lang w:eastAsia="en-AU"/>
              </w:rPr>
              <w:t xml:space="preserve">Halliburton </w:t>
            </w:r>
          </w:p>
        </w:tc>
        <w:tc>
          <w:tcPr>
            <w:tcW w:w="1560" w:type="dxa"/>
            <w:tcBorders>
              <w:top w:val="single" w:sz="18" w:space="0" w:color="auto"/>
              <w:left w:val="single" w:sz="18" w:space="0" w:color="auto"/>
              <w:bottom w:val="single" w:sz="8" w:space="0" w:color="auto"/>
              <w:right w:val="single" w:sz="18" w:space="0" w:color="auto"/>
            </w:tcBorders>
          </w:tcPr>
          <w:p w:rsidR="00BA4035" w:rsidRPr="00D621BB" w:rsidRDefault="00BA4035" w:rsidP="00DF02AA">
            <w:pPr>
              <w:rPr>
                <w:rFonts w:ascii="Arial" w:hAnsi="Arial" w:cs="Arial"/>
                <w:color w:val="000000"/>
                <w:sz w:val="20"/>
                <w:szCs w:val="20"/>
                <w:lang w:eastAsia="en-AU"/>
              </w:rPr>
            </w:pPr>
            <w:r>
              <w:rPr>
                <w:rFonts w:ascii="Arial" w:hAnsi="Arial" w:cs="Arial"/>
                <w:color w:val="000000"/>
                <w:sz w:val="20"/>
                <w:szCs w:val="20"/>
                <w:lang w:eastAsia="en-AU"/>
              </w:rPr>
              <w:t>Yes</w:t>
            </w:r>
          </w:p>
        </w:tc>
        <w:tc>
          <w:tcPr>
            <w:tcW w:w="1208" w:type="dxa"/>
            <w:tcBorders>
              <w:top w:val="single" w:sz="18" w:space="0" w:color="auto"/>
              <w:left w:val="single" w:sz="18" w:space="0" w:color="auto"/>
              <w:bottom w:val="single" w:sz="8" w:space="0" w:color="auto"/>
              <w:right w:val="single" w:sz="18" w:space="0" w:color="auto"/>
            </w:tcBorders>
          </w:tcPr>
          <w:p w:rsidR="00BA4035" w:rsidRPr="00D621BB" w:rsidRDefault="00F92D27" w:rsidP="00DF02AA">
            <w:pPr>
              <w:rPr>
                <w:rFonts w:ascii="Arial" w:hAnsi="Arial" w:cs="Arial"/>
                <w:color w:val="000000"/>
                <w:sz w:val="20"/>
                <w:szCs w:val="20"/>
                <w:lang w:eastAsia="en-AU"/>
              </w:rPr>
            </w:pPr>
            <w:r>
              <w:rPr>
                <w:rFonts w:ascii="Arial" w:hAnsi="Arial" w:cs="Arial"/>
                <w:color w:val="000000"/>
                <w:sz w:val="20"/>
                <w:szCs w:val="20"/>
                <w:lang w:eastAsia="en-AU"/>
              </w:rPr>
              <w:t>Yes</w:t>
            </w:r>
          </w:p>
        </w:tc>
        <w:tc>
          <w:tcPr>
            <w:tcW w:w="5671" w:type="dxa"/>
            <w:tcBorders>
              <w:top w:val="single" w:sz="18" w:space="0" w:color="auto"/>
              <w:left w:val="single" w:sz="18" w:space="0" w:color="auto"/>
              <w:bottom w:val="single" w:sz="8" w:space="0" w:color="auto"/>
              <w:right w:val="single" w:sz="18" w:space="0" w:color="auto"/>
            </w:tcBorders>
            <w:shd w:val="clear" w:color="auto" w:fill="auto"/>
            <w:noWrap/>
          </w:tcPr>
          <w:p w:rsidR="00BA4035" w:rsidRPr="00D621BB" w:rsidRDefault="00BA4035" w:rsidP="00DF02AA">
            <w:pPr>
              <w:rPr>
                <w:rFonts w:ascii="Arial" w:hAnsi="Arial" w:cs="Arial"/>
                <w:color w:val="000000"/>
                <w:sz w:val="20"/>
                <w:szCs w:val="20"/>
                <w:lang w:eastAsia="en-AU"/>
              </w:rPr>
            </w:pPr>
          </w:p>
        </w:tc>
      </w:tr>
      <w:tr w:rsidR="00BA4035" w:rsidRPr="00D621BB" w:rsidTr="00DF02AA">
        <w:trPr>
          <w:cantSplit/>
          <w:trHeight w:val="300"/>
        </w:trPr>
        <w:tc>
          <w:tcPr>
            <w:tcW w:w="2425" w:type="dxa"/>
            <w:vMerge/>
            <w:tcBorders>
              <w:left w:val="single" w:sz="18" w:space="0" w:color="auto"/>
              <w:right w:val="single" w:sz="18" w:space="0" w:color="auto"/>
            </w:tcBorders>
            <w:shd w:val="clear" w:color="auto" w:fill="auto"/>
            <w:noWrap/>
          </w:tcPr>
          <w:p w:rsidR="00BA4035" w:rsidRPr="00D621BB" w:rsidRDefault="00BA4035" w:rsidP="00DF02AA">
            <w:pPr>
              <w:rPr>
                <w:rFonts w:ascii="Arial" w:hAnsi="Arial" w:cs="Arial"/>
                <w:color w:val="000000"/>
                <w:sz w:val="20"/>
                <w:szCs w:val="20"/>
                <w:lang w:eastAsia="en-AU"/>
              </w:rPr>
            </w:pPr>
          </w:p>
        </w:tc>
        <w:tc>
          <w:tcPr>
            <w:tcW w:w="2976" w:type="dxa"/>
            <w:tcBorders>
              <w:top w:val="single" w:sz="8" w:space="0" w:color="auto"/>
              <w:left w:val="single" w:sz="18" w:space="0" w:color="auto"/>
              <w:bottom w:val="single" w:sz="8" w:space="0" w:color="auto"/>
              <w:right w:val="single" w:sz="18" w:space="0" w:color="auto"/>
            </w:tcBorders>
            <w:shd w:val="clear" w:color="auto" w:fill="auto"/>
            <w:noWrap/>
          </w:tcPr>
          <w:p w:rsidR="00BA4035" w:rsidRPr="00D621BB" w:rsidRDefault="00BA4035" w:rsidP="00DF02AA">
            <w:pPr>
              <w:rPr>
                <w:rFonts w:ascii="Arial" w:eastAsia="Arial" w:hAnsi="Arial" w:cs="Arial"/>
                <w:color w:val="000000"/>
                <w:sz w:val="20"/>
                <w:szCs w:val="20"/>
                <w:lang w:eastAsia="en-AU"/>
              </w:rPr>
            </w:pPr>
            <w:r>
              <w:rPr>
                <w:rFonts w:ascii="Arial" w:eastAsia="Arial" w:hAnsi="Arial" w:cs="Arial"/>
                <w:color w:val="000000"/>
                <w:sz w:val="20"/>
                <w:szCs w:val="20"/>
                <w:lang w:eastAsia="en-AU"/>
              </w:rPr>
              <w:t>Baker Hughes</w:t>
            </w:r>
          </w:p>
        </w:tc>
        <w:tc>
          <w:tcPr>
            <w:tcW w:w="1560" w:type="dxa"/>
            <w:tcBorders>
              <w:top w:val="single" w:sz="8" w:space="0" w:color="auto"/>
              <w:left w:val="single" w:sz="18" w:space="0" w:color="auto"/>
              <w:bottom w:val="single" w:sz="8" w:space="0" w:color="auto"/>
              <w:right w:val="single" w:sz="18" w:space="0" w:color="auto"/>
            </w:tcBorders>
          </w:tcPr>
          <w:p w:rsidR="00BA4035" w:rsidRPr="00D621BB" w:rsidRDefault="00BA4035" w:rsidP="00DF02AA">
            <w:pPr>
              <w:rPr>
                <w:rFonts w:ascii="Arial" w:hAnsi="Arial" w:cs="Arial"/>
                <w:color w:val="000000"/>
                <w:sz w:val="20"/>
                <w:szCs w:val="20"/>
                <w:lang w:eastAsia="en-AU"/>
              </w:rPr>
            </w:pPr>
            <w:r>
              <w:rPr>
                <w:rFonts w:ascii="Arial" w:hAnsi="Arial" w:cs="Arial"/>
                <w:color w:val="000000"/>
                <w:sz w:val="20"/>
                <w:szCs w:val="20"/>
                <w:lang w:eastAsia="en-AU"/>
              </w:rPr>
              <w:t>Yes</w:t>
            </w:r>
          </w:p>
        </w:tc>
        <w:tc>
          <w:tcPr>
            <w:tcW w:w="1208" w:type="dxa"/>
            <w:tcBorders>
              <w:top w:val="single" w:sz="8" w:space="0" w:color="auto"/>
              <w:left w:val="single" w:sz="18" w:space="0" w:color="auto"/>
              <w:bottom w:val="single" w:sz="8" w:space="0" w:color="auto"/>
              <w:right w:val="single" w:sz="18" w:space="0" w:color="auto"/>
            </w:tcBorders>
          </w:tcPr>
          <w:p w:rsidR="00BA4035" w:rsidRPr="00D621BB" w:rsidRDefault="00F92D27" w:rsidP="00DF02AA">
            <w:pPr>
              <w:rPr>
                <w:rFonts w:ascii="Arial" w:hAnsi="Arial" w:cs="Arial"/>
                <w:color w:val="000000"/>
                <w:sz w:val="20"/>
                <w:szCs w:val="20"/>
                <w:lang w:eastAsia="en-AU"/>
              </w:rPr>
            </w:pPr>
            <w:r>
              <w:rPr>
                <w:rFonts w:ascii="Arial" w:hAnsi="Arial" w:cs="Arial"/>
                <w:color w:val="000000"/>
                <w:sz w:val="20"/>
                <w:szCs w:val="20"/>
                <w:lang w:eastAsia="en-AU"/>
              </w:rPr>
              <w:t>Yes</w:t>
            </w:r>
          </w:p>
        </w:tc>
        <w:tc>
          <w:tcPr>
            <w:tcW w:w="5671" w:type="dxa"/>
            <w:tcBorders>
              <w:top w:val="single" w:sz="8" w:space="0" w:color="auto"/>
              <w:left w:val="single" w:sz="18" w:space="0" w:color="auto"/>
              <w:bottom w:val="single" w:sz="8" w:space="0" w:color="auto"/>
              <w:right w:val="single" w:sz="18" w:space="0" w:color="auto"/>
            </w:tcBorders>
            <w:shd w:val="clear" w:color="auto" w:fill="auto"/>
            <w:noWrap/>
          </w:tcPr>
          <w:p w:rsidR="00BA4035" w:rsidRPr="00D621BB" w:rsidRDefault="00BA4035" w:rsidP="00DF02AA">
            <w:pPr>
              <w:rPr>
                <w:rFonts w:ascii="Arial" w:hAnsi="Arial" w:cs="Arial"/>
                <w:color w:val="000000"/>
                <w:sz w:val="20"/>
                <w:szCs w:val="20"/>
                <w:lang w:eastAsia="en-AU"/>
              </w:rPr>
            </w:pPr>
          </w:p>
        </w:tc>
      </w:tr>
      <w:tr w:rsidR="00BA4035" w:rsidRPr="00D621BB" w:rsidTr="00DF02AA">
        <w:trPr>
          <w:cantSplit/>
          <w:trHeight w:val="300"/>
        </w:trPr>
        <w:tc>
          <w:tcPr>
            <w:tcW w:w="2425" w:type="dxa"/>
            <w:vMerge/>
            <w:tcBorders>
              <w:left w:val="single" w:sz="18" w:space="0" w:color="auto"/>
              <w:right w:val="single" w:sz="18" w:space="0" w:color="auto"/>
            </w:tcBorders>
            <w:shd w:val="clear" w:color="auto" w:fill="auto"/>
            <w:noWrap/>
          </w:tcPr>
          <w:p w:rsidR="00BA4035" w:rsidRPr="00D621BB" w:rsidRDefault="00BA4035" w:rsidP="00DF02AA">
            <w:pPr>
              <w:rPr>
                <w:rFonts w:ascii="Arial" w:hAnsi="Arial" w:cs="Arial"/>
                <w:color w:val="000000"/>
                <w:sz w:val="20"/>
                <w:szCs w:val="20"/>
                <w:lang w:eastAsia="en-AU"/>
              </w:rPr>
            </w:pPr>
          </w:p>
        </w:tc>
        <w:tc>
          <w:tcPr>
            <w:tcW w:w="2976" w:type="dxa"/>
            <w:tcBorders>
              <w:top w:val="single" w:sz="8" w:space="0" w:color="auto"/>
              <w:left w:val="single" w:sz="18" w:space="0" w:color="auto"/>
              <w:bottom w:val="single" w:sz="4" w:space="0" w:color="auto"/>
              <w:right w:val="single" w:sz="18" w:space="0" w:color="auto"/>
            </w:tcBorders>
            <w:shd w:val="clear" w:color="auto" w:fill="auto"/>
            <w:noWrap/>
          </w:tcPr>
          <w:p w:rsidR="00BA4035" w:rsidRPr="00D621BB" w:rsidRDefault="00BA4035" w:rsidP="00DF02AA">
            <w:pPr>
              <w:rPr>
                <w:rFonts w:ascii="Arial" w:eastAsia="Arial" w:hAnsi="Arial" w:cs="Arial"/>
                <w:color w:val="000000"/>
                <w:sz w:val="20"/>
                <w:szCs w:val="20"/>
                <w:lang w:eastAsia="en-AU"/>
              </w:rPr>
            </w:pPr>
            <w:r w:rsidRPr="00D621BB">
              <w:rPr>
                <w:rFonts w:ascii="Arial" w:eastAsia="Arial" w:hAnsi="Arial" w:cs="Arial"/>
                <w:color w:val="000000"/>
                <w:sz w:val="20"/>
                <w:szCs w:val="20"/>
                <w:lang w:eastAsia="en-AU"/>
              </w:rPr>
              <w:t>Schlumberger</w:t>
            </w:r>
          </w:p>
        </w:tc>
        <w:tc>
          <w:tcPr>
            <w:tcW w:w="1560" w:type="dxa"/>
            <w:tcBorders>
              <w:top w:val="single" w:sz="8" w:space="0" w:color="auto"/>
              <w:left w:val="single" w:sz="18" w:space="0" w:color="auto"/>
              <w:bottom w:val="single" w:sz="4" w:space="0" w:color="auto"/>
              <w:right w:val="single" w:sz="18" w:space="0" w:color="auto"/>
            </w:tcBorders>
          </w:tcPr>
          <w:p w:rsidR="00BA4035" w:rsidRPr="00D621BB" w:rsidRDefault="00BA4035" w:rsidP="00DF02AA">
            <w:pPr>
              <w:rPr>
                <w:rFonts w:ascii="Arial" w:hAnsi="Arial" w:cs="Arial"/>
                <w:color w:val="000000"/>
                <w:sz w:val="20"/>
                <w:szCs w:val="20"/>
                <w:lang w:eastAsia="en-AU"/>
              </w:rPr>
            </w:pPr>
            <w:r>
              <w:rPr>
                <w:rFonts w:ascii="Arial" w:hAnsi="Arial" w:cs="Arial"/>
                <w:color w:val="000000"/>
                <w:sz w:val="20"/>
                <w:szCs w:val="20"/>
                <w:lang w:eastAsia="en-AU"/>
              </w:rPr>
              <w:t>Yes</w:t>
            </w:r>
          </w:p>
        </w:tc>
        <w:tc>
          <w:tcPr>
            <w:tcW w:w="1208" w:type="dxa"/>
            <w:tcBorders>
              <w:top w:val="single" w:sz="8" w:space="0" w:color="auto"/>
              <w:left w:val="single" w:sz="18" w:space="0" w:color="auto"/>
              <w:bottom w:val="single" w:sz="4" w:space="0" w:color="auto"/>
              <w:right w:val="single" w:sz="18" w:space="0" w:color="auto"/>
            </w:tcBorders>
          </w:tcPr>
          <w:p w:rsidR="00BA4035" w:rsidRPr="00D621BB" w:rsidRDefault="00F92D27" w:rsidP="00DF02AA">
            <w:pPr>
              <w:rPr>
                <w:rFonts w:ascii="Arial" w:hAnsi="Arial" w:cs="Arial"/>
                <w:color w:val="000000"/>
                <w:sz w:val="20"/>
                <w:szCs w:val="20"/>
                <w:lang w:eastAsia="en-AU"/>
              </w:rPr>
            </w:pPr>
            <w:r>
              <w:rPr>
                <w:rFonts w:ascii="Arial" w:hAnsi="Arial" w:cs="Arial"/>
                <w:color w:val="000000"/>
                <w:sz w:val="20"/>
                <w:szCs w:val="20"/>
                <w:lang w:eastAsia="en-AU"/>
              </w:rPr>
              <w:t>Yes</w:t>
            </w:r>
          </w:p>
        </w:tc>
        <w:tc>
          <w:tcPr>
            <w:tcW w:w="5671" w:type="dxa"/>
            <w:tcBorders>
              <w:top w:val="single" w:sz="8" w:space="0" w:color="auto"/>
              <w:left w:val="single" w:sz="18" w:space="0" w:color="auto"/>
              <w:bottom w:val="single" w:sz="4" w:space="0" w:color="auto"/>
              <w:right w:val="single" w:sz="18" w:space="0" w:color="auto"/>
            </w:tcBorders>
            <w:shd w:val="clear" w:color="auto" w:fill="auto"/>
            <w:noWrap/>
          </w:tcPr>
          <w:p w:rsidR="00BA4035" w:rsidRPr="00D621BB" w:rsidRDefault="00BA4035" w:rsidP="00DF02AA">
            <w:pPr>
              <w:rPr>
                <w:rFonts w:ascii="Arial" w:hAnsi="Arial" w:cs="Arial"/>
                <w:color w:val="000000"/>
                <w:sz w:val="20"/>
                <w:szCs w:val="20"/>
                <w:lang w:eastAsia="en-AU"/>
              </w:rPr>
            </w:pPr>
          </w:p>
        </w:tc>
      </w:tr>
      <w:tr w:rsidR="00BA4035" w:rsidRPr="00D621BB" w:rsidTr="00DF02AA">
        <w:trPr>
          <w:cantSplit/>
          <w:trHeight w:val="300"/>
        </w:trPr>
        <w:tc>
          <w:tcPr>
            <w:tcW w:w="2425" w:type="dxa"/>
            <w:vMerge/>
            <w:tcBorders>
              <w:left w:val="single" w:sz="18" w:space="0" w:color="auto"/>
              <w:right w:val="single" w:sz="18" w:space="0" w:color="auto"/>
            </w:tcBorders>
            <w:shd w:val="clear" w:color="auto" w:fill="auto"/>
            <w:noWrap/>
            <w:hideMark/>
          </w:tcPr>
          <w:p w:rsidR="00BA4035" w:rsidRPr="00D621BB" w:rsidRDefault="00BA4035" w:rsidP="00DF02AA">
            <w:pPr>
              <w:rPr>
                <w:rFonts w:ascii="Arial" w:hAnsi="Arial" w:cs="Arial"/>
                <w:color w:val="000000"/>
                <w:sz w:val="20"/>
                <w:szCs w:val="20"/>
                <w:lang w:eastAsia="en-AU"/>
              </w:rPr>
            </w:pPr>
          </w:p>
        </w:tc>
        <w:tc>
          <w:tcPr>
            <w:tcW w:w="2976" w:type="dxa"/>
            <w:tcBorders>
              <w:top w:val="single" w:sz="4" w:space="0" w:color="auto"/>
              <w:left w:val="single" w:sz="18" w:space="0" w:color="auto"/>
              <w:bottom w:val="single" w:sz="4" w:space="0" w:color="auto"/>
              <w:right w:val="single" w:sz="18" w:space="0" w:color="auto"/>
            </w:tcBorders>
            <w:shd w:val="clear" w:color="auto" w:fill="auto"/>
            <w:noWrap/>
            <w:hideMark/>
          </w:tcPr>
          <w:p w:rsidR="00BA4035" w:rsidRPr="00D621BB" w:rsidRDefault="00BA4035" w:rsidP="00DF02AA">
            <w:pPr>
              <w:rPr>
                <w:rFonts w:ascii="Arial" w:eastAsia="Arial" w:hAnsi="Arial" w:cs="Arial"/>
                <w:color w:val="000000"/>
                <w:sz w:val="20"/>
                <w:szCs w:val="20"/>
                <w:lang w:eastAsia="en-AU"/>
              </w:rPr>
            </w:pPr>
            <w:r w:rsidRPr="00D621BB">
              <w:rPr>
                <w:rFonts w:ascii="Arial" w:eastAsia="Arial" w:hAnsi="Arial" w:cs="Arial"/>
                <w:color w:val="000000"/>
                <w:sz w:val="20"/>
                <w:szCs w:val="20"/>
                <w:lang w:eastAsia="en-AU"/>
              </w:rPr>
              <w:t>Davis Lynch</w:t>
            </w:r>
          </w:p>
        </w:tc>
        <w:tc>
          <w:tcPr>
            <w:tcW w:w="1560" w:type="dxa"/>
            <w:tcBorders>
              <w:top w:val="single" w:sz="4" w:space="0" w:color="auto"/>
              <w:left w:val="single" w:sz="18" w:space="0" w:color="auto"/>
              <w:bottom w:val="single" w:sz="4" w:space="0" w:color="auto"/>
              <w:right w:val="single" w:sz="18" w:space="0" w:color="auto"/>
            </w:tcBorders>
          </w:tcPr>
          <w:p w:rsidR="00BA4035" w:rsidRPr="00D621BB" w:rsidRDefault="00BA4035" w:rsidP="00DF02AA">
            <w:pPr>
              <w:rPr>
                <w:rFonts w:ascii="Arial" w:hAnsi="Arial" w:cs="Arial"/>
                <w:color w:val="000000"/>
                <w:sz w:val="20"/>
                <w:szCs w:val="20"/>
                <w:lang w:eastAsia="en-AU"/>
              </w:rPr>
            </w:pPr>
            <w:r>
              <w:rPr>
                <w:rFonts w:ascii="Arial" w:hAnsi="Arial" w:cs="Arial"/>
                <w:color w:val="000000"/>
                <w:sz w:val="20"/>
                <w:szCs w:val="20"/>
                <w:lang w:eastAsia="en-AU"/>
              </w:rPr>
              <w:t>No</w:t>
            </w:r>
          </w:p>
        </w:tc>
        <w:tc>
          <w:tcPr>
            <w:tcW w:w="1208" w:type="dxa"/>
            <w:tcBorders>
              <w:top w:val="single" w:sz="4" w:space="0" w:color="auto"/>
              <w:left w:val="single" w:sz="18" w:space="0" w:color="auto"/>
              <w:bottom w:val="single" w:sz="4" w:space="0" w:color="auto"/>
              <w:right w:val="single" w:sz="18" w:space="0" w:color="auto"/>
            </w:tcBorders>
          </w:tcPr>
          <w:p w:rsidR="00BA4035" w:rsidRPr="00D621BB" w:rsidRDefault="00BA4035" w:rsidP="00DF02AA">
            <w:pPr>
              <w:rPr>
                <w:rFonts w:ascii="Arial" w:hAnsi="Arial" w:cs="Arial"/>
                <w:color w:val="000000"/>
                <w:sz w:val="20"/>
                <w:szCs w:val="20"/>
                <w:lang w:eastAsia="en-AU"/>
              </w:rPr>
            </w:pPr>
            <w:r>
              <w:rPr>
                <w:rFonts w:ascii="Arial" w:hAnsi="Arial" w:cs="Arial"/>
                <w:color w:val="000000"/>
                <w:sz w:val="20"/>
                <w:szCs w:val="20"/>
                <w:lang w:eastAsia="en-AU"/>
              </w:rPr>
              <w:t>Yes</w:t>
            </w:r>
          </w:p>
        </w:tc>
        <w:tc>
          <w:tcPr>
            <w:tcW w:w="5671" w:type="dxa"/>
            <w:tcBorders>
              <w:top w:val="single" w:sz="4" w:space="0" w:color="auto"/>
              <w:left w:val="single" w:sz="18" w:space="0" w:color="auto"/>
              <w:bottom w:val="single" w:sz="4" w:space="0" w:color="auto"/>
              <w:right w:val="single" w:sz="18" w:space="0" w:color="auto"/>
            </w:tcBorders>
            <w:shd w:val="clear" w:color="auto" w:fill="auto"/>
            <w:noWrap/>
            <w:hideMark/>
          </w:tcPr>
          <w:p w:rsidR="00BA4035" w:rsidRPr="00D621BB" w:rsidRDefault="00BA4035" w:rsidP="00DF02AA">
            <w:pPr>
              <w:rPr>
                <w:rFonts w:ascii="Arial" w:hAnsi="Arial" w:cs="Arial"/>
                <w:color w:val="000000"/>
                <w:sz w:val="20"/>
                <w:szCs w:val="20"/>
                <w:lang w:eastAsia="en-AU"/>
              </w:rPr>
            </w:pPr>
            <w:r w:rsidRPr="00D621BB">
              <w:rPr>
                <w:rFonts w:ascii="Arial" w:hAnsi="Arial" w:cs="Arial"/>
                <w:color w:val="000000"/>
                <w:sz w:val="20"/>
                <w:szCs w:val="20"/>
                <w:lang w:eastAsia="en-AU"/>
              </w:rPr>
              <w:t> </w:t>
            </w:r>
          </w:p>
        </w:tc>
      </w:tr>
      <w:tr w:rsidR="00BA4035" w:rsidRPr="00D621BB" w:rsidTr="00DF02AA">
        <w:trPr>
          <w:cantSplit/>
          <w:trHeight w:val="300"/>
        </w:trPr>
        <w:tc>
          <w:tcPr>
            <w:tcW w:w="2425" w:type="dxa"/>
            <w:vMerge/>
            <w:tcBorders>
              <w:left w:val="single" w:sz="18" w:space="0" w:color="auto"/>
              <w:right w:val="single" w:sz="18" w:space="0" w:color="auto"/>
            </w:tcBorders>
            <w:vAlign w:val="center"/>
            <w:hideMark/>
          </w:tcPr>
          <w:p w:rsidR="00BA4035" w:rsidRPr="00D621BB" w:rsidRDefault="00BA4035" w:rsidP="00DF02AA">
            <w:pPr>
              <w:rPr>
                <w:rFonts w:ascii="Arial" w:hAnsi="Arial" w:cs="Arial"/>
                <w:color w:val="000000"/>
                <w:sz w:val="20"/>
                <w:szCs w:val="20"/>
                <w:lang w:eastAsia="en-AU"/>
              </w:rPr>
            </w:pPr>
          </w:p>
        </w:tc>
        <w:tc>
          <w:tcPr>
            <w:tcW w:w="2976" w:type="dxa"/>
            <w:tcBorders>
              <w:top w:val="single" w:sz="4" w:space="0" w:color="auto"/>
              <w:left w:val="single" w:sz="18" w:space="0" w:color="auto"/>
              <w:bottom w:val="single" w:sz="4" w:space="0" w:color="auto"/>
              <w:right w:val="single" w:sz="18" w:space="0" w:color="auto"/>
            </w:tcBorders>
            <w:shd w:val="clear" w:color="auto" w:fill="auto"/>
            <w:noWrap/>
            <w:hideMark/>
          </w:tcPr>
          <w:p w:rsidR="00BA4035" w:rsidRPr="00D621BB" w:rsidRDefault="00BA4035" w:rsidP="00DF02AA">
            <w:pPr>
              <w:rPr>
                <w:rFonts w:ascii="Arial" w:eastAsia="Arial" w:hAnsi="Arial" w:cs="Arial"/>
                <w:color w:val="000000"/>
                <w:sz w:val="20"/>
                <w:szCs w:val="20"/>
                <w:lang w:eastAsia="en-AU"/>
              </w:rPr>
            </w:pPr>
            <w:r w:rsidRPr="00D621BB">
              <w:rPr>
                <w:rFonts w:ascii="Arial" w:eastAsia="Arial" w:hAnsi="Arial" w:cs="Arial"/>
                <w:color w:val="000000"/>
                <w:sz w:val="20"/>
                <w:szCs w:val="20"/>
                <w:lang w:eastAsia="en-AU"/>
              </w:rPr>
              <w:t>Weatherford</w:t>
            </w:r>
          </w:p>
        </w:tc>
        <w:tc>
          <w:tcPr>
            <w:tcW w:w="1560" w:type="dxa"/>
            <w:tcBorders>
              <w:top w:val="single" w:sz="4" w:space="0" w:color="auto"/>
              <w:left w:val="single" w:sz="18" w:space="0" w:color="auto"/>
              <w:bottom w:val="single" w:sz="4" w:space="0" w:color="auto"/>
              <w:right w:val="single" w:sz="18" w:space="0" w:color="auto"/>
            </w:tcBorders>
          </w:tcPr>
          <w:p w:rsidR="00BA4035" w:rsidRPr="00D621BB" w:rsidRDefault="00BA4035" w:rsidP="00DF02AA">
            <w:pPr>
              <w:rPr>
                <w:rFonts w:ascii="Arial" w:hAnsi="Arial" w:cs="Arial"/>
                <w:color w:val="000000"/>
                <w:sz w:val="20"/>
                <w:szCs w:val="20"/>
                <w:lang w:eastAsia="en-AU"/>
              </w:rPr>
            </w:pPr>
            <w:r>
              <w:rPr>
                <w:rFonts w:ascii="Arial" w:hAnsi="Arial" w:cs="Arial"/>
                <w:color w:val="000000"/>
                <w:sz w:val="20"/>
                <w:szCs w:val="20"/>
                <w:lang w:eastAsia="en-AU"/>
              </w:rPr>
              <w:t>Yes</w:t>
            </w:r>
          </w:p>
        </w:tc>
        <w:tc>
          <w:tcPr>
            <w:tcW w:w="1208" w:type="dxa"/>
            <w:tcBorders>
              <w:top w:val="single" w:sz="4" w:space="0" w:color="auto"/>
              <w:left w:val="single" w:sz="18" w:space="0" w:color="auto"/>
              <w:bottom w:val="single" w:sz="4" w:space="0" w:color="auto"/>
              <w:right w:val="single" w:sz="18" w:space="0" w:color="auto"/>
            </w:tcBorders>
          </w:tcPr>
          <w:p w:rsidR="00BA4035" w:rsidRPr="00D621BB" w:rsidRDefault="00BA4035" w:rsidP="00DF02AA">
            <w:pPr>
              <w:rPr>
                <w:rFonts w:ascii="Arial" w:hAnsi="Arial" w:cs="Arial"/>
                <w:color w:val="000000"/>
                <w:sz w:val="20"/>
                <w:szCs w:val="20"/>
                <w:lang w:eastAsia="en-AU"/>
              </w:rPr>
            </w:pPr>
            <w:r>
              <w:rPr>
                <w:rFonts w:ascii="Arial" w:hAnsi="Arial" w:cs="Arial"/>
                <w:color w:val="000000"/>
                <w:sz w:val="20"/>
                <w:szCs w:val="20"/>
                <w:lang w:eastAsia="en-AU"/>
              </w:rPr>
              <w:t>No</w:t>
            </w:r>
          </w:p>
        </w:tc>
        <w:tc>
          <w:tcPr>
            <w:tcW w:w="5671" w:type="dxa"/>
            <w:tcBorders>
              <w:top w:val="single" w:sz="4" w:space="0" w:color="auto"/>
              <w:left w:val="single" w:sz="18" w:space="0" w:color="auto"/>
              <w:bottom w:val="single" w:sz="4" w:space="0" w:color="auto"/>
              <w:right w:val="single" w:sz="18" w:space="0" w:color="auto"/>
            </w:tcBorders>
            <w:shd w:val="clear" w:color="auto" w:fill="auto"/>
            <w:noWrap/>
            <w:hideMark/>
          </w:tcPr>
          <w:p w:rsidR="00BA4035" w:rsidRPr="00D621BB" w:rsidRDefault="00BA4035" w:rsidP="00DF02AA">
            <w:pPr>
              <w:rPr>
                <w:rFonts w:ascii="Arial" w:hAnsi="Arial" w:cs="Arial"/>
                <w:color w:val="000000"/>
                <w:sz w:val="20"/>
                <w:szCs w:val="20"/>
                <w:lang w:eastAsia="en-AU"/>
              </w:rPr>
            </w:pPr>
            <w:r w:rsidRPr="00D621BB">
              <w:rPr>
                <w:rFonts w:ascii="Arial" w:hAnsi="Arial" w:cs="Arial"/>
                <w:color w:val="000000"/>
                <w:sz w:val="20"/>
                <w:szCs w:val="20"/>
                <w:lang w:eastAsia="en-AU"/>
              </w:rPr>
              <w:t> </w:t>
            </w:r>
          </w:p>
        </w:tc>
      </w:tr>
      <w:tr w:rsidR="00BA4035" w:rsidRPr="00D621BB" w:rsidTr="00DF02AA">
        <w:trPr>
          <w:cantSplit/>
          <w:trHeight w:val="300"/>
        </w:trPr>
        <w:tc>
          <w:tcPr>
            <w:tcW w:w="2425" w:type="dxa"/>
            <w:vMerge/>
            <w:tcBorders>
              <w:left w:val="single" w:sz="18" w:space="0" w:color="auto"/>
              <w:right w:val="single" w:sz="18" w:space="0" w:color="auto"/>
            </w:tcBorders>
            <w:vAlign w:val="center"/>
            <w:hideMark/>
          </w:tcPr>
          <w:p w:rsidR="00BA4035" w:rsidRPr="00D621BB" w:rsidRDefault="00BA4035" w:rsidP="00DF02AA">
            <w:pPr>
              <w:rPr>
                <w:rFonts w:ascii="Arial" w:hAnsi="Arial" w:cs="Arial"/>
                <w:color w:val="000000"/>
                <w:sz w:val="20"/>
                <w:szCs w:val="20"/>
                <w:lang w:eastAsia="en-AU"/>
              </w:rPr>
            </w:pPr>
          </w:p>
        </w:tc>
        <w:tc>
          <w:tcPr>
            <w:tcW w:w="2976" w:type="dxa"/>
            <w:tcBorders>
              <w:top w:val="single" w:sz="4" w:space="0" w:color="auto"/>
              <w:left w:val="single" w:sz="18" w:space="0" w:color="auto"/>
              <w:bottom w:val="single" w:sz="4" w:space="0" w:color="auto"/>
              <w:right w:val="single" w:sz="18" w:space="0" w:color="auto"/>
            </w:tcBorders>
            <w:shd w:val="clear" w:color="auto" w:fill="auto"/>
            <w:noWrap/>
            <w:hideMark/>
          </w:tcPr>
          <w:p w:rsidR="00BA4035" w:rsidRPr="00D621BB" w:rsidRDefault="00BA4035" w:rsidP="00DF02AA">
            <w:pPr>
              <w:rPr>
                <w:rFonts w:ascii="Arial" w:eastAsia="Arial" w:hAnsi="Arial" w:cs="Arial"/>
                <w:color w:val="000000"/>
                <w:sz w:val="20"/>
                <w:szCs w:val="20"/>
                <w:lang w:eastAsia="en-AU"/>
              </w:rPr>
            </w:pPr>
            <w:proofErr w:type="spellStart"/>
            <w:r w:rsidRPr="00D621BB">
              <w:rPr>
                <w:rFonts w:ascii="Arial" w:eastAsia="Arial" w:hAnsi="Arial" w:cs="Arial"/>
                <w:color w:val="000000"/>
                <w:sz w:val="20"/>
                <w:szCs w:val="20"/>
                <w:lang w:eastAsia="en-AU"/>
              </w:rPr>
              <w:t>Trican</w:t>
            </w:r>
            <w:proofErr w:type="spellEnd"/>
            <w:r w:rsidRPr="00D621BB">
              <w:rPr>
                <w:rFonts w:ascii="Arial" w:eastAsia="Arial" w:hAnsi="Arial" w:cs="Arial"/>
                <w:color w:val="000000"/>
                <w:sz w:val="20"/>
                <w:szCs w:val="20"/>
                <w:lang w:eastAsia="en-AU"/>
              </w:rPr>
              <w:t xml:space="preserve"> Well Services</w:t>
            </w:r>
          </w:p>
        </w:tc>
        <w:tc>
          <w:tcPr>
            <w:tcW w:w="1560" w:type="dxa"/>
            <w:tcBorders>
              <w:top w:val="single" w:sz="4" w:space="0" w:color="auto"/>
              <w:left w:val="single" w:sz="18" w:space="0" w:color="auto"/>
              <w:bottom w:val="single" w:sz="4" w:space="0" w:color="auto"/>
              <w:right w:val="single" w:sz="18" w:space="0" w:color="auto"/>
            </w:tcBorders>
          </w:tcPr>
          <w:p w:rsidR="00BA4035" w:rsidRPr="00D621BB" w:rsidRDefault="00BA4035" w:rsidP="00DF02AA">
            <w:pPr>
              <w:rPr>
                <w:rFonts w:ascii="Arial" w:hAnsi="Arial" w:cs="Arial"/>
                <w:color w:val="000000"/>
                <w:sz w:val="20"/>
                <w:szCs w:val="20"/>
                <w:lang w:eastAsia="en-AU"/>
              </w:rPr>
            </w:pPr>
            <w:r>
              <w:rPr>
                <w:rFonts w:ascii="Arial" w:hAnsi="Arial" w:cs="Arial"/>
                <w:color w:val="000000"/>
                <w:sz w:val="20"/>
                <w:szCs w:val="20"/>
                <w:lang w:eastAsia="en-AU"/>
              </w:rPr>
              <w:t>Yes</w:t>
            </w:r>
          </w:p>
        </w:tc>
        <w:tc>
          <w:tcPr>
            <w:tcW w:w="1208" w:type="dxa"/>
            <w:tcBorders>
              <w:top w:val="single" w:sz="4" w:space="0" w:color="auto"/>
              <w:left w:val="single" w:sz="18" w:space="0" w:color="auto"/>
              <w:bottom w:val="single" w:sz="4" w:space="0" w:color="auto"/>
              <w:right w:val="single" w:sz="18" w:space="0" w:color="auto"/>
            </w:tcBorders>
          </w:tcPr>
          <w:p w:rsidR="00BA4035" w:rsidRPr="00D621BB" w:rsidRDefault="00BA4035" w:rsidP="00DF02AA">
            <w:pPr>
              <w:rPr>
                <w:rFonts w:ascii="Arial" w:hAnsi="Arial" w:cs="Arial"/>
                <w:color w:val="000000"/>
                <w:sz w:val="20"/>
                <w:szCs w:val="20"/>
                <w:lang w:eastAsia="en-AU"/>
              </w:rPr>
            </w:pPr>
            <w:r>
              <w:rPr>
                <w:rFonts w:ascii="Arial" w:hAnsi="Arial" w:cs="Arial"/>
                <w:color w:val="000000"/>
                <w:sz w:val="20"/>
                <w:szCs w:val="20"/>
                <w:lang w:eastAsia="en-AU"/>
              </w:rPr>
              <w:t>No</w:t>
            </w:r>
          </w:p>
        </w:tc>
        <w:tc>
          <w:tcPr>
            <w:tcW w:w="5671" w:type="dxa"/>
            <w:tcBorders>
              <w:top w:val="single" w:sz="4" w:space="0" w:color="auto"/>
              <w:left w:val="single" w:sz="18" w:space="0" w:color="auto"/>
              <w:bottom w:val="single" w:sz="4" w:space="0" w:color="auto"/>
              <w:right w:val="single" w:sz="18" w:space="0" w:color="auto"/>
            </w:tcBorders>
            <w:shd w:val="clear" w:color="auto" w:fill="auto"/>
            <w:noWrap/>
            <w:hideMark/>
          </w:tcPr>
          <w:p w:rsidR="00BA4035" w:rsidRPr="00D621BB" w:rsidRDefault="00BA4035" w:rsidP="00DF02AA">
            <w:pPr>
              <w:rPr>
                <w:rFonts w:ascii="Arial" w:hAnsi="Arial" w:cs="Arial"/>
                <w:color w:val="000000"/>
                <w:sz w:val="20"/>
                <w:szCs w:val="20"/>
                <w:lang w:eastAsia="en-AU"/>
              </w:rPr>
            </w:pPr>
            <w:r w:rsidRPr="00D621BB">
              <w:rPr>
                <w:rFonts w:ascii="Arial" w:hAnsi="Arial" w:cs="Arial"/>
                <w:color w:val="000000"/>
                <w:sz w:val="20"/>
                <w:szCs w:val="20"/>
                <w:lang w:eastAsia="en-AU"/>
              </w:rPr>
              <w:t> </w:t>
            </w:r>
          </w:p>
        </w:tc>
      </w:tr>
      <w:tr w:rsidR="00BA4035" w:rsidRPr="00D621BB" w:rsidTr="00DF02AA">
        <w:trPr>
          <w:cantSplit/>
          <w:trHeight w:val="300"/>
        </w:trPr>
        <w:tc>
          <w:tcPr>
            <w:tcW w:w="2425" w:type="dxa"/>
            <w:vMerge/>
            <w:tcBorders>
              <w:left w:val="single" w:sz="18" w:space="0" w:color="auto"/>
              <w:right w:val="single" w:sz="18" w:space="0" w:color="auto"/>
            </w:tcBorders>
            <w:vAlign w:val="center"/>
            <w:hideMark/>
          </w:tcPr>
          <w:p w:rsidR="00BA4035" w:rsidRPr="00D621BB" w:rsidRDefault="00BA4035" w:rsidP="00DF02AA">
            <w:pPr>
              <w:rPr>
                <w:rFonts w:ascii="Arial" w:hAnsi="Arial" w:cs="Arial"/>
                <w:color w:val="000000"/>
                <w:sz w:val="20"/>
                <w:szCs w:val="20"/>
                <w:lang w:eastAsia="en-AU"/>
              </w:rPr>
            </w:pPr>
          </w:p>
        </w:tc>
        <w:tc>
          <w:tcPr>
            <w:tcW w:w="2976" w:type="dxa"/>
            <w:tcBorders>
              <w:top w:val="single" w:sz="4" w:space="0" w:color="auto"/>
              <w:left w:val="single" w:sz="18" w:space="0" w:color="auto"/>
              <w:bottom w:val="single" w:sz="4" w:space="0" w:color="auto"/>
              <w:right w:val="single" w:sz="18" w:space="0" w:color="auto"/>
            </w:tcBorders>
            <w:shd w:val="clear" w:color="auto" w:fill="auto"/>
            <w:noWrap/>
            <w:hideMark/>
          </w:tcPr>
          <w:p w:rsidR="00BA4035" w:rsidRPr="00D621BB" w:rsidRDefault="00BA4035" w:rsidP="00DF02AA">
            <w:pPr>
              <w:rPr>
                <w:rFonts w:ascii="Arial" w:eastAsia="Arial" w:hAnsi="Arial" w:cs="Arial"/>
                <w:color w:val="000000"/>
                <w:sz w:val="20"/>
                <w:szCs w:val="20"/>
                <w:lang w:eastAsia="en-AU"/>
              </w:rPr>
            </w:pPr>
            <w:r w:rsidRPr="00D621BB">
              <w:rPr>
                <w:rFonts w:ascii="Arial" w:eastAsia="Arial" w:hAnsi="Arial" w:cs="Arial"/>
                <w:color w:val="000000"/>
                <w:sz w:val="20"/>
                <w:szCs w:val="20"/>
                <w:lang w:eastAsia="en-AU"/>
              </w:rPr>
              <w:t>Sirius</w:t>
            </w:r>
            <w:r>
              <w:rPr>
                <w:rFonts w:ascii="Arial" w:eastAsia="Arial" w:hAnsi="Arial" w:cs="Arial"/>
                <w:color w:val="000000"/>
                <w:sz w:val="20"/>
                <w:szCs w:val="20"/>
                <w:lang w:eastAsia="en-AU"/>
              </w:rPr>
              <w:t xml:space="preserve"> Well</w:t>
            </w:r>
            <w:r w:rsidRPr="00D621BB">
              <w:rPr>
                <w:rFonts w:ascii="Arial" w:eastAsia="Arial" w:hAnsi="Arial" w:cs="Arial"/>
                <w:color w:val="000000"/>
                <w:sz w:val="20"/>
                <w:szCs w:val="20"/>
                <w:lang w:eastAsia="en-AU"/>
              </w:rPr>
              <w:t xml:space="preserve"> Manufacturing Services</w:t>
            </w:r>
          </w:p>
        </w:tc>
        <w:tc>
          <w:tcPr>
            <w:tcW w:w="1560" w:type="dxa"/>
            <w:tcBorders>
              <w:top w:val="single" w:sz="4" w:space="0" w:color="auto"/>
              <w:left w:val="single" w:sz="18" w:space="0" w:color="auto"/>
              <w:bottom w:val="single" w:sz="4" w:space="0" w:color="auto"/>
              <w:right w:val="single" w:sz="18" w:space="0" w:color="auto"/>
            </w:tcBorders>
          </w:tcPr>
          <w:p w:rsidR="00BA4035" w:rsidRPr="00D621BB" w:rsidRDefault="00BA4035" w:rsidP="00DF02AA">
            <w:pPr>
              <w:rPr>
                <w:rFonts w:ascii="Arial" w:hAnsi="Arial" w:cs="Arial"/>
                <w:color w:val="000000"/>
                <w:sz w:val="20"/>
                <w:szCs w:val="20"/>
                <w:lang w:eastAsia="en-AU"/>
              </w:rPr>
            </w:pPr>
            <w:r>
              <w:rPr>
                <w:rFonts w:ascii="Arial" w:hAnsi="Arial" w:cs="Arial"/>
                <w:color w:val="000000"/>
                <w:sz w:val="20"/>
                <w:szCs w:val="20"/>
                <w:lang w:eastAsia="en-AU"/>
              </w:rPr>
              <w:t>Yes</w:t>
            </w:r>
          </w:p>
        </w:tc>
        <w:tc>
          <w:tcPr>
            <w:tcW w:w="1208" w:type="dxa"/>
            <w:tcBorders>
              <w:top w:val="single" w:sz="4" w:space="0" w:color="auto"/>
              <w:left w:val="single" w:sz="18" w:space="0" w:color="auto"/>
              <w:bottom w:val="single" w:sz="4" w:space="0" w:color="auto"/>
              <w:right w:val="single" w:sz="18" w:space="0" w:color="auto"/>
            </w:tcBorders>
          </w:tcPr>
          <w:p w:rsidR="00BA4035" w:rsidRPr="00D621BB" w:rsidRDefault="00BA4035" w:rsidP="00DF02AA">
            <w:pPr>
              <w:rPr>
                <w:rFonts w:ascii="Arial" w:hAnsi="Arial" w:cs="Arial"/>
                <w:color w:val="000000"/>
                <w:sz w:val="20"/>
                <w:szCs w:val="20"/>
                <w:lang w:eastAsia="en-AU"/>
              </w:rPr>
            </w:pPr>
            <w:r>
              <w:rPr>
                <w:rFonts w:ascii="Arial" w:hAnsi="Arial" w:cs="Arial"/>
                <w:color w:val="000000"/>
                <w:sz w:val="20"/>
                <w:szCs w:val="20"/>
                <w:lang w:eastAsia="en-AU"/>
              </w:rPr>
              <w:t>No</w:t>
            </w:r>
          </w:p>
        </w:tc>
        <w:tc>
          <w:tcPr>
            <w:tcW w:w="5671" w:type="dxa"/>
            <w:tcBorders>
              <w:top w:val="single" w:sz="4" w:space="0" w:color="auto"/>
              <w:left w:val="single" w:sz="18" w:space="0" w:color="auto"/>
              <w:bottom w:val="single" w:sz="4" w:space="0" w:color="auto"/>
              <w:right w:val="single" w:sz="18" w:space="0" w:color="auto"/>
            </w:tcBorders>
            <w:shd w:val="clear" w:color="auto" w:fill="auto"/>
            <w:noWrap/>
            <w:hideMark/>
          </w:tcPr>
          <w:p w:rsidR="00BA4035" w:rsidRPr="00D621BB" w:rsidRDefault="00BA4035" w:rsidP="00DF02AA">
            <w:pPr>
              <w:rPr>
                <w:rFonts w:ascii="Arial" w:hAnsi="Arial" w:cs="Arial"/>
                <w:color w:val="000000"/>
                <w:sz w:val="20"/>
                <w:szCs w:val="20"/>
                <w:lang w:eastAsia="en-AU"/>
              </w:rPr>
            </w:pPr>
            <w:r w:rsidRPr="00D621BB">
              <w:rPr>
                <w:rFonts w:ascii="Arial" w:hAnsi="Arial" w:cs="Arial"/>
                <w:color w:val="000000"/>
                <w:sz w:val="20"/>
                <w:szCs w:val="20"/>
                <w:lang w:eastAsia="en-AU"/>
              </w:rPr>
              <w:t> </w:t>
            </w:r>
          </w:p>
        </w:tc>
      </w:tr>
      <w:tr w:rsidR="00BA4035" w:rsidRPr="00D621BB" w:rsidTr="00DF02AA">
        <w:trPr>
          <w:cantSplit/>
          <w:trHeight w:val="300"/>
        </w:trPr>
        <w:tc>
          <w:tcPr>
            <w:tcW w:w="2425" w:type="dxa"/>
            <w:vMerge/>
            <w:tcBorders>
              <w:left w:val="single" w:sz="18" w:space="0" w:color="auto"/>
              <w:right w:val="single" w:sz="18" w:space="0" w:color="auto"/>
            </w:tcBorders>
            <w:vAlign w:val="center"/>
            <w:hideMark/>
          </w:tcPr>
          <w:p w:rsidR="00BA4035" w:rsidRPr="00D621BB" w:rsidRDefault="00BA4035" w:rsidP="00DF02AA">
            <w:pPr>
              <w:rPr>
                <w:rFonts w:ascii="Arial" w:hAnsi="Arial" w:cs="Arial"/>
                <w:color w:val="000000"/>
                <w:sz w:val="20"/>
                <w:szCs w:val="20"/>
                <w:lang w:eastAsia="en-AU"/>
              </w:rPr>
            </w:pPr>
          </w:p>
        </w:tc>
        <w:tc>
          <w:tcPr>
            <w:tcW w:w="2976" w:type="dxa"/>
            <w:tcBorders>
              <w:top w:val="single" w:sz="4" w:space="0" w:color="auto"/>
              <w:left w:val="single" w:sz="18" w:space="0" w:color="auto"/>
              <w:bottom w:val="single" w:sz="4" w:space="0" w:color="auto"/>
              <w:right w:val="single" w:sz="18" w:space="0" w:color="auto"/>
            </w:tcBorders>
            <w:shd w:val="clear" w:color="auto" w:fill="auto"/>
            <w:noWrap/>
            <w:hideMark/>
          </w:tcPr>
          <w:p w:rsidR="00BA4035" w:rsidRPr="00D621BB" w:rsidRDefault="00BA4035" w:rsidP="00DF02AA">
            <w:pPr>
              <w:rPr>
                <w:rFonts w:ascii="Arial" w:eastAsia="Arial" w:hAnsi="Arial" w:cs="Arial"/>
                <w:color w:val="000000"/>
                <w:sz w:val="20"/>
                <w:szCs w:val="20"/>
                <w:lang w:eastAsia="en-AU"/>
              </w:rPr>
            </w:pPr>
            <w:proofErr w:type="spellStart"/>
            <w:r w:rsidRPr="00D621BB">
              <w:rPr>
                <w:rFonts w:ascii="Arial" w:eastAsia="Arial" w:hAnsi="Arial" w:cs="Arial"/>
                <w:color w:val="000000"/>
                <w:sz w:val="20"/>
                <w:szCs w:val="20"/>
                <w:lang w:eastAsia="en-AU"/>
              </w:rPr>
              <w:t>TopCo</w:t>
            </w:r>
            <w:proofErr w:type="spellEnd"/>
          </w:p>
        </w:tc>
        <w:tc>
          <w:tcPr>
            <w:tcW w:w="1560" w:type="dxa"/>
            <w:tcBorders>
              <w:top w:val="single" w:sz="4" w:space="0" w:color="auto"/>
              <w:left w:val="single" w:sz="18" w:space="0" w:color="auto"/>
              <w:bottom w:val="single" w:sz="4" w:space="0" w:color="auto"/>
              <w:right w:val="single" w:sz="18" w:space="0" w:color="auto"/>
            </w:tcBorders>
          </w:tcPr>
          <w:p w:rsidR="00BA4035" w:rsidRPr="00D621BB" w:rsidRDefault="00BA4035" w:rsidP="00DF02AA">
            <w:pPr>
              <w:rPr>
                <w:rFonts w:ascii="Arial" w:hAnsi="Arial" w:cs="Arial"/>
                <w:color w:val="000000"/>
                <w:sz w:val="20"/>
                <w:szCs w:val="20"/>
                <w:lang w:eastAsia="en-AU"/>
              </w:rPr>
            </w:pPr>
            <w:r>
              <w:rPr>
                <w:rFonts w:ascii="Arial" w:hAnsi="Arial" w:cs="Arial"/>
                <w:color w:val="000000"/>
                <w:sz w:val="20"/>
                <w:szCs w:val="20"/>
                <w:lang w:eastAsia="en-AU"/>
              </w:rPr>
              <w:t>Yes</w:t>
            </w:r>
          </w:p>
        </w:tc>
        <w:tc>
          <w:tcPr>
            <w:tcW w:w="1208" w:type="dxa"/>
            <w:tcBorders>
              <w:top w:val="single" w:sz="4" w:space="0" w:color="auto"/>
              <w:left w:val="single" w:sz="18" w:space="0" w:color="auto"/>
              <w:bottom w:val="single" w:sz="4" w:space="0" w:color="auto"/>
              <w:right w:val="single" w:sz="18" w:space="0" w:color="auto"/>
            </w:tcBorders>
          </w:tcPr>
          <w:p w:rsidR="00BA4035" w:rsidRPr="00D621BB" w:rsidRDefault="00BA4035" w:rsidP="00DF02AA">
            <w:pPr>
              <w:rPr>
                <w:rFonts w:ascii="Arial" w:hAnsi="Arial" w:cs="Arial"/>
                <w:color w:val="000000"/>
                <w:sz w:val="20"/>
                <w:szCs w:val="20"/>
                <w:lang w:eastAsia="en-AU"/>
              </w:rPr>
            </w:pPr>
            <w:r>
              <w:rPr>
                <w:rFonts w:ascii="Arial" w:hAnsi="Arial" w:cs="Arial"/>
                <w:color w:val="000000"/>
                <w:sz w:val="20"/>
                <w:szCs w:val="20"/>
                <w:lang w:eastAsia="en-AU"/>
              </w:rPr>
              <w:t>No</w:t>
            </w:r>
          </w:p>
        </w:tc>
        <w:tc>
          <w:tcPr>
            <w:tcW w:w="5671" w:type="dxa"/>
            <w:tcBorders>
              <w:top w:val="single" w:sz="4" w:space="0" w:color="auto"/>
              <w:left w:val="single" w:sz="18" w:space="0" w:color="auto"/>
              <w:bottom w:val="single" w:sz="4" w:space="0" w:color="auto"/>
              <w:right w:val="single" w:sz="18" w:space="0" w:color="auto"/>
            </w:tcBorders>
            <w:shd w:val="clear" w:color="auto" w:fill="auto"/>
            <w:noWrap/>
            <w:hideMark/>
          </w:tcPr>
          <w:p w:rsidR="00BA4035" w:rsidRPr="00D621BB" w:rsidRDefault="00BA4035" w:rsidP="00DF02AA">
            <w:pPr>
              <w:rPr>
                <w:rFonts w:ascii="Arial" w:hAnsi="Arial" w:cs="Arial"/>
                <w:color w:val="000000"/>
                <w:sz w:val="20"/>
                <w:szCs w:val="20"/>
                <w:lang w:eastAsia="en-AU"/>
              </w:rPr>
            </w:pPr>
            <w:r w:rsidRPr="00D621BB">
              <w:rPr>
                <w:rFonts w:ascii="Arial" w:hAnsi="Arial" w:cs="Arial"/>
                <w:color w:val="000000"/>
                <w:sz w:val="20"/>
                <w:szCs w:val="20"/>
                <w:lang w:eastAsia="en-AU"/>
              </w:rPr>
              <w:t> </w:t>
            </w:r>
          </w:p>
        </w:tc>
      </w:tr>
      <w:tr w:rsidR="00BA4035" w:rsidRPr="00D621BB" w:rsidTr="00DF02AA">
        <w:trPr>
          <w:cantSplit/>
          <w:trHeight w:val="300"/>
        </w:trPr>
        <w:tc>
          <w:tcPr>
            <w:tcW w:w="2425" w:type="dxa"/>
            <w:vMerge/>
            <w:tcBorders>
              <w:left w:val="single" w:sz="18" w:space="0" w:color="auto"/>
              <w:bottom w:val="single" w:sz="18" w:space="0" w:color="auto"/>
              <w:right w:val="single" w:sz="18" w:space="0" w:color="auto"/>
            </w:tcBorders>
            <w:vAlign w:val="center"/>
            <w:hideMark/>
          </w:tcPr>
          <w:p w:rsidR="00BA4035" w:rsidRPr="00D621BB" w:rsidRDefault="00BA4035" w:rsidP="00DF02AA">
            <w:pPr>
              <w:rPr>
                <w:rFonts w:ascii="Arial" w:hAnsi="Arial" w:cs="Arial"/>
                <w:color w:val="000000"/>
                <w:sz w:val="20"/>
                <w:szCs w:val="20"/>
                <w:lang w:eastAsia="en-AU"/>
              </w:rPr>
            </w:pPr>
          </w:p>
        </w:tc>
        <w:tc>
          <w:tcPr>
            <w:tcW w:w="2976" w:type="dxa"/>
            <w:tcBorders>
              <w:top w:val="single" w:sz="4" w:space="0" w:color="auto"/>
              <w:left w:val="single" w:sz="18" w:space="0" w:color="auto"/>
              <w:bottom w:val="single" w:sz="18" w:space="0" w:color="auto"/>
              <w:right w:val="single" w:sz="18" w:space="0" w:color="auto"/>
            </w:tcBorders>
            <w:shd w:val="clear" w:color="auto" w:fill="auto"/>
            <w:noWrap/>
            <w:hideMark/>
          </w:tcPr>
          <w:p w:rsidR="00BA4035" w:rsidRPr="00D621BB" w:rsidRDefault="00BA4035" w:rsidP="00DF02AA">
            <w:pPr>
              <w:rPr>
                <w:rFonts w:ascii="Arial" w:eastAsia="Arial" w:hAnsi="Arial" w:cs="Arial"/>
                <w:color w:val="000000"/>
                <w:sz w:val="20"/>
                <w:szCs w:val="20"/>
                <w:lang w:eastAsia="en-AU"/>
              </w:rPr>
            </w:pPr>
            <w:r w:rsidRPr="00D621BB">
              <w:rPr>
                <w:rFonts w:ascii="Arial" w:eastAsia="Arial" w:hAnsi="Arial" w:cs="Arial"/>
                <w:color w:val="000000"/>
                <w:sz w:val="20"/>
                <w:szCs w:val="20"/>
                <w:lang w:eastAsia="en-AU"/>
              </w:rPr>
              <w:t>Superior Energy Services</w:t>
            </w:r>
          </w:p>
        </w:tc>
        <w:tc>
          <w:tcPr>
            <w:tcW w:w="1560" w:type="dxa"/>
            <w:tcBorders>
              <w:top w:val="single" w:sz="4" w:space="0" w:color="auto"/>
              <w:left w:val="single" w:sz="18" w:space="0" w:color="auto"/>
              <w:bottom w:val="single" w:sz="18" w:space="0" w:color="auto"/>
              <w:right w:val="single" w:sz="18" w:space="0" w:color="auto"/>
            </w:tcBorders>
          </w:tcPr>
          <w:p w:rsidR="00BA4035" w:rsidRPr="00D621BB" w:rsidRDefault="00BA4035" w:rsidP="00DF02AA">
            <w:pPr>
              <w:rPr>
                <w:rFonts w:ascii="Arial" w:hAnsi="Arial" w:cs="Arial"/>
                <w:color w:val="000000"/>
                <w:sz w:val="20"/>
                <w:szCs w:val="20"/>
                <w:lang w:eastAsia="en-AU"/>
              </w:rPr>
            </w:pPr>
            <w:r>
              <w:rPr>
                <w:rFonts w:ascii="Arial" w:hAnsi="Arial" w:cs="Arial"/>
                <w:color w:val="000000"/>
                <w:sz w:val="20"/>
                <w:szCs w:val="20"/>
                <w:lang w:eastAsia="en-AU"/>
              </w:rPr>
              <w:t>Yes</w:t>
            </w:r>
          </w:p>
        </w:tc>
        <w:tc>
          <w:tcPr>
            <w:tcW w:w="1208" w:type="dxa"/>
            <w:tcBorders>
              <w:top w:val="single" w:sz="4" w:space="0" w:color="auto"/>
              <w:left w:val="single" w:sz="18" w:space="0" w:color="auto"/>
              <w:bottom w:val="single" w:sz="18" w:space="0" w:color="auto"/>
              <w:right w:val="single" w:sz="18" w:space="0" w:color="auto"/>
            </w:tcBorders>
          </w:tcPr>
          <w:p w:rsidR="00BA4035" w:rsidRPr="00D621BB" w:rsidRDefault="00BA4035" w:rsidP="00DF02AA">
            <w:pPr>
              <w:rPr>
                <w:rFonts w:ascii="Arial" w:hAnsi="Arial" w:cs="Arial"/>
                <w:color w:val="000000"/>
                <w:sz w:val="20"/>
                <w:szCs w:val="20"/>
                <w:lang w:eastAsia="en-AU"/>
              </w:rPr>
            </w:pPr>
            <w:r>
              <w:rPr>
                <w:rFonts w:ascii="Arial" w:hAnsi="Arial" w:cs="Arial"/>
                <w:color w:val="000000"/>
                <w:sz w:val="20"/>
                <w:szCs w:val="20"/>
                <w:lang w:eastAsia="en-AU"/>
              </w:rPr>
              <w:t>No</w:t>
            </w:r>
          </w:p>
        </w:tc>
        <w:tc>
          <w:tcPr>
            <w:tcW w:w="5671" w:type="dxa"/>
            <w:tcBorders>
              <w:top w:val="single" w:sz="4" w:space="0" w:color="auto"/>
              <w:left w:val="single" w:sz="18" w:space="0" w:color="auto"/>
              <w:bottom w:val="single" w:sz="18" w:space="0" w:color="auto"/>
              <w:right w:val="single" w:sz="18" w:space="0" w:color="auto"/>
            </w:tcBorders>
            <w:shd w:val="clear" w:color="auto" w:fill="auto"/>
            <w:noWrap/>
            <w:hideMark/>
          </w:tcPr>
          <w:p w:rsidR="00BA4035" w:rsidRPr="00D621BB" w:rsidRDefault="00BA4035" w:rsidP="00DF02AA">
            <w:pPr>
              <w:rPr>
                <w:rFonts w:ascii="Arial" w:hAnsi="Arial" w:cs="Arial"/>
                <w:color w:val="000000"/>
                <w:sz w:val="20"/>
                <w:szCs w:val="20"/>
                <w:lang w:eastAsia="en-AU"/>
              </w:rPr>
            </w:pPr>
            <w:r w:rsidRPr="00D621BB">
              <w:rPr>
                <w:rFonts w:ascii="Arial" w:hAnsi="Arial" w:cs="Arial"/>
                <w:color w:val="000000"/>
                <w:sz w:val="20"/>
                <w:szCs w:val="20"/>
                <w:lang w:eastAsia="en-AU"/>
              </w:rPr>
              <w:t> </w:t>
            </w:r>
          </w:p>
        </w:tc>
      </w:tr>
      <w:tr w:rsidR="00BA4035" w:rsidRPr="00D621BB" w:rsidTr="00DF02AA">
        <w:trPr>
          <w:cantSplit/>
          <w:trHeight w:val="300"/>
        </w:trPr>
        <w:tc>
          <w:tcPr>
            <w:tcW w:w="2425" w:type="dxa"/>
            <w:vMerge w:val="restart"/>
            <w:tcBorders>
              <w:top w:val="single" w:sz="18" w:space="0" w:color="auto"/>
              <w:left w:val="single" w:sz="18" w:space="0" w:color="auto"/>
              <w:right w:val="single" w:sz="18" w:space="0" w:color="auto"/>
            </w:tcBorders>
            <w:shd w:val="clear" w:color="auto" w:fill="auto"/>
            <w:noWrap/>
          </w:tcPr>
          <w:p w:rsidR="00BA4035" w:rsidRDefault="00BA4035" w:rsidP="00DF02AA">
            <w:pPr>
              <w:keepNext/>
              <w:rPr>
                <w:rFonts w:ascii="Arial" w:hAnsi="Arial" w:cs="Arial"/>
                <w:color w:val="000000"/>
                <w:sz w:val="20"/>
                <w:szCs w:val="20"/>
                <w:lang w:eastAsia="en-AU"/>
              </w:rPr>
            </w:pPr>
            <w:r w:rsidRPr="00D621BB">
              <w:rPr>
                <w:rFonts w:ascii="Arial" w:hAnsi="Arial" w:cs="Arial"/>
                <w:color w:val="000000"/>
                <w:sz w:val="20"/>
                <w:szCs w:val="20"/>
                <w:lang w:eastAsia="en-AU"/>
              </w:rPr>
              <w:lastRenderedPageBreak/>
              <w:t>Completions</w:t>
            </w:r>
          </w:p>
          <w:p w:rsidR="00C01999" w:rsidRDefault="00C01999" w:rsidP="00DF02AA">
            <w:pPr>
              <w:keepNext/>
              <w:rPr>
                <w:rFonts w:ascii="Arial" w:hAnsi="Arial" w:cs="Arial"/>
                <w:color w:val="000000"/>
                <w:sz w:val="20"/>
                <w:szCs w:val="20"/>
                <w:lang w:eastAsia="en-AU"/>
              </w:rPr>
            </w:pPr>
          </w:p>
          <w:p w:rsidR="000A41BF" w:rsidRDefault="000A41BF">
            <w:pPr>
              <w:keepNext/>
              <w:rPr>
                <w:rFonts w:ascii="Arial" w:hAnsi="Arial" w:cs="Arial"/>
                <w:color w:val="000000"/>
                <w:sz w:val="20"/>
                <w:szCs w:val="20"/>
                <w:lang w:eastAsia="en-AU"/>
              </w:rPr>
            </w:pPr>
            <w:r>
              <w:rPr>
                <w:rFonts w:ascii="Arial" w:hAnsi="Arial" w:cs="Arial"/>
                <w:color w:val="000000"/>
                <w:sz w:val="20"/>
                <w:szCs w:val="20"/>
                <w:lang w:eastAsia="en-AU"/>
              </w:rPr>
              <w:t>(</w:t>
            </w:r>
            <w:r w:rsidR="00E76ACF">
              <w:rPr>
                <w:rFonts w:ascii="Arial" w:hAnsi="Arial" w:cs="Arial"/>
                <w:color w:val="000000"/>
                <w:sz w:val="20"/>
                <w:szCs w:val="20"/>
                <w:lang w:eastAsia="en-AU"/>
              </w:rPr>
              <w:t>combines</w:t>
            </w:r>
            <w:r>
              <w:rPr>
                <w:rFonts w:ascii="Arial" w:hAnsi="Arial" w:cs="Arial"/>
                <w:color w:val="000000"/>
                <w:sz w:val="20"/>
                <w:szCs w:val="20"/>
                <w:lang w:eastAsia="en-AU"/>
              </w:rPr>
              <w:t xml:space="preserve">: </w:t>
            </w:r>
          </w:p>
          <w:p w:rsidR="000A41BF" w:rsidRDefault="000A41BF">
            <w:pPr>
              <w:keepNext/>
              <w:rPr>
                <w:rFonts w:ascii="Arial" w:hAnsi="Arial" w:cs="Arial"/>
                <w:color w:val="000000"/>
                <w:sz w:val="20"/>
                <w:szCs w:val="20"/>
                <w:lang w:eastAsia="en-AU"/>
              </w:rPr>
            </w:pPr>
            <w:r>
              <w:rPr>
                <w:rFonts w:ascii="Arial" w:hAnsi="Arial" w:cs="Arial"/>
                <w:color w:val="000000"/>
                <w:sz w:val="20"/>
                <w:szCs w:val="20"/>
                <w:lang w:eastAsia="en-AU"/>
              </w:rPr>
              <w:t xml:space="preserve">well construction </w:t>
            </w:r>
          </w:p>
          <w:p w:rsidR="000A41BF" w:rsidRDefault="000A41BF">
            <w:pPr>
              <w:keepNext/>
              <w:rPr>
                <w:rFonts w:ascii="Arial" w:hAnsi="Arial" w:cs="Arial"/>
                <w:color w:val="000000"/>
                <w:sz w:val="20"/>
                <w:szCs w:val="20"/>
                <w:lang w:eastAsia="en-AU"/>
              </w:rPr>
            </w:pPr>
            <w:r>
              <w:rPr>
                <w:rFonts w:ascii="Arial" w:hAnsi="Arial" w:cs="Arial"/>
                <w:color w:val="000000"/>
                <w:sz w:val="20"/>
                <w:szCs w:val="20"/>
                <w:lang w:eastAsia="en-AU"/>
              </w:rPr>
              <w:t>core completions</w:t>
            </w:r>
          </w:p>
          <w:p w:rsidR="000A41BF" w:rsidRDefault="000A41BF">
            <w:pPr>
              <w:keepNext/>
              <w:rPr>
                <w:rFonts w:ascii="Arial" w:hAnsi="Arial" w:cs="Arial"/>
                <w:color w:val="000000"/>
                <w:sz w:val="20"/>
                <w:szCs w:val="20"/>
                <w:lang w:eastAsia="en-AU"/>
              </w:rPr>
            </w:pPr>
            <w:r>
              <w:rPr>
                <w:rFonts w:ascii="Arial" w:hAnsi="Arial" w:cs="Arial"/>
                <w:color w:val="000000"/>
                <w:sz w:val="20"/>
                <w:szCs w:val="20"/>
                <w:lang w:eastAsia="en-AU"/>
              </w:rPr>
              <w:t>wellbore intervention</w:t>
            </w:r>
          </w:p>
          <w:p w:rsidR="000A41BF" w:rsidRPr="00D621BB" w:rsidRDefault="000A41BF">
            <w:pPr>
              <w:keepNext/>
              <w:rPr>
                <w:rFonts w:ascii="Arial" w:hAnsi="Arial" w:cs="Arial"/>
                <w:color w:val="000000"/>
                <w:sz w:val="20"/>
                <w:szCs w:val="20"/>
                <w:lang w:eastAsia="en-AU"/>
              </w:rPr>
            </w:pPr>
            <w:r>
              <w:rPr>
                <w:rFonts w:ascii="Arial" w:hAnsi="Arial" w:cs="Arial"/>
                <w:color w:val="000000"/>
                <w:sz w:val="20"/>
                <w:szCs w:val="20"/>
                <w:lang w:eastAsia="en-AU"/>
              </w:rPr>
              <w:t>multi-stage fracturing)</w:t>
            </w:r>
          </w:p>
        </w:tc>
        <w:tc>
          <w:tcPr>
            <w:tcW w:w="2976" w:type="dxa"/>
            <w:tcBorders>
              <w:top w:val="single" w:sz="18" w:space="0" w:color="auto"/>
              <w:left w:val="single" w:sz="18" w:space="0" w:color="auto"/>
              <w:bottom w:val="single" w:sz="4" w:space="0" w:color="auto"/>
              <w:right w:val="single" w:sz="18" w:space="0" w:color="auto"/>
            </w:tcBorders>
            <w:shd w:val="clear" w:color="auto" w:fill="auto"/>
            <w:noWrap/>
          </w:tcPr>
          <w:p w:rsidR="00BA4035" w:rsidRPr="00D621BB" w:rsidRDefault="00BA4035" w:rsidP="00DF02AA">
            <w:pPr>
              <w:rPr>
                <w:rFonts w:ascii="Arial" w:eastAsia="Arial" w:hAnsi="Arial" w:cs="Arial"/>
                <w:color w:val="000000"/>
                <w:sz w:val="20"/>
                <w:szCs w:val="20"/>
                <w:lang w:eastAsia="en-AU"/>
              </w:rPr>
            </w:pPr>
            <w:r>
              <w:rPr>
                <w:rFonts w:ascii="Arial" w:eastAsia="Arial" w:hAnsi="Arial" w:cs="Arial"/>
                <w:color w:val="000000"/>
                <w:sz w:val="20"/>
                <w:szCs w:val="20"/>
                <w:lang w:eastAsia="en-AU"/>
              </w:rPr>
              <w:t xml:space="preserve">Halliburton </w:t>
            </w:r>
          </w:p>
        </w:tc>
        <w:tc>
          <w:tcPr>
            <w:tcW w:w="1560" w:type="dxa"/>
            <w:tcBorders>
              <w:top w:val="single" w:sz="18" w:space="0" w:color="auto"/>
              <w:left w:val="single" w:sz="18" w:space="0" w:color="auto"/>
              <w:bottom w:val="single" w:sz="4" w:space="0" w:color="auto"/>
              <w:right w:val="single" w:sz="18" w:space="0" w:color="auto"/>
            </w:tcBorders>
          </w:tcPr>
          <w:p w:rsidR="00BA4035" w:rsidRPr="00D621BB" w:rsidRDefault="00BA4035" w:rsidP="00DF02AA">
            <w:pPr>
              <w:keepNext/>
              <w:rPr>
                <w:rFonts w:ascii="Arial" w:hAnsi="Arial" w:cs="Arial"/>
                <w:color w:val="000000"/>
                <w:sz w:val="20"/>
                <w:szCs w:val="20"/>
                <w:lang w:eastAsia="en-AU"/>
              </w:rPr>
            </w:pPr>
            <w:r>
              <w:rPr>
                <w:rFonts w:ascii="Arial" w:hAnsi="Arial" w:cs="Arial"/>
                <w:color w:val="000000"/>
                <w:sz w:val="20"/>
                <w:szCs w:val="20"/>
                <w:lang w:eastAsia="en-AU"/>
              </w:rPr>
              <w:t>Yes</w:t>
            </w:r>
          </w:p>
        </w:tc>
        <w:tc>
          <w:tcPr>
            <w:tcW w:w="1208" w:type="dxa"/>
            <w:tcBorders>
              <w:top w:val="single" w:sz="18" w:space="0" w:color="auto"/>
              <w:left w:val="single" w:sz="18" w:space="0" w:color="auto"/>
              <w:bottom w:val="single" w:sz="4" w:space="0" w:color="auto"/>
              <w:right w:val="single" w:sz="18" w:space="0" w:color="auto"/>
            </w:tcBorders>
          </w:tcPr>
          <w:p w:rsidR="00BA4035" w:rsidRPr="00D621BB" w:rsidRDefault="00BA4035" w:rsidP="00DF02AA">
            <w:pPr>
              <w:keepNext/>
              <w:rPr>
                <w:rFonts w:ascii="Arial" w:hAnsi="Arial" w:cs="Arial"/>
                <w:color w:val="000000"/>
                <w:sz w:val="20"/>
                <w:szCs w:val="20"/>
                <w:lang w:eastAsia="en-AU"/>
              </w:rPr>
            </w:pPr>
            <w:r>
              <w:rPr>
                <w:rFonts w:ascii="Arial" w:hAnsi="Arial" w:cs="Arial"/>
                <w:color w:val="000000"/>
                <w:sz w:val="20"/>
                <w:szCs w:val="20"/>
                <w:lang w:eastAsia="en-AU"/>
              </w:rPr>
              <w:t>Yes</w:t>
            </w:r>
          </w:p>
        </w:tc>
        <w:tc>
          <w:tcPr>
            <w:tcW w:w="5671" w:type="dxa"/>
            <w:tcBorders>
              <w:top w:val="single" w:sz="18" w:space="0" w:color="auto"/>
              <w:left w:val="single" w:sz="18" w:space="0" w:color="auto"/>
              <w:bottom w:val="single" w:sz="4" w:space="0" w:color="auto"/>
              <w:right w:val="single" w:sz="12" w:space="0" w:color="auto"/>
            </w:tcBorders>
            <w:shd w:val="clear" w:color="auto" w:fill="auto"/>
            <w:noWrap/>
          </w:tcPr>
          <w:p w:rsidR="00BA4035" w:rsidRPr="00D621BB" w:rsidRDefault="00BA4035" w:rsidP="00DF02AA">
            <w:pPr>
              <w:keepNext/>
              <w:rPr>
                <w:rFonts w:ascii="Arial" w:hAnsi="Arial" w:cs="Arial"/>
                <w:color w:val="000000"/>
                <w:sz w:val="20"/>
                <w:szCs w:val="20"/>
                <w:lang w:eastAsia="en-AU"/>
              </w:rPr>
            </w:pPr>
          </w:p>
        </w:tc>
      </w:tr>
      <w:tr w:rsidR="00BA4035" w:rsidRPr="00D621BB" w:rsidTr="00DF02AA">
        <w:trPr>
          <w:cantSplit/>
          <w:trHeight w:val="300"/>
        </w:trPr>
        <w:tc>
          <w:tcPr>
            <w:tcW w:w="2425" w:type="dxa"/>
            <w:vMerge/>
            <w:tcBorders>
              <w:left w:val="single" w:sz="18" w:space="0" w:color="auto"/>
              <w:right w:val="single" w:sz="18" w:space="0" w:color="auto"/>
            </w:tcBorders>
            <w:shd w:val="clear" w:color="auto" w:fill="auto"/>
            <w:noWrap/>
          </w:tcPr>
          <w:p w:rsidR="00BA4035" w:rsidRPr="00D621BB" w:rsidRDefault="00BA4035" w:rsidP="00DF02AA">
            <w:pPr>
              <w:keepNext/>
              <w:rPr>
                <w:rFonts w:ascii="Arial" w:hAnsi="Arial" w:cs="Arial"/>
                <w:color w:val="000000"/>
                <w:sz w:val="20"/>
                <w:szCs w:val="20"/>
                <w:lang w:eastAsia="en-AU"/>
              </w:rPr>
            </w:pPr>
          </w:p>
        </w:tc>
        <w:tc>
          <w:tcPr>
            <w:tcW w:w="2976" w:type="dxa"/>
            <w:tcBorders>
              <w:top w:val="single" w:sz="4" w:space="0" w:color="auto"/>
              <w:left w:val="single" w:sz="18" w:space="0" w:color="auto"/>
              <w:bottom w:val="single" w:sz="4" w:space="0" w:color="auto"/>
              <w:right w:val="single" w:sz="18" w:space="0" w:color="auto"/>
            </w:tcBorders>
            <w:shd w:val="clear" w:color="auto" w:fill="auto"/>
            <w:noWrap/>
          </w:tcPr>
          <w:p w:rsidR="00BA4035" w:rsidRPr="00D621BB" w:rsidRDefault="00BA4035" w:rsidP="00DF02AA">
            <w:pPr>
              <w:rPr>
                <w:rFonts w:ascii="Arial" w:eastAsia="Arial" w:hAnsi="Arial" w:cs="Arial"/>
                <w:color w:val="000000"/>
                <w:sz w:val="20"/>
                <w:szCs w:val="20"/>
                <w:lang w:eastAsia="en-AU"/>
              </w:rPr>
            </w:pPr>
            <w:r>
              <w:rPr>
                <w:rFonts w:ascii="Arial" w:eastAsia="Arial" w:hAnsi="Arial" w:cs="Arial"/>
                <w:color w:val="000000"/>
                <w:sz w:val="20"/>
                <w:szCs w:val="20"/>
                <w:lang w:eastAsia="en-AU"/>
              </w:rPr>
              <w:t>Baker Hughes</w:t>
            </w:r>
          </w:p>
        </w:tc>
        <w:tc>
          <w:tcPr>
            <w:tcW w:w="1560" w:type="dxa"/>
            <w:tcBorders>
              <w:top w:val="single" w:sz="4" w:space="0" w:color="auto"/>
              <w:left w:val="single" w:sz="18" w:space="0" w:color="auto"/>
              <w:bottom w:val="single" w:sz="4" w:space="0" w:color="auto"/>
              <w:right w:val="single" w:sz="18" w:space="0" w:color="auto"/>
            </w:tcBorders>
          </w:tcPr>
          <w:p w:rsidR="00BA4035" w:rsidRPr="00D621BB" w:rsidRDefault="00BA4035" w:rsidP="00DF02AA">
            <w:pPr>
              <w:keepNext/>
              <w:rPr>
                <w:rFonts w:ascii="Arial" w:hAnsi="Arial" w:cs="Arial"/>
                <w:color w:val="000000"/>
                <w:sz w:val="20"/>
                <w:szCs w:val="20"/>
                <w:lang w:eastAsia="en-AU"/>
              </w:rPr>
            </w:pPr>
            <w:r>
              <w:rPr>
                <w:rFonts w:ascii="Arial" w:hAnsi="Arial" w:cs="Arial"/>
                <w:color w:val="000000"/>
                <w:sz w:val="20"/>
                <w:szCs w:val="20"/>
                <w:lang w:eastAsia="en-AU"/>
              </w:rPr>
              <w:t>Yes</w:t>
            </w:r>
          </w:p>
        </w:tc>
        <w:tc>
          <w:tcPr>
            <w:tcW w:w="1208" w:type="dxa"/>
            <w:tcBorders>
              <w:top w:val="single" w:sz="4" w:space="0" w:color="auto"/>
              <w:left w:val="single" w:sz="18" w:space="0" w:color="auto"/>
              <w:bottom w:val="single" w:sz="4" w:space="0" w:color="auto"/>
              <w:right w:val="single" w:sz="18" w:space="0" w:color="auto"/>
            </w:tcBorders>
          </w:tcPr>
          <w:p w:rsidR="00BA4035" w:rsidRPr="00D621BB" w:rsidRDefault="00BA4035" w:rsidP="00DF02AA">
            <w:pPr>
              <w:keepNext/>
              <w:rPr>
                <w:rFonts w:ascii="Arial" w:hAnsi="Arial" w:cs="Arial"/>
                <w:color w:val="000000"/>
                <w:sz w:val="20"/>
                <w:szCs w:val="20"/>
                <w:lang w:eastAsia="en-AU"/>
              </w:rPr>
            </w:pPr>
            <w:r>
              <w:rPr>
                <w:rFonts w:ascii="Arial" w:hAnsi="Arial" w:cs="Arial"/>
                <w:color w:val="000000"/>
                <w:sz w:val="20"/>
                <w:szCs w:val="20"/>
                <w:lang w:eastAsia="en-AU"/>
              </w:rPr>
              <w:t>Yes</w:t>
            </w:r>
          </w:p>
        </w:tc>
        <w:tc>
          <w:tcPr>
            <w:tcW w:w="5671" w:type="dxa"/>
            <w:tcBorders>
              <w:top w:val="single" w:sz="4" w:space="0" w:color="auto"/>
              <w:left w:val="single" w:sz="18" w:space="0" w:color="auto"/>
              <w:bottom w:val="single" w:sz="4" w:space="0" w:color="auto"/>
              <w:right w:val="single" w:sz="12" w:space="0" w:color="auto"/>
            </w:tcBorders>
            <w:shd w:val="clear" w:color="auto" w:fill="auto"/>
            <w:noWrap/>
          </w:tcPr>
          <w:p w:rsidR="00BA4035" w:rsidRPr="00D621BB" w:rsidRDefault="00BA4035" w:rsidP="00DF02AA">
            <w:pPr>
              <w:keepNext/>
              <w:rPr>
                <w:rFonts w:ascii="Arial" w:hAnsi="Arial" w:cs="Arial"/>
                <w:color w:val="000000"/>
                <w:sz w:val="20"/>
                <w:szCs w:val="20"/>
                <w:lang w:eastAsia="en-AU"/>
              </w:rPr>
            </w:pPr>
          </w:p>
        </w:tc>
      </w:tr>
      <w:tr w:rsidR="00BA4035" w:rsidRPr="00D621BB" w:rsidTr="00DF02AA">
        <w:trPr>
          <w:cantSplit/>
          <w:trHeight w:val="300"/>
        </w:trPr>
        <w:tc>
          <w:tcPr>
            <w:tcW w:w="2425" w:type="dxa"/>
            <w:vMerge/>
            <w:tcBorders>
              <w:left w:val="single" w:sz="18" w:space="0" w:color="auto"/>
              <w:right w:val="single" w:sz="18" w:space="0" w:color="auto"/>
            </w:tcBorders>
            <w:shd w:val="clear" w:color="auto" w:fill="auto"/>
            <w:noWrap/>
          </w:tcPr>
          <w:p w:rsidR="00BA4035" w:rsidRPr="00D621BB" w:rsidRDefault="00BA4035" w:rsidP="00DF02AA">
            <w:pPr>
              <w:keepNext/>
              <w:rPr>
                <w:rFonts w:ascii="Arial" w:hAnsi="Arial" w:cs="Arial"/>
                <w:color w:val="000000"/>
                <w:sz w:val="20"/>
                <w:szCs w:val="20"/>
                <w:lang w:eastAsia="en-AU"/>
              </w:rPr>
            </w:pPr>
          </w:p>
        </w:tc>
        <w:tc>
          <w:tcPr>
            <w:tcW w:w="2976" w:type="dxa"/>
            <w:tcBorders>
              <w:top w:val="single" w:sz="4" w:space="0" w:color="auto"/>
              <w:left w:val="single" w:sz="18" w:space="0" w:color="auto"/>
              <w:bottom w:val="single" w:sz="4" w:space="0" w:color="auto"/>
              <w:right w:val="single" w:sz="18" w:space="0" w:color="auto"/>
            </w:tcBorders>
            <w:shd w:val="clear" w:color="auto" w:fill="auto"/>
            <w:noWrap/>
          </w:tcPr>
          <w:p w:rsidR="00BA4035" w:rsidRPr="00D621BB" w:rsidRDefault="00BA4035" w:rsidP="00DF02AA">
            <w:pPr>
              <w:keepNext/>
              <w:rPr>
                <w:rFonts w:ascii="Arial" w:eastAsia="Arial" w:hAnsi="Arial" w:cs="Arial"/>
                <w:color w:val="000000"/>
                <w:sz w:val="20"/>
                <w:szCs w:val="20"/>
                <w:lang w:eastAsia="en-AU"/>
              </w:rPr>
            </w:pPr>
            <w:r w:rsidRPr="00D621BB">
              <w:rPr>
                <w:rFonts w:ascii="Arial" w:eastAsia="Arial" w:hAnsi="Arial" w:cs="Arial"/>
                <w:color w:val="000000"/>
                <w:sz w:val="20"/>
                <w:szCs w:val="20"/>
                <w:lang w:eastAsia="en-AU"/>
              </w:rPr>
              <w:t>Schlumberger</w:t>
            </w:r>
          </w:p>
        </w:tc>
        <w:tc>
          <w:tcPr>
            <w:tcW w:w="1560" w:type="dxa"/>
            <w:tcBorders>
              <w:top w:val="single" w:sz="4" w:space="0" w:color="auto"/>
              <w:left w:val="single" w:sz="18" w:space="0" w:color="auto"/>
              <w:bottom w:val="single" w:sz="4" w:space="0" w:color="auto"/>
              <w:right w:val="single" w:sz="18" w:space="0" w:color="auto"/>
            </w:tcBorders>
          </w:tcPr>
          <w:p w:rsidR="00BA4035" w:rsidRPr="00D621BB" w:rsidRDefault="00BA4035" w:rsidP="00DF02AA">
            <w:pPr>
              <w:keepNext/>
              <w:rPr>
                <w:rFonts w:ascii="Arial" w:hAnsi="Arial" w:cs="Arial"/>
                <w:color w:val="000000"/>
                <w:sz w:val="20"/>
                <w:szCs w:val="20"/>
                <w:lang w:eastAsia="en-AU"/>
              </w:rPr>
            </w:pPr>
            <w:r>
              <w:rPr>
                <w:rFonts w:ascii="Arial" w:hAnsi="Arial" w:cs="Arial"/>
                <w:color w:val="000000"/>
                <w:sz w:val="20"/>
                <w:szCs w:val="20"/>
                <w:lang w:eastAsia="en-AU"/>
              </w:rPr>
              <w:t>Yes</w:t>
            </w:r>
          </w:p>
        </w:tc>
        <w:tc>
          <w:tcPr>
            <w:tcW w:w="1208" w:type="dxa"/>
            <w:tcBorders>
              <w:top w:val="single" w:sz="4" w:space="0" w:color="auto"/>
              <w:left w:val="single" w:sz="18" w:space="0" w:color="auto"/>
              <w:bottom w:val="single" w:sz="4" w:space="0" w:color="auto"/>
              <w:right w:val="single" w:sz="18" w:space="0" w:color="auto"/>
            </w:tcBorders>
          </w:tcPr>
          <w:p w:rsidR="00BA4035" w:rsidRPr="00D621BB" w:rsidRDefault="00BA4035" w:rsidP="00DF02AA">
            <w:pPr>
              <w:keepNext/>
              <w:rPr>
                <w:rFonts w:ascii="Arial" w:hAnsi="Arial" w:cs="Arial"/>
                <w:color w:val="000000"/>
                <w:sz w:val="20"/>
                <w:szCs w:val="20"/>
                <w:lang w:eastAsia="en-AU"/>
              </w:rPr>
            </w:pPr>
            <w:r>
              <w:rPr>
                <w:rFonts w:ascii="Arial" w:hAnsi="Arial" w:cs="Arial"/>
                <w:color w:val="000000"/>
                <w:sz w:val="20"/>
                <w:szCs w:val="20"/>
                <w:lang w:eastAsia="en-AU"/>
              </w:rPr>
              <w:t>Yes</w:t>
            </w:r>
          </w:p>
        </w:tc>
        <w:tc>
          <w:tcPr>
            <w:tcW w:w="5671" w:type="dxa"/>
            <w:tcBorders>
              <w:top w:val="single" w:sz="4" w:space="0" w:color="auto"/>
              <w:left w:val="single" w:sz="18" w:space="0" w:color="auto"/>
              <w:bottom w:val="single" w:sz="4" w:space="0" w:color="auto"/>
              <w:right w:val="single" w:sz="12" w:space="0" w:color="auto"/>
            </w:tcBorders>
            <w:shd w:val="clear" w:color="auto" w:fill="auto"/>
            <w:noWrap/>
          </w:tcPr>
          <w:p w:rsidR="00BA4035" w:rsidRPr="00D621BB" w:rsidRDefault="00BA4035" w:rsidP="00DF02AA">
            <w:pPr>
              <w:keepNext/>
              <w:rPr>
                <w:rFonts w:ascii="Arial" w:hAnsi="Arial" w:cs="Arial"/>
                <w:color w:val="000000"/>
                <w:sz w:val="20"/>
                <w:szCs w:val="20"/>
                <w:lang w:eastAsia="en-AU"/>
              </w:rPr>
            </w:pPr>
          </w:p>
        </w:tc>
      </w:tr>
      <w:tr w:rsidR="00BA4035" w:rsidRPr="00D621BB" w:rsidTr="00DF02AA">
        <w:trPr>
          <w:cantSplit/>
          <w:trHeight w:val="300"/>
        </w:trPr>
        <w:tc>
          <w:tcPr>
            <w:tcW w:w="2425" w:type="dxa"/>
            <w:vMerge/>
            <w:tcBorders>
              <w:left w:val="single" w:sz="18" w:space="0" w:color="auto"/>
              <w:right w:val="single" w:sz="18" w:space="0" w:color="auto"/>
            </w:tcBorders>
            <w:shd w:val="clear" w:color="auto" w:fill="auto"/>
            <w:noWrap/>
            <w:hideMark/>
          </w:tcPr>
          <w:p w:rsidR="00BA4035" w:rsidRPr="00D621BB" w:rsidRDefault="00BA4035" w:rsidP="00DF02AA">
            <w:pPr>
              <w:keepNext/>
              <w:rPr>
                <w:rFonts w:ascii="Arial" w:hAnsi="Arial" w:cs="Arial"/>
                <w:color w:val="000000"/>
                <w:sz w:val="20"/>
                <w:szCs w:val="20"/>
                <w:lang w:eastAsia="en-AU"/>
              </w:rPr>
            </w:pPr>
          </w:p>
        </w:tc>
        <w:tc>
          <w:tcPr>
            <w:tcW w:w="2976" w:type="dxa"/>
            <w:tcBorders>
              <w:top w:val="single" w:sz="4" w:space="0" w:color="auto"/>
              <w:left w:val="single" w:sz="18" w:space="0" w:color="auto"/>
              <w:bottom w:val="single" w:sz="4" w:space="0" w:color="auto"/>
              <w:right w:val="single" w:sz="18" w:space="0" w:color="auto"/>
            </w:tcBorders>
            <w:shd w:val="clear" w:color="auto" w:fill="auto"/>
            <w:noWrap/>
            <w:hideMark/>
          </w:tcPr>
          <w:p w:rsidR="00BA4035" w:rsidRPr="00D621BB" w:rsidRDefault="00BA4035" w:rsidP="00DF02AA">
            <w:pPr>
              <w:keepNext/>
              <w:rPr>
                <w:rFonts w:ascii="Arial" w:eastAsia="Arial" w:hAnsi="Arial" w:cs="Arial"/>
                <w:color w:val="000000"/>
                <w:sz w:val="20"/>
                <w:szCs w:val="20"/>
                <w:lang w:eastAsia="en-AU"/>
              </w:rPr>
            </w:pPr>
            <w:r w:rsidRPr="00D621BB">
              <w:rPr>
                <w:rFonts w:ascii="Arial" w:eastAsia="Arial" w:hAnsi="Arial" w:cs="Arial"/>
                <w:color w:val="000000"/>
                <w:sz w:val="20"/>
                <w:szCs w:val="20"/>
                <w:lang w:eastAsia="en-AU"/>
              </w:rPr>
              <w:t>Weatherford</w:t>
            </w:r>
          </w:p>
        </w:tc>
        <w:tc>
          <w:tcPr>
            <w:tcW w:w="1560" w:type="dxa"/>
            <w:tcBorders>
              <w:top w:val="single" w:sz="4" w:space="0" w:color="auto"/>
              <w:left w:val="single" w:sz="18" w:space="0" w:color="auto"/>
              <w:bottom w:val="single" w:sz="4" w:space="0" w:color="auto"/>
              <w:right w:val="single" w:sz="18" w:space="0" w:color="auto"/>
            </w:tcBorders>
          </w:tcPr>
          <w:p w:rsidR="00BA4035" w:rsidRPr="00D621BB" w:rsidRDefault="00BA4035" w:rsidP="00DF02AA">
            <w:pPr>
              <w:keepNext/>
              <w:rPr>
                <w:rFonts w:ascii="Arial" w:hAnsi="Arial" w:cs="Arial"/>
                <w:color w:val="000000"/>
                <w:sz w:val="20"/>
                <w:szCs w:val="20"/>
                <w:lang w:eastAsia="en-AU"/>
              </w:rPr>
            </w:pPr>
            <w:r>
              <w:rPr>
                <w:rFonts w:ascii="Arial" w:hAnsi="Arial" w:cs="Arial"/>
                <w:color w:val="000000"/>
                <w:sz w:val="20"/>
                <w:szCs w:val="20"/>
                <w:lang w:eastAsia="en-AU"/>
              </w:rPr>
              <w:t>Yes</w:t>
            </w:r>
          </w:p>
        </w:tc>
        <w:tc>
          <w:tcPr>
            <w:tcW w:w="1208" w:type="dxa"/>
            <w:tcBorders>
              <w:top w:val="single" w:sz="4" w:space="0" w:color="auto"/>
              <w:left w:val="single" w:sz="18" w:space="0" w:color="auto"/>
              <w:bottom w:val="single" w:sz="4" w:space="0" w:color="auto"/>
              <w:right w:val="single" w:sz="18" w:space="0" w:color="auto"/>
            </w:tcBorders>
          </w:tcPr>
          <w:p w:rsidR="00BA4035" w:rsidRPr="00D621BB" w:rsidRDefault="00BA4035" w:rsidP="00DF02AA">
            <w:pPr>
              <w:keepNext/>
              <w:rPr>
                <w:rFonts w:ascii="Arial" w:hAnsi="Arial" w:cs="Arial"/>
                <w:color w:val="000000"/>
                <w:sz w:val="20"/>
                <w:szCs w:val="20"/>
                <w:lang w:eastAsia="en-AU"/>
              </w:rPr>
            </w:pPr>
            <w:r>
              <w:rPr>
                <w:rFonts w:ascii="Arial" w:hAnsi="Arial" w:cs="Arial"/>
                <w:color w:val="000000"/>
                <w:sz w:val="20"/>
                <w:szCs w:val="20"/>
                <w:lang w:eastAsia="en-AU"/>
              </w:rPr>
              <w:t>Yes</w:t>
            </w:r>
          </w:p>
        </w:tc>
        <w:tc>
          <w:tcPr>
            <w:tcW w:w="5671" w:type="dxa"/>
            <w:tcBorders>
              <w:top w:val="single" w:sz="4" w:space="0" w:color="auto"/>
              <w:left w:val="single" w:sz="18" w:space="0" w:color="auto"/>
              <w:bottom w:val="single" w:sz="4" w:space="0" w:color="auto"/>
              <w:right w:val="single" w:sz="18" w:space="0" w:color="auto"/>
            </w:tcBorders>
            <w:shd w:val="clear" w:color="auto" w:fill="auto"/>
            <w:noWrap/>
            <w:hideMark/>
          </w:tcPr>
          <w:p w:rsidR="00BA4035" w:rsidRPr="00D621BB" w:rsidRDefault="00BA4035" w:rsidP="00DF02AA">
            <w:pPr>
              <w:keepNext/>
              <w:rPr>
                <w:rFonts w:ascii="Arial" w:hAnsi="Arial" w:cs="Arial"/>
                <w:color w:val="000000"/>
                <w:sz w:val="20"/>
                <w:szCs w:val="20"/>
                <w:lang w:eastAsia="en-AU"/>
              </w:rPr>
            </w:pPr>
            <w:r w:rsidRPr="00D621BB">
              <w:rPr>
                <w:rFonts w:ascii="Arial" w:hAnsi="Arial" w:cs="Arial"/>
                <w:color w:val="000000"/>
                <w:sz w:val="20"/>
                <w:szCs w:val="20"/>
                <w:lang w:eastAsia="en-AU"/>
              </w:rPr>
              <w:t> </w:t>
            </w:r>
          </w:p>
        </w:tc>
      </w:tr>
      <w:tr w:rsidR="000A41BF" w:rsidRPr="00D621BB" w:rsidTr="00DF02AA">
        <w:trPr>
          <w:cantSplit/>
          <w:trHeight w:val="300"/>
        </w:trPr>
        <w:tc>
          <w:tcPr>
            <w:tcW w:w="2425" w:type="dxa"/>
            <w:vMerge/>
            <w:tcBorders>
              <w:left w:val="single" w:sz="18" w:space="0" w:color="auto"/>
              <w:right w:val="single" w:sz="18" w:space="0" w:color="auto"/>
            </w:tcBorders>
            <w:vAlign w:val="center"/>
          </w:tcPr>
          <w:p w:rsidR="000A41BF" w:rsidRPr="00D621BB" w:rsidRDefault="000A41BF" w:rsidP="00DF02AA">
            <w:pPr>
              <w:keepNext/>
              <w:rPr>
                <w:rFonts w:ascii="Arial" w:hAnsi="Arial" w:cs="Arial"/>
                <w:color w:val="000000"/>
                <w:sz w:val="20"/>
                <w:szCs w:val="20"/>
                <w:lang w:eastAsia="en-AU"/>
              </w:rPr>
            </w:pPr>
          </w:p>
        </w:tc>
        <w:tc>
          <w:tcPr>
            <w:tcW w:w="2976" w:type="dxa"/>
            <w:tcBorders>
              <w:top w:val="single" w:sz="4" w:space="0" w:color="auto"/>
              <w:left w:val="single" w:sz="18" w:space="0" w:color="auto"/>
              <w:bottom w:val="single" w:sz="4" w:space="0" w:color="auto"/>
              <w:right w:val="single" w:sz="18" w:space="0" w:color="auto"/>
            </w:tcBorders>
            <w:shd w:val="clear" w:color="auto" w:fill="auto"/>
            <w:noWrap/>
          </w:tcPr>
          <w:p w:rsidR="000A41BF" w:rsidRPr="00D621BB" w:rsidRDefault="000A41BF" w:rsidP="00DF02AA">
            <w:pPr>
              <w:keepNext/>
              <w:rPr>
                <w:rFonts w:ascii="Arial" w:eastAsia="Arial" w:hAnsi="Arial" w:cs="Arial"/>
                <w:color w:val="000000"/>
                <w:sz w:val="20"/>
                <w:szCs w:val="20"/>
                <w:lang w:eastAsia="en-AU"/>
              </w:rPr>
            </w:pPr>
            <w:proofErr w:type="spellStart"/>
            <w:r>
              <w:rPr>
                <w:rFonts w:ascii="Arial" w:eastAsia="Arial" w:hAnsi="Arial" w:cs="Arial"/>
                <w:color w:val="000000"/>
                <w:sz w:val="20"/>
                <w:szCs w:val="20"/>
                <w:lang w:eastAsia="en-AU"/>
              </w:rPr>
              <w:t>Expro</w:t>
            </w:r>
            <w:proofErr w:type="spellEnd"/>
          </w:p>
        </w:tc>
        <w:tc>
          <w:tcPr>
            <w:tcW w:w="1560" w:type="dxa"/>
            <w:tcBorders>
              <w:top w:val="single" w:sz="4" w:space="0" w:color="auto"/>
              <w:left w:val="single" w:sz="18" w:space="0" w:color="auto"/>
              <w:bottom w:val="single" w:sz="4" w:space="0" w:color="auto"/>
              <w:right w:val="single" w:sz="18" w:space="0" w:color="auto"/>
            </w:tcBorders>
          </w:tcPr>
          <w:p w:rsidR="000A41BF" w:rsidRDefault="000A41BF" w:rsidP="00DF02AA">
            <w:pPr>
              <w:keepNext/>
              <w:rPr>
                <w:rFonts w:ascii="Arial" w:hAnsi="Arial" w:cs="Arial"/>
                <w:color w:val="000000"/>
                <w:sz w:val="20"/>
                <w:szCs w:val="20"/>
                <w:lang w:eastAsia="en-AU"/>
              </w:rPr>
            </w:pPr>
            <w:r>
              <w:rPr>
                <w:rFonts w:ascii="Arial" w:hAnsi="Arial" w:cs="Arial"/>
                <w:color w:val="000000"/>
                <w:sz w:val="20"/>
                <w:szCs w:val="20"/>
                <w:lang w:eastAsia="en-AU"/>
              </w:rPr>
              <w:t>Yes</w:t>
            </w:r>
          </w:p>
        </w:tc>
        <w:tc>
          <w:tcPr>
            <w:tcW w:w="1208" w:type="dxa"/>
            <w:tcBorders>
              <w:top w:val="single" w:sz="4" w:space="0" w:color="auto"/>
              <w:left w:val="single" w:sz="18" w:space="0" w:color="auto"/>
              <w:bottom w:val="single" w:sz="4" w:space="0" w:color="auto"/>
              <w:right w:val="single" w:sz="18" w:space="0" w:color="auto"/>
            </w:tcBorders>
          </w:tcPr>
          <w:p w:rsidR="000A41BF" w:rsidRDefault="000A41BF" w:rsidP="00DF02AA">
            <w:pPr>
              <w:keepNext/>
              <w:rPr>
                <w:rFonts w:ascii="Arial" w:hAnsi="Arial" w:cs="Arial"/>
                <w:color w:val="000000"/>
                <w:sz w:val="20"/>
                <w:szCs w:val="20"/>
                <w:lang w:eastAsia="en-AU"/>
              </w:rPr>
            </w:pPr>
            <w:r>
              <w:rPr>
                <w:rFonts w:ascii="Arial" w:hAnsi="Arial" w:cs="Arial"/>
                <w:color w:val="000000"/>
                <w:sz w:val="20"/>
                <w:szCs w:val="20"/>
                <w:lang w:eastAsia="en-AU"/>
              </w:rPr>
              <w:t>Yes</w:t>
            </w:r>
          </w:p>
        </w:tc>
        <w:tc>
          <w:tcPr>
            <w:tcW w:w="5671" w:type="dxa"/>
            <w:tcBorders>
              <w:top w:val="single" w:sz="4" w:space="0" w:color="auto"/>
              <w:left w:val="single" w:sz="18" w:space="0" w:color="auto"/>
              <w:bottom w:val="single" w:sz="4" w:space="0" w:color="auto"/>
              <w:right w:val="single" w:sz="18" w:space="0" w:color="auto"/>
            </w:tcBorders>
            <w:shd w:val="clear" w:color="auto" w:fill="auto"/>
            <w:noWrap/>
          </w:tcPr>
          <w:p w:rsidR="000A41BF" w:rsidRPr="00D621BB" w:rsidRDefault="000A41BF" w:rsidP="00DF02AA">
            <w:pPr>
              <w:keepNext/>
              <w:rPr>
                <w:rFonts w:ascii="Arial" w:hAnsi="Arial" w:cs="Arial"/>
                <w:color w:val="000000"/>
                <w:sz w:val="20"/>
                <w:szCs w:val="20"/>
                <w:lang w:eastAsia="en-AU"/>
              </w:rPr>
            </w:pPr>
            <w:r>
              <w:rPr>
                <w:rFonts w:ascii="Arial" w:hAnsi="Arial" w:cs="Arial"/>
                <w:color w:val="000000"/>
                <w:sz w:val="20"/>
                <w:szCs w:val="20"/>
                <w:lang w:eastAsia="en-AU"/>
              </w:rPr>
              <w:t xml:space="preserve">Understood to be active in wellbore intervention only. </w:t>
            </w:r>
          </w:p>
        </w:tc>
      </w:tr>
      <w:tr w:rsidR="000A41BF" w:rsidRPr="00D621BB" w:rsidTr="00DF02AA">
        <w:trPr>
          <w:cantSplit/>
          <w:trHeight w:val="300"/>
        </w:trPr>
        <w:tc>
          <w:tcPr>
            <w:tcW w:w="2425" w:type="dxa"/>
            <w:vMerge/>
            <w:tcBorders>
              <w:left w:val="single" w:sz="18" w:space="0" w:color="auto"/>
              <w:right w:val="single" w:sz="18" w:space="0" w:color="auto"/>
            </w:tcBorders>
            <w:vAlign w:val="center"/>
            <w:hideMark/>
          </w:tcPr>
          <w:p w:rsidR="000A41BF" w:rsidRPr="00D621BB" w:rsidRDefault="000A41BF" w:rsidP="00DF02AA">
            <w:pPr>
              <w:keepNext/>
              <w:rPr>
                <w:rFonts w:ascii="Arial" w:hAnsi="Arial" w:cs="Arial"/>
                <w:color w:val="000000"/>
                <w:sz w:val="20"/>
                <w:szCs w:val="20"/>
                <w:lang w:eastAsia="en-AU"/>
              </w:rPr>
            </w:pPr>
          </w:p>
        </w:tc>
        <w:tc>
          <w:tcPr>
            <w:tcW w:w="2976" w:type="dxa"/>
            <w:tcBorders>
              <w:top w:val="single" w:sz="4" w:space="0" w:color="auto"/>
              <w:left w:val="single" w:sz="18" w:space="0" w:color="auto"/>
              <w:bottom w:val="single" w:sz="4" w:space="0" w:color="auto"/>
              <w:right w:val="single" w:sz="18" w:space="0" w:color="auto"/>
            </w:tcBorders>
            <w:shd w:val="clear" w:color="auto" w:fill="auto"/>
            <w:noWrap/>
            <w:hideMark/>
          </w:tcPr>
          <w:p w:rsidR="000A41BF" w:rsidRPr="00D621BB" w:rsidRDefault="000A41BF" w:rsidP="00DF02AA">
            <w:pPr>
              <w:keepNext/>
              <w:rPr>
                <w:rFonts w:ascii="Arial" w:eastAsia="Arial" w:hAnsi="Arial" w:cs="Arial"/>
                <w:color w:val="000000"/>
                <w:sz w:val="20"/>
                <w:szCs w:val="20"/>
                <w:lang w:eastAsia="en-AU"/>
              </w:rPr>
            </w:pPr>
            <w:r w:rsidRPr="00D621BB">
              <w:rPr>
                <w:rFonts w:ascii="Arial" w:eastAsia="Arial" w:hAnsi="Arial" w:cs="Arial"/>
                <w:color w:val="000000"/>
                <w:sz w:val="20"/>
                <w:szCs w:val="20"/>
                <w:lang w:eastAsia="en-AU"/>
              </w:rPr>
              <w:t>Archer Limited</w:t>
            </w:r>
          </w:p>
        </w:tc>
        <w:tc>
          <w:tcPr>
            <w:tcW w:w="1560" w:type="dxa"/>
            <w:tcBorders>
              <w:top w:val="single" w:sz="4" w:space="0" w:color="auto"/>
              <w:left w:val="single" w:sz="18" w:space="0" w:color="auto"/>
              <w:bottom w:val="single" w:sz="4" w:space="0" w:color="auto"/>
              <w:right w:val="single" w:sz="18" w:space="0" w:color="auto"/>
            </w:tcBorders>
          </w:tcPr>
          <w:p w:rsidR="000A41BF" w:rsidRPr="00D621BB" w:rsidRDefault="000A41BF" w:rsidP="00DF02AA">
            <w:pPr>
              <w:keepNext/>
              <w:rPr>
                <w:rFonts w:ascii="Arial" w:hAnsi="Arial" w:cs="Arial"/>
                <w:color w:val="000000"/>
                <w:sz w:val="20"/>
                <w:szCs w:val="20"/>
                <w:lang w:eastAsia="en-AU"/>
              </w:rPr>
            </w:pPr>
            <w:r>
              <w:rPr>
                <w:rFonts w:ascii="Arial" w:hAnsi="Arial" w:cs="Arial"/>
                <w:color w:val="000000"/>
                <w:sz w:val="20"/>
                <w:szCs w:val="20"/>
                <w:lang w:eastAsia="en-AU"/>
              </w:rPr>
              <w:t>Yes</w:t>
            </w:r>
          </w:p>
        </w:tc>
        <w:tc>
          <w:tcPr>
            <w:tcW w:w="1208" w:type="dxa"/>
            <w:tcBorders>
              <w:top w:val="single" w:sz="4" w:space="0" w:color="auto"/>
              <w:left w:val="single" w:sz="18" w:space="0" w:color="auto"/>
              <w:bottom w:val="single" w:sz="4" w:space="0" w:color="auto"/>
              <w:right w:val="single" w:sz="18" w:space="0" w:color="auto"/>
            </w:tcBorders>
          </w:tcPr>
          <w:p w:rsidR="000A41BF" w:rsidRPr="00D621BB" w:rsidRDefault="000A41BF" w:rsidP="00DF02AA">
            <w:pPr>
              <w:keepNext/>
              <w:rPr>
                <w:rFonts w:ascii="Arial" w:hAnsi="Arial" w:cs="Arial"/>
                <w:color w:val="000000"/>
                <w:sz w:val="20"/>
                <w:szCs w:val="20"/>
                <w:lang w:eastAsia="en-AU"/>
              </w:rPr>
            </w:pPr>
            <w:r>
              <w:rPr>
                <w:rFonts w:ascii="Arial" w:hAnsi="Arial" w:cs="Arial"/>
                <w:color w:val="000000"/>
                <w:sz w:val="20"/>
                <w:szCs w:val="20"/>
                <w:lang w:eastAsia="en-AU"/>
              </w:rPr>
              <w:t>No</w:t>
            </w:r>
          </w:p>
        </w:tc>
        <w:tc>
          <w:tcPr>
            <w:tcW w:w="5671" w:type="dxa"/>
            <w:tcBorders>
              <w:top w:val="single" w:sz="4" w:space="0" w:color="auto"/>
              <w:left w:val="single" w:sz="18" w:space="0" w:color="auto"/>
              <w:bottom w:val="single" w:sz="4" w:space="0" w:color="auto"/>
              <w:right w:val="single" w:sz="18" w:space="0" w:color="auto"/>
            </w:tcBorders>
            <w:shd w:val="clear" w:color="auto" w:fill="auto"/>
            <w:noWrap/>
            <w:hideMark/>
          </w:tcPr>
          <w:p w:rsidR="000A41BF" w:rsidRPr="00D621BB" w:rsidRDefault="000A41BF" w:rsidP="00DF02AA">
            <w:pPr>
              <w:keepNext/>
              <w:rPr>
                <w:rFonts w:ascii="Arial" w:hAnsi="Arial" w:cs="Arial"/>
                <w:color w:val="000000"/>
                <w:sz w:val="20"/>
                <w:szCs w:val="20"/>
                <w:lang w:eastAsia="en-AU"/>
              </w:rPr>
            </w:pPr>
            <w:r w:rsidRPr="00D621BB">
              <w:rPr>
                <w:rFonts w:ascii="Arial" w:hAnsi="Arial" w:cs="Arial"/>
                <w:color w:val="000000"/>
                <w:sz w:val="20"/>
                <w:szCs w:val="20"/>
                <w:lang w:eastAsia="en-AU"/>
              </w:rPr>
              <w:t> </w:t>
            </w:r>
          </w:p>
        </w:tc>
      </w:tr>
      <w:tr w:rsidR="000A41BF" w:rsidRPr="00D621BB" w:rsidTr="00DF02AA">
        <w:trPr>
          <w:cantSplit/>
          <w:trHeight w:val="300"/>
        </w:trPr>
        <w:tc>
          <w:tcPr>
            <w:tcW w:w="2425" w:type="dxa"/>
            <w:vMerge/>
            <w:tcBorders>
              <w:left w:val="single" w:sz="18" w:space="0" w:color="auto"/>
              <w:right w:val="single" w:sz="18" w:space="0" w:color="auto"/>
            </w:tcBorders>
            <w:vAlign w:val="center"/>
            <w:hideMark/>
          </w:tcPr>
          <w:p w:rsidR="000A41BF" w:rsidRPr="00D621BB" w:rsidRDefault="000A41BF" w:rsidP="00DF02AA">
            <w:pPr>
              <w:keepNext/>
              <w:rPr>
                <w:rFonts w:ascii="Arial" w:hAnsi="Arial" w:cs="Arial"/>
                <w:color w:val="000000"/>
                <w:sz w:val="20"/>
                <w:szCs w:val="20"/>
                <w:lang w:eastAsia="en-AU"/>
              </w:rPr>
            </w:pPr>
          </w:p>
        </w:tc>
        <w:tc>
          <w:tcPr>
            <w:tcW w:w="2976" w:type="dxa"/>
            <w:tcBorders>
              <w:top w:val="single" w:sz="4" w:space="0" w:color="auto"/>
              <w:left w:val="single" w:sz="18" w:space="0" w:color="auto"/>
              <w:bottom w:val="single" w:sz="4" w:space="0" w:color="auto"/>
              <w:right w:val="single" w:sz="18" w:space="0" w:color="auto"/>
            </w:tcBorders>
            <w:shd w:val="clear" w:color="auto" w:fill="auto"/>
            <w:noWrap/>
            <w:hideMark/>
          </w:tcPr>
          <w:p w:rsidR="000A41BF" w:rsidRPr="00D621BB" w:rsidRDefault="000A41BF" w:rsidP="00DF02AA">
            <w:pPr>
              <w:keepNext/>
              <w:rPr>
                <w:rFonts w:ascii="Arial" w:eastAsia="Arial" w:hAnsi="Arial" w:cs="Arial"/>
                <w:color w:val="000000"/>
                <w:sz w:val="20"/>
                <w:szCs w:val="20"/>
                <w:lang w:eastAsia="en-AU"/>
              </w:rPr>
            </w:pPr>
            <w:r w:rsidRPr="00D621BB">
              <w:rPr>
                <w:rFonts w:ascii="Arial" w:eastAsia="Arial" w:hAnsi="Arial" w:cs="Arial"/>
                <w:color w:val="000000"/>
                <w:sz w:val="20"/>
                <w:szCs w:val="20"/>
                <w:lang w:eastAsia="en-AU"/>
              </w:rPr>
              <w:t>TAM International</w:t>
            </w:r>
          </w:p>
        </w:tc>
        <w:tc>
          <w:tcPr>
            <w:tcW w:w="1560" w:type="dxa"/>
            <w:tcBorders>
              <w:top w:val="single" w:sz="4" w:space="0" w:color="auto"/>
              <w:left w:val="single" w:sz="18" w:space="0" w:color="auto"/>
              <w:bottom w:val="single" w:sz="4" w:space="0" w:color="auto"/>
              <w:right w:val="single" w:sz="18" w:space="0" w:color="auto"/>
            </w:tcBorders>
          </w:tcPr>
          <w:p w:rsidR="000A41BF" w:rsidRPr="00D621BB" w:rsidRDefault="000A41BF" w:rsidP="00DF02AA">
            <w:pPr>
              <w:keepNext/>
              <w:rPr>
                <w:rFonts w:ascii="Arial" w:hAnsi="Arial" w:cs="Arial"/>
                <w:color w:val="000000"/>
                <w:sz w:val="20"/>
                <w:szCs w:val="20"/>
                <w:lang w:eastAsia="en-AU"/>
              </w:rPr>
            </w:pPr>
            <w:r>
              <w:rPr>
                <w:rFonts w:ascii="Arial" w:hAnsi="Arial" w:cs="Arial"/>
                <w:color w:val="000000"/>
                <w:sz w:val="20"/>
                <w:szCs w:val="20"/>
                <w:lang w:eastAsia="en-AU"/>
              </w:rPr>
              <w:t>Yes</w:t>
            </w:r>
          </w:p>
        </w:tc>
        <w:tc>
          <w:tcPr>
            <w:tcW w:w="1208" w:type="dxa"/>
            <w:tcBorders>
              <w:top w:val="single" w:sz="4" w:space="0" w:color="auto"/>
              <w:left w:val="single" w:sz="18" w:space="0" w:color="auto"/>
              <w:bottom w:val="single" w:sz="4" w:space="0" w:color="auto"/>
              <w:right w:val="single" w:sz="18" w:space="0" w:color="auto"/>
            </w:tcBorders>
          </w:tcPr>
          <w:p w:rsidR="000A41BF" w:rsidRPr="00D621BB" w:rsidRDefault="000A41BF" w:rsidP="00DF02AA">
            <w:pPr>
              <w:keepNext/>
              <w:rPr>
                <w:rFonts w:ascii="Arial" w:hAnsi="Arial" w:cs="Arial"/>
                <w:color w:val="000000"/>
                <w:sz w:val="20"/>
                <w:szCs w:val="20"/>
                <w:lang w:eastAsia="en-AU"/>
              </w:rPr>
            </w:pPr>
            <w:r>
              <w:rPr>
                <w:rFonts w:ascii="Arial" w:hAnsi="Arial" w:cs="Arial"/>
                <w:color w:val="000000"/>
                <w:sz w:val="20"/>
                <w:szCs w:val="20"/>
                <w:lang w:eastAsia="en-AU"/>
              </w:rPr>
              <w:t>No</w:t>
            </w:r>
          </w:p>
        </w:tc>
        <w:tc>
          <w:tcPr>
            <w:tcW w:w="5671" w:type="dxa"/>
            <w:tcBorders>
              <w:top w:val="single" w:sz="4" w:space="0" w:color="auto"/>
              <w:left w:val="single" w:sz="18" w:space="0" w:color="auto"/>
              <w:bottom w:val="single" w:sz="4" w:space="0" w:color="auto"/>
              <w:right w:val="single" w:sz="18" w:space="0" w:color="auto"/>
            </w:tcBorders>
            <w:shd w:val="clear" w:color="auto" w:fill="auto"/>
            <w:noWrap/>
            <w:hideMark/>
          </w:tcPr>
          <w:p w:rsidR="000A41BF" w:rsidRPr="00D621BB" w:rsidRDefault="000A41BF" w:rsidP="00DF02AA">
            <w:pPr>
              <w:keepNext/>
              <w:rPr>
                <w:rFonts w:ascii="Arial" w:hAnsi="Arial" w:cs="Arial"/>
                <w:color w:val="000000"/>
                <w:sz w:val="20"/>
                <w:szCs w:val="20"/>
                <w:lang w:eastAsia="en-AU"/>
              </w:rPr>
            </w:pPr>
            <w:r w:rsidRPr="00D621BB">
              <w:rPr>
                <w:rFonts w:ascii="Arial" w:hAnsi="Arial" w:cs="Arial"/>
                <w:color w:val="000000"/>
                <w:sz w:val="20"/>
                <w:szCs w:val="20"/>
                <w:lang w:eastAsia="en-AU"/>
              </w:rPr>
              <w:t> </w:t>
            </w:r>
          </w:p>
        </w:tc>
      </w:tr>
      <w:tr w:rsidR="000A41BF" w:rsidRPr="00D621BB" w:rsidTr="00DF02AA">
        <w:trPr>
          <w:cantSplit/>
          <w:trHeight w:val="300"/>
        </w:trPr>
        <w:tc>
          <w:tcPr>
            <w:tcW w:w="2425" w:type="dxa"/>
            <w:vMerge/>
            <w:tcBorders>
              <w:left w:val="single" w:sz="18" w:space="0" w:color="auto"/>
              <w:right w:val="single" w:sz="18" w:space="0" w:color="auto"/>
            </w:tcBorders>
            <w:vAlign w:val="center"/>
            <w:hideMark/>
          </w:tcPr>
          <w:p w:rsidR="000A41BF" w:rsidRPr="00D621BB" w:rsidRDefault="000A41BF" w:rsidP="00DF02AA">
            <w:pPr>
              <w:keepNext/>
              <w:rPr>
                <w:rFonts w:ascii="Arial" w:hAnsi="Arial" w:cs="Arial"/>
                <w:color w:val="000000"/>
                <w:sz w:val="20"/>
                <w:szCs w:val="20"/>
                <w:lang w:eastAsia="en-AU"/>
              </w:rPr>
            </w:pPr>
          </w:p>
        </w:tc>
        <w:tc>
          <w:tcPr>
            <w:tcW w:w="2976" w:type="dxa"/>
            <w:tcBorders>
              <w:top w:val="single" w:sz="4" w:space="0" w:color="auto"/>
              <w:left w:val="single" w:sz="18" w:space="0" w:color="auto"/>
              <w:bottom w:val="single" w:sz="4" w:space="0" w:color="auto"/>
              <w:right w:val="single" w:sz="18" w:space="0" w:color="auto"/>
            </w:tcBorders>
            <w:shd w:val="clear" w:color="auto" w:fill="auto"/>
            <w:noWrap/>
            <w:hideMark/>
          </w:tcPr>
          <w:p w:rsidR="000A41BF" w:rsidRPr="00D621BB" w:rsidRDefault="000A41BF" w:rsidP="00DF02AA">
            <w:pPr>
              <w:keepNext/>
              <w:rPr>
                <w:rFonts w:ascii="Arial" w:eastAsia="Arial" w:hAnsi="Arial" w:cs="Arial"/>
                <w:color w:val="000000"/>
                <w:sz w:val="20"/>
                <w:szCs w:val="20"/>
                <w:lang w:eastAsia="en-AU"/>
              </w:rPr>
            </w:pPr>
            <w:proofErr w:type="spellStart"/>
            <w:r w:rsidRPr="00D621BB">
              <w:rPr>
                <w:rFonts w:ascii="Arial" w:eastAsia="Arial" w:hAnsi="Arial" w:cs="Arial"/>
                <w:color w:val="000000"/>
                <w:sz w:val="20"/>
                <w:szCs w:val="20"/>
                <w:lang w:eastAsia="en-AU"/>
              </w:rPr>
              <w:t>Interwell</w:t>
            </w:r>
            <w:proofErr w:type="spellEnd"/>
          </w:p>
        </w:tc>
        <w:tc>
          <w:tcPr>
            <w:tcW w:w="1560" w:type="dxa"/>
            <w:tcBorders>
              <w:top w:val="single" w:sz="4" w:space="0" w:color="auto"/>
              <w:left w:val="single" w:sz="18" w:space="0" w:color="auto"/>
              <w:bottom w:val="single" w:sz="4" w:space="0" w:color="auto"/>
              <w:right w:val="single" w:sz="18" w:space="0" w:color="auto"/>
            </w:tcBorders>
          </w:tcPr>
          <w:p w:rsidR="000A41BF" w:rsidRPr="00D621BB" w:rsidRDefault="000A41BF" w:rsidP="00DF02AA">
            <w:pPr>
              <w:keepNext/>
              <w:rPr>
                <w:rFonts w:ascii="Arial" w:hAnsi="Arial" w:cs="Arial"/>
                <w:color w:val="000000"/>
                <w:sz w:val="20"/>
                <w:szCs w:val="20"/>
                <w:lang w:eastAsia="en-AU"/>
              </w:rPr>
            </w:pPr>
            <w:r>
              <w:rPr>
                <w:rFonts w:ascii="Arial" w:hAnsi="Arial" w:cs="Arial"/>
                <w:color w:val="000000"/>
                <w:sz w:val="20"/>
                <w:szCs w:val="20"/>
                <w:lang w:eastAsia="en-AU"/>
              </w:rPr>
              <w:t>Yes</w:t>
            </w:r>
          </w:p>
        </w:tc>
        <w:tc>
          <w:tcPr>
            <w:tcW w:w="1208" w:type="dxa"/>
            <w:tcBorders>
              <w:top w:val="single" w:sz="4" w:space="0" w:color="auto"/>
              <w:left w:val="single" w:sz="18" w:space="0" w:color="auto"/>
              <w:bottom w:val="single" w:sz="4" w:space="0" w:color="auto"/>
              <w:right w:val="single" w:sz="18" w:space="0" w:color="auto"/>
            </w:tcBorders>
          </w:tcPr>
          <w:p w:rsidR="000A41BF" w:rsidRPr="00D621BB" w:rsidRDefault="000A41BF" w:rsidP="00DF02AA">
            <w:pPr>
              <w:keepNext/>
              <w:rPr>
                <w:rFonts w:ascii="Arial" w:hAnsi="Arial" w:cs="Arial"/>
                <w:color w:val="000000"/>
                <w:sz w:val="20"/>
                <w:szCs w:val="20"/>
                <w:lang w:eastAsia="en-AU"/>
              </w:rPr>
            </w:pPr>
            <w:r>
              <w:rPr>
                <w:rFonts w:ascii="Arial" w:hAnsi="Arial" w:cs="Arial"/>
                <w:color w:val="000000"/>
                <w:sz w:val="20"/>
                <w:szCs w:val="20"/>
                <w:lang w:eastAsia="en-AU"/>
              </w:rPr>
              <w:t>No</w:t>
            </w:r>
          </w:p>
        </w:tc>
        <w:tc>
          <w:tcPr>
            <w:tcW w:w="5671" w:type="dxa"/>
            <w:tcBorders>
              <w:top w:val="single" w:sz="4" w:space="0" w:color="auto"/>
              <w:left w:val="single" w:sz="18" w:space="0" w:color="auto"/>
              <w:bottom w:val="single" w:sz="4" w:space="0" w:color="auto"/>
              <w:right w:val="single" w:sz="18" w:space="0" w:color="auto"/>
            </w:tcBorders>
            <w:shd w:val="clear" w:color="auto" w:fill="auto"/>
            <w:noWrap/>
            <w:hideMark/>
          </w:tcPr>
          <w:p w:rsidR="000A41BF" w:rsidRPr="00D621BB" w:rsidRDefault="000A41BF" w:rsidP="00DF02AA">
            <w:pPr>
              <w:keepNext/>
              <w:rPr>
                <w:rFonts w:ascii="Arial" w:hAnsi="Arial" w:cs="Arial"/>
                <w:color w:val="000000"/>
                <w:sz w:val="20"/>
                <w:szCs w:val="20"/>
                <w:lang w:eastAsia="en-AU"/>
              </w:rPr>
            </w:pPr>
            <w:r w:rsidRPr="00D621BB">
              <w:rPr>
                <w:rFonts w:ascii="Arial" w:hAnsi="Arial" w:cs="Arial"/>
                <w:color w:val="000000"/>
                <w:sz w:val="20"/>
                <w:szCs w:val="20"/>
                <w:lang w:eastAsia="en-AU"/>
              </w:rPr>
              <w:t> </w:t>
            </w:r>
          </w:p>
        </w:tc>
      </w:tr>
      <w:tr w:rsidR="000A41BF" w:rsidRPr="00D621BB" w:rsidTr="00DF02AA">
        <w:trPr>
          <w:cantSplit/>
          <w:trHeight w:val="300"/>
        </w:trPr>
        <w:tc>
          <w:tcPr>
            <w:tcW w:w="2425" w:type="dxa"/>
            <w:vMerge/>
            <w:tcBorders>
              <w:left w:val="single" w:sz="18" w:space="0" w:color="auto"/>
              <w:right w:val="single" w:sz="18" w:space="0" w:color="auto"/>
            </w:tcBorders>
            <w:vAlign w:val="center"/>
            <w:hideMark/>
          </w:tcPr>
          <w:p w:rsidR="000A41BF" w:rsidRPr="00D621BB" w:rsidRDefault="000A41BF" w:rsidP="00DF02AA">
            <w:pPr>
              <w:keepNext/>
              <w:rPr>
                <w:rFonts w:ascii="Arial" w:hAnsi="Arial" w:cs="Arial"/>
                <w:color w:val="000000"/>
                <w:sz w:val="20"/>
                <w:szCs w:val="20"/>
                <w:lang w:eastAsia="en-AU"/>
              </w:rPr>
            </w:pPr>
          </w:p>
        </w:tc>
        <w:tc>
          <w:tcPr>
            <w:tcW w:w="2976" w:type="dxa"/>
            <w:tcBorders>
              <w:top w:val="single" w:sz="4" w:space="0" w:color="auto"/>
              <w:left w:val="single" w:sz="18" w:space="0" w:color="auto"/>
              <w:bottom w:val="single" w:sz="4" w:space="0" w:color="auto"/>
              <w:right w:val="single" w:sz="18" w:space="0" w:color="auto"/>
            </w:tcBorders>
            <w:shd w:val="clear" w:color="auto" w:fill="auto"/>
            <w:noWrap/>
            <w:hideMark/>
          </w:tcPr>
          <w:p w:rsidR="000A41BF" w:rsidRPr="00D621BB" w:rsidRDefault="000A41BF" w:rsidP="00DF02AA">
            <w:pPr>
              <w:keepNext/>
              <w:rPr>
                <w:rFonts w:ascii="Arial" w:eastAsia="Arial" w:hAnsi="Arial" w:cs="Arial"/>
                <w:color w:val="000000"/>
                <w:sz w:val="20"/>
                <w:szCs w:val="20"/>
                <w:lang w:eastAsia="en-AU"/>
              </w:rPr>
            </w:pPr>
            <w:r w:rsidRPr="00D621BB">
              <w:rPr>
                <w:rFonts w:ascii="Arial" w:eastAsia="Arial" w:hAnsi="Arial" w:cs="Arial"/>
                <w:color w:val="000000"/>
                <w:sz w:val="20"/>
                <w:szCs w:val="20"/>
                <w:lang w:eastAsia="en-AU"/>
              </w:rPr>
              <w:t>Well Dog</w:t>
            </w:r>
          </w:p>
        </w:tc>
        <w:tc>
          <w:tcPr>
            <w:tcW w:w="1560" w:type="dxa"/>
            <w:tcBorders>
              <w:top w:val="single" w:sz="4" w:space="0" w:color="auto"/>
              <w:left w:val="single" w:sz="18" w:space="0" w:color="auto"/>
              <w:bottom w:val="single" w:sz="4" w:space="0" w:color="auto"/>
              <w:right w:val="single" w:sz="18" w:space="0" w:color="auto"/>
            </w:tcBorders>
          </w:tcPr>
          <w:p w:rsidR="000A41BF" w:rsidRPr="00D621BB" w:rsidRDefault="000A41BF" w:rsidP="00DF02AA">
            <w:pPr>
              <w:keepNext/>
              <w:rPr>
                <w:rFonts w:ascii="Arial" w:hAnsi="Arial" w:cs="Arial"/>
                <w:color w:val="000000"/>
                <w:sz w:val="20"/>
                <w:szCs w:val="20"/>
                <w:lang w:eastAsia="en-AU"/>
              </w:rPr>
            </w:pPr>
            <w:r>
              <w:rPr>
                <w:rFonts w:ascii="Arial" w:hAnsi="Arial" w:cs="Arial"/>
                <w:color w:val="000000"/>
                <w:sz w:val="20"/>
                <w:szCs w:val="20"/>
                <w:lang w:eastAsia="en-AU"/>
              </w:rPr>
              <w:t xml:space="preserve">Yes  </w:t>
            </w:r>
          </w:p>
        </w:tc>
        <w:tc>
          <w:tcPr>
            <w:tcW w:w="1208" w:type="dxa"/>
            <w:tcBorders>
              <w:top w:val="single" w:sz="4" w:space="0" w:color="auto"/>
              <w:left w:val="single" w:sz="18" w:space="0" w:color="auto"/>
              <w:bottom w:val="single" w:sz="4" w:space="0" w:color="auto"/>
              <w:right w:val="single" w:sz="18" w:space="0" w:color="auto"/>
            </w:tcBorders>
          </w:tcPr>
          <w:p w:rsidR="000A41BF" w:rsidRPr="00D621BB" w:rsidRDefault="000A41BF" w:rsidP="00DF02AA">
            <w:pPr>
              <w:keepNext/>
              <w:rPr>
                <w:rFonts w:ascii="Arial" w:hAnsi="Arial" w:cs="Arial"/>
                <w:color w:val="000000"/>
                <w:sz w:val="20"/>
                <w:szCs w:val="20"/>
                <w:lang w:eastAsia="en-AU"/>
              </w:rPr>
            </w:pPr>
            <w:r>
              <w:rPr>
                <w:rFonts w:ascii="Arial" w:hAnsi="Arial" w:cs="Arial"/>
                <w:color w:val="000000"/>
                <w:sz w:val="20"/>
                <w:szCs w:val="20"/>
                <w:lang w:eastAsia="en-AU"/>
              </w:rPr>
              <w:t>No</w:t>
            </w:r>
          </w:p>
        </w:tc>
        <w:tc>
          <w:tcPr>
            <w:tcW w:w="5671" w:type="dxa"/>
            <w:tcBorders>
              <w:top w:val="single" w:sz="4" w:space="0" w:color="auto"/>
              <w:left w:val="single" w:sz="18" w:space="0" w:color="auto"/>
              <w:bottom w:val="single" w:sz="4" w:space="0" w:color="auto"/>
              <w:right w:val="single" w:sz="18" w:space="0" w:color="auto"/>
            </w:tcBorders>
            <w:shd w:val="clear" w:color="auto" w:fill="auto"/>
            <w:noWrap/>
            <w:hideMark/>
          </w:tcPr>
          <w:p w:rsidR="000A41BF" w:rsidRPr="00D621BB" w:rsidRDefault="000A41BF" w:rsidP="00DF02AA">
            <w:pPr>
              <w:keepNext/>
              <w:rPr>
                <w:rFonts w:ascii="Arial" w:hAnsi="Arial" w:cs="Arial"/>
                <w:color w:val="000000"/>
                <w:sz w:val="20"/>
                <w:szCs w:val="20"/>
                <w:lang w:eastAsia="en-AU"/>
              </w:rPr>
            </w:pPr>
            <w:r w:rsidRPr="00D621BB">
              <w:rPr>
                <w:rFonts w:ascii="Arial" w:hAnsi="Arial" w:cs="Arial"/>
                <w:color w:val="000000"/>
                <w:sz w:val="20"/>
                <w:szCs w:val="20"/>
                <w:lang w:eastAsia="en-AU"/>
              </w:rPr>
              <w:t> </w:t>
            </w:r>
          </w:p>
        </w:tc>
      </w:tr>
      <w:tr w:rsidR="000A41BF" w:rsidRPr="00D621BB" w:rsidTr="00DF02AA">
        <w:trPr>
          <w:cantSplit/>
          <w:trHeight w:val="300"/>
        </w:trPr>
        <w:tc>
          <w:tcPr>
            <w:tcW w:w="2425" w:type="dxa"/>
            <w:vMerge/>
            <w:tcBorders>
              <w:left w:val="single" w:sz="18" w:space="0" w:color="auto"/>
              <w:right w:val="single" w:sz="18" w:space="0" w:color="auto"/>
            </w:tcBorders>
            <w:vAlign w:val="center"/>
            <w:hideMark/>
          </w:tcPr>
          <w:p w:rsidR="000A41BF" w:rsidRPr="00D621BB" w:rsidRDefault="000A41BF" w:rsidP="00DF02AA">
            <w:pPr>
              <w:keepNext/>
              <w:rPr>
                <w:rFonts w:ascii="Arial" w:hAnsi="Arial" w:cs="Arial"/>
                <w:color w:val="000000"/>
                <w:sz w:val="20"/>
                <w:szCs w:val="20"/>
                <w:lang w:eastAsia="en-AU"/>
              </w:rPr>
            </w:pPr>
          </w:p>
        </w:tc>
        <w:tc>
          <w:tcPr>
            <w:tcW w:w="2976" w:type="dxa"/>
            <w:tcBorders>
              <w:top w:val="single" w:sz="4" w:space="0" w:color="auto"/>
              <w:left w:val="single" w:sz="18" w:space="0" w:color="auto"/>
              <w:bottom w:val="single" w:sz="4" w:space="0" w:color="auto"/>
              <w:right w:val="single" w:sz="18" w:space="0" w:color="auto"/>
            </w:tcBorders>
            <w:shd w:val="clear" w:color="auto" w:fill="auto"/>
            <w:noWrap/>
            <w:hideMark/>
          </w:tcPr>
          <w:p w:rsidR="000A41BF" w:rsidRPr="00D621BB" w:rsidRDefault="000A41BF" w:rsidP="00DF02AA">
            <w:pPr>
              <w:keepNext/>
              <w:rPr>
                <w:rFonts w:ascii="Arial" w:eastAsia="Arial" w:hAnsi="Arial" w:cs="Arial"/>
                <w:color w:val="000000"/>
                <w:sz w:val="20"/>
                <w:szCs w:val="20"/>
                <w:lang w:eastAsia="en-AU"/>
              </w:rPr>
            </w:pPr>
            <w:proofErr w:type="spellStart"/>
            <w:r w:rsidRPr="00D621BB">
              <w:rPr>
                <w:rFonts w:ascii="Arial" w:eastAsia="Arial" w:hAnsi="Arial" w:cs="Arial"/>
                <w:color w:val="000000"/>
                <w:sz w:val="20"/>
                <w:szCs w:val="20"/>
                <w:lang w:eastAsia="en-AU"/>
              </w:rPr>
              <w:t>Vause</w:t>
            </w:r>
            <w:proofErr w:type="spellEnd"/>
            <w:r w:rsidRPr="00D621BB">
              <w:rPr>
                <w:rFonts w:ascii="Arial" w:eastAsia="Arial" w:hAnsi="Arial" w:cs="Arial"/>
                <w:color w:val="000000"/>
                <w:sz w:val="20"/>
                <w:szCs w:val="20"/>
                <w:lang w:eastAsia="en-AU"/>
              </w:rPr>
              <w:t xml:space="preserve"> Oil Production Services</w:t>
            </w:r>
          </w:p>
        </w:tc>
        <w:tc>
          <w:tcPr>
            <w:tcW w:w="1560" w:type="dxa"/>
            <w:tcBorders>
              <w:top w:val="single" w:sz="4" w:space="0" w:color="auto"/>
              <w:left w:val="single" w:sz="18" w:space="0" w:color="auto"/>
              <w:bottom w:val="single" w:sz="4" w:space="0" w:color="auto"/>
              <w:right w:val="single" w:sz="18" w:space="0" w:color="auto"/>
            </w:tcBorders>
          </w:tcPr>
          <w:p w:rsidR="000A41BF" w:rsidRPr="00D621BB" w:rsidRDefault="000A41BF" w:rsidP="00DF02AA">
            <w:pPr>
              <w:keepNext/>
              <w:rPr>
                <w:rFonts w:ascii="Arial" w:hAnsi="Arial" w:cs="Arial"/>
                <w:color w:val="000000"/>
                <w:sz w:val="20"/>
                <w:szCs w:val="20"/>
                <w:lang w:eastAsia="en-AU"/>
              </w:rPr>
            </w:pPr>
            <w:r>
              <w:rPr>
                <w:rFonts w:ascii="Arial" w:hAnsi="Arial" w:cs="Arial"/>
                <w:color w:val="000000"/>
                <w:sz w:val="20"/>
                <w:szCs w:val="20"/>
                <w:lang w:eastAsia="en-AU"/>
              </w:rPr>
              <w:t>Yes</w:t>
            </w:r>
          </w:p>
        </w:tc>
        <w:tc>
          <w:tcPr>
            <w:tcW w:w="1208" w:type="dxa"/>
            <w:tcBorders>
              <w:top w:val="single" w:sz="4" w:space="0" w:color="auto"/>
              <w:left w:val="single" w:sz="18" w:space="0" w:color="auto"/>
              <w:bottom w:val="single" w:sz="4" w:space="0" w:color="auto"/>
              <w:right w:val="single" w:sz="18" w:space="0" w:color="auto"/>
            </w:tcBorders>
          </w:tcPr>
          <w:p w:rsidR="000A41BF" w:rsidRPr="00D621BB" w:rsidRDefault="000A41BF" w:rsidP="00DF02AA">
            <w:pPr>
              <w:keepNext/>
              <w:rPr>
                <w:rFonts w:ascii="Arial" w:hAnsi="Arial" w:cs="Arial"/>
                <w:color w:val="000000"/>
                <w:sz w:val="20"/>
                <w:szCs w:val="20"/>
                <w:lang w:eastAsia="en-AU"/>
              </w:rPr>
            </w:pPr>
            <w:r>
              <w:rPr>
                <w:rFonts w:ascii="Arial" w:hAnsi="Arial" w:cs="Arial"/>
                <w:color w:val="000000"/>
                <w:sz w:val="20"/>
                <w:szCs w:val="20"/>
                <w:lang w:eastAsia="en-AU"/>
              </w:rPr>
              <w:t>No</w:t>
            </w:r>
          </w:p>
        </w:tc>
        <w:tc>
          <w:tcPr>
            <w:tcW w:w="5671" w:type="dxa"/>
            <w:tcBorders>
              <w:top w:val="single" w:sz="4" w:space="0" w:color="auto"/>
              <w:left w:val="single" w:sz="18" w:space="0" w:color="auto"/>
              <w:bottom w:val="single" w:sz="4" w:space="0" w:color="auto"/>
              <w:right w:val="single" w:sz="18" w:space="0" w:color="auto"/>
            </w:tcBorders>
            <w:shd w:val="clear" w:color="auto" w:fill="auto"/>
            <w:noWrap/>
            <w:hideMark/>
          </w:tcPr>
          <w:p w:rsidR="000A41BF" w:rsidRPr="00D621BB" w:rsidRDefault="000A41BF" w:rsidP="00DF02AA">
            <w:pPr>
              <w:keepNext/>
              <w:rPr>
                <w:rFonts w:ascii="Arial" w:hAnsi="Arial" w:cs="Arial"/>
                <w:color w:val="000000"/>
                <w:sz w:val="20"/>
                <w:szCs w:val="20"/>
                <w:lang w:eastAsia="en-AU"/>
              </w:rPr>
            </w:pPr>
            <w:r w:rsidRPr="00D621BB">
              <w:rPr>
                <w:rFonts w:ascii="Arial" w:hAnsi="Arial" w:cs="Arial"/>
                <w:color w:val="000000"/>
                <w:sz w:val="20"/>
                <w:szCs w:val="20"/>
                <w:lang w:eastAsia="en-AU"/>
              </w:rPr>
              <w:t> </w:t>
            </w:r>
          </w:p>
        </w:tc>
      </w:tr>
      <w:tr w:rsidR="000A41BF" w:rsidRPr="00D621BB" w:rsidTr="00DF02AA">
        <w:trPr>
          <w:cantSplit/>
          <w:trHeight w:val="300"/>
        </w:trPr>
        <w:tc>
          <w:tcPr>
            <w:tcW w:w="2425" w:type="dxa"/>
            <w:vMerge/>
            <w:tcBorders>
              <w:left w:val="single" w:sz="18" w:space="0" w:color="auto"/>
              <w:right w:val="single" w:sz="18" w:space="0" w:color="auto"/>
            </w:tcBorders>
            <w:vAlign w:val="center"/>
            <w:hideMark/>
          </w:tcPr>
          <w:p w:rsidR="000A41BF" w:rsidRPr="00D621BB" w:rsidRDefault="000A41BF" w:rsidP="00DF02AA">
            <w:pPr>
              <w:rPr>
                <w:rFonts w:ascii="Arial" w:hAnsi="Arial" w:cs="Arial"/>
                <w:color w:val="000000"/>
                <w:sz w:val="20"/>
                <w:szCs w:val="20"/>
                <w:lang w:eastAsia="en-AU"/>
              </w:rPr>
            </w:pPr>
          </w:p>
        </w:tc>
        <w:tc>
          <w:tcPr>
            <w:tcW w:w="2976" w:type="dxa"/>
            <w:tcBorders>
              <w:top w:val="single" w:sz="4" w:space="0" w:color="auto"/>
              <w:left w:val="single" w:sz="18" w:space="0" w:color="auto"/>
              <w:bottom w:val="single" w:sz="4" w:space="0" w:color="auto"/>
              <w:right w:val="single" w:sz="18" w:space="0" w:color="auto"/>
            </w:tcBorders>
            <w:shd w:val="clear" w:color="auto" w:fill="auto"/>
            <w:noWrap/>
            <w:hideMark/>
          </w:tcPr>
          <w:p w:rsidR="000A41BF" w:rsidRPr="00D621BB" w:rsidRDefault="000A41BF" w:rsidP="00DF02AA">
            <w:pPr>
              <w:rPr>
                <w:rFonts w:ascii="Arial" w:eastAsia="Arial" w:hAnsi="Arial" w:cs="Arial"/>
                <w:color w:val="000000"/>
                <w:sz w:val="20"/>
                <w:szCs w:val="20"/>
                <w:lang w:eastAsia="en-AU"/>
              </w:rPr>
            </w:pPr>
            <w:r w:rsidRPr="00D621BB">
              <w:rPr>
                <w:rFonts w:ascii="Arial" w:eastAsia="Arial" w:hAnsi="Arial" w:cs="Arial"/>
                <w:color w:val="000000"/>
                <w:sz w:val="20"/>
                <w:szCs w:val="20"/>
                <w:lang w:eastAsia="en-AU"/>
              </w:rPr>
              <w:t>Peak</w:t>
            </w:r>
          </w:p>
        </w:tc>
        <w:tc>
          <w:tcPr>
            <w:tcW w:w="1560" w:type="dxa"/>
            <w:tcBorders>
              <w:top w:val="single" w:sz="4" w:space="0" w:color="auto"/>
              <w:left w:val="single" w:sz="18" w:space="0" w:color="auto"/>
              <w:bottom w:val="single" w:sz="4" w:space="0" w:color="auto"/>
              <w:right w:val="single" w:sz="18" w:space="0" w:color="auto"/>
            </w:tcBorders>
          </w:tcPr>
          <w:p w:rsidR="000A41BF" w:rsidRPr="00D621BB" w:rsidRDefault="000A41BF" w:rsidP="00DF02AA">
            <w:pPr>
              <w:rPr>
                <w:rFonts w:ascii="Arial" w:hAnsi="Arial" w:cs="Arial"/>
                <w:color w:val="000000"/>
                <w:sz w:val="20"/>
                <w:szCs w:val="20"/>
                <w:lang w:eastAsia="en-AU"/>
              </w:rPr>
            </w:pPr>
            <w:r>
              <w:rPr>
                <w:rFonts w:ascii="Arial" w:hAnsi="Arial" w:cs="Arial"/>
                <w:color w:val="000000"/>
                <w:sz w:val="20"/>
                <w:szCs w:val="20"/>
                <w:lang w:eastAsia="en-AU"/>
              </w:rPr>
              <w:t>Yes</w:t>
            </w:r>
          </w:p>
        </w:tc>
        <w:tc>
          <w:tcPr>
            <w:tcW w:w="1208" w:type="dxa"/>
            <w:tcBorders>
              <w:top w:val="single" w:sz="4" w:space="0" w:color="auto"/>
              <w:left w:val="single" w:sz="18" w:space="0" w:color="auto"/>
              <w:bottom w:val="single" w:sz="4" w:space="0" w:color="auto"/>
              <w:right w:val="single" w:sz="18" w:space="0" w:color="auto"/>
            </w:tcBorders>
          </w:tcPr>
          <w:p w:rsidR="000A41BF" w:rsidRPr="00D621BB" w:rsidRDefault="000A41BF" w:rsidP="00DF02AA">
            <w:pPr>
              <w:rPr>
                <w:rFonts w:ascii="Arial" w:hAnsi="Arial" w:cs="Arial"/>
                <w:color w:val="000000"/>
                <w:sz w:val="20"/>
                <w:szCs w:val="20"/>
                <w:lang w:eastAsia="en-AU"/>
              </w:rPr>
            </w:pPr>
            <w:r>
              <w:rPr>
                <w:rFonts w:ascii="Arial" w:hAnsi="Arial" w:cs="Arial"/>
                <w:color w:val="000000"/>
                <w:sz w:val="20"/>
                <w:szCs w:val="20"/>
                <w:lang w:eastAsia="en-AU"/>
              </w:rPr>
              <w:t>No</w:t>
            </w:r>
          </w:p>
        </w:tc>
        <w:tc>
          <w:tcPr>
            <w:tcW w:w="5671" w:type="dxa"/>
            <w:tcBorders>
              <w:top w:val="single" w:sz="4" w:space="0" w:color="auto"/>
              <w:left w:val="single" w:sz="18" w:space="0" w:color="auto"/>
              <w:bottom w:val="single" w:sz="4" w:space="0" w:color="auto"/>
              <w:right w:val="single" w:sz="18" w:space="0" w:color="auto"/>
            </w:tcBorders>
            <w:shd w:val="clear" w:color="auto" w:fill="auto"/>
            <w:noWrap/>
            <w:hideMark/>
          </w:tcPr>
          <w:p w:rsidR="000A41BF" w:rsidRPr="00D621BB" w:rsidRDefault="000A41BF" w:rsidP="00DF02AA">
            <w:pPr>
              <w:rPr>
                <w:rFonts w:ascii="Arial" w:hAnsi="Arial" w:cs="Arial"/>
                <w:color w:val="000000"/>
                <w:sz w:val="20"/>
                <w:szCs w:val="20"/>
                <w:lang w:eastAsia="en-AU"/>
              </w:rPr>
            </w:pPr>
            <w:r w:rsidRPr="00D621BB">
              <w:rPr>
                <w:rFonts w:ascii="Arial" w:hAnsi="Arial" w:cs="Arial"/>
                <w:color w:val="000000"/>
                <w:sz w:val="20"/>
                <w:szCs w:val="20"/>
                <w:lang w:eastAsia="en-AU"/>
              </w:rPr>
              <w:t> </w:t>
            </w:r>
          </w:p>
        </w:tc>
      </w:tr>
      <w:tr w:rsidR="000A41BF" w:rsidRPr="00D621BB" w:rsidTr="00DF02AA">
        <w:trPr>
          <w:cantSplit/>
          <w:trHeight w:val="300"/>
        </w:trPr>
        <w:tc>
          <w:tcPr>
            <w:tcW w:w="2425" w:type="dxa"/>
            <w:vMerge/>
            <w:tcBorders>
              <w:left w:val="single" w:sz="18" w:space="0" w:color="auto"/>
              <w:right w:val="single" w:sz="18" w:space="0" w:color="auto"/>
            </w:tcBorders>
            <w:vAlign w:val="center"/>
            <w:hideMark/>
          </w:tcPr>
          <w:p w:rsidR="000A41BF" w:rsidRPr="00D621BB" w:rsidRDefault="000A41BF" w:rsidP="00DF02AA">
            <w:pPr>
              <w:rPr>
                <w:rFonts w:ascii="Arial" w:hAnsi="Arial" w:cs="Arial"/>
                <w:color w:val="000000"/>
                <w:sz w:val="20"/>
                <w:szCs w:val="20"/>
                <w:lang w:eastAsia="en-AU"/>
              </w:rPr>
            </w:pPr>
          </w:p>
        </w:tc>
        <w:tc>
          <w:tcPr>
            <w:tcW w:w="2976" w:type="dxa"/>
            <w:tcBorders>
              <w:top w:val="single" w:sz="4" w:space="0" w:color="auto"/>
              <w:left w:val="single" w:sz="18" w:space="0" w:color="auto"/>
              <w:bottom w:val="single" w:sz="4" w:space="0" w:color="auto"/>
              <w:right w:val="single" w:sz="18" w:space="0" w:color="auto"/>
            </w:tcBorders>
            <w:shd w:val="clear" w:color="auto" w:fill="auto"/>
            <w:noWrap/>
            <w:hideMark/>
          </w:tcPr>
          <w:p w:rsidR="000A41BF" w:rsidRPr="00D621BB" w:rsidRDefault="000A41BF" w:rsidP="00DF02AA">
            <w:pPr>
              <w:rPr>
                <w:rFonts w:ascii="Arial" w:eastAsia="Arial" w:hAnsi="Arial" w:cs="Arial"/>
                <w:color w:val="000000"/>
                <w:sz w:val="20"/>
                <w:szCs w:val="20"/>
                <w:lang w:eastAsia="en-AU"/>
              </w:rPr>
            </w:pPr>
            <w:proofErr w:type="spellStart"/>
            <w:r w:rsidRPr="00D621BB">
              <w:rPr>
                <w:rFonts w:ascii="Arial" w:eastAsia="Arial" w:hAnsi="Arial" w:cs="Arial"/>
                <w:color w:val="000000"/>
                <w:sz w:val="20"/>
                <w:szCs w:val="20"/>
                <w:lang w:eastAsia="en-AU"/>
              </w:rPr>
              <w:t>Tendeka</w:t>
            </w:r>
            <w:proofErr w:type="spellEnd"/>
          </w:p>
        </w:tc>
        <w:tc>
          <w:tcPr>
            <w:tcW w:w="1560" w:type="dxa"/>
            <w:tcBorders>
              <w:top w:val="single" w:sz="4" w:space="0" w:color="auto"/>
              <w:left w:val="single" w:sz="18" w:space="0" w:color="auto"/>
              <w:bottom w:val="single" w:sz="4" w:space="0" w:color="auto"/>
              <w:right w:val="single" w:sz="18" w:space="0" w:color="auto"/>
            </w:tcBorders>
          </w:tcPr>
          <w:p w:rsidR="000A41BF" w:rsidRPr="00D621BB" w:rsidRDefault="000A41BF" w:rsidP="00DF02AA">
            <w:pPr>
              <w:rPr>
                <w:rFonts w:ascii="Arial" w:hAnsi="Arial" w:cs="Arial"/>
                <w:color w:val="000000"/>
                <w:sz w:val="20"/>
                <w:szCs w:val="20"/>
                <w:lang w:eastAsia="en-AU"/>
              </w:rPr>
            </w:pPr>
            <w:r>
              <w:rPr>
                <w:rFonts w:ascii="Arial" w:hAnsi="Arial" w:cs="Arial"/>
                <w:color w:val="000000"/>
                <w:sz w:val="20"/>
                <w:szCs w:val="20"/>
                <w:lang w:eastAsia="en-AU"/>
              </w:rPr>
              <w:t>Yes</w:t>
            </w:r>
          </w:p>
        </w:tc>
        <w:tc>
          <w:tcPr>
            <w:tcW w:w="1208" w:type="dxa"/>
            <w:tcBorders>
              <w:top w:val="single" w:sz="4" w:space="0" w:color="auto"/>
              <w:left w:val="single" w:sz="18" w:space="0" w:color="auto"/>
              <w:bottom w:val="single" w:sz="4" w:space="0" w:color="auto"/>
              <w:right w:val="single" w:sz="18" w:space="0" w:color="auto"/>
            </w:tcBorders>
          </w:tcPr>
          <w:p w:rsidR="000A41BF" w:rsidRPr="00D621BB" w:rsidRDefault="000A41BF" w:rsidP="00DF02AA">
            <w:pPr>
              <w:rPr>
                <w:rFonts w:ascii="Arial" w:hAnsi="Arial" w:cs="Arial"/>
                <w:color w:val="000000"/>
                <w:sz w:val="20"/>
                <w:szCs w:val="20"/>
                <w:lang w:eastAsia="en-AU"/>
              </w:rPr>
            </w:pPr>
            <w:r>
              <w:rPr>
                <w:rFonts w:ascii="Arial" w:hAnsi="Arial" w:cs="Arial"/>
                <w:color w:val="000000"/>
                <w:sz w:val="20"/>
                <w:szCs w:val="20"/>
                <w:lang w:eastAsia="en-AU"/>
              </w:rPr>
              <w:t>No</w:t>
            </w:r>
          </w:p>
        </w:tc>
        <w:tc>
          <w:tcPr>
            <w:tcW w:w="5671" w:type="dxa"/>
            <w:tcBorders>
              <w:top w:val="single" w:sz="4" w:space="0" w:color="auto"/>
              <w:left w:val="single" w:sz="18" w:space="0" w:color="auto"/>
              <w:bottom w:val="single" w:sz="4" w:space="0" w:color="auto"/>
              <w:right w:val="single" w:sz="18" w:space="0" w:color="auto"/>
            </w:tcBorders>
            <w:shd w:val="clear" w:color="auto" w:fill="auto"/>
            <w:noWrap/>
            <w:hideMark/>
          </w:tcPr>
          <w:p w:rsidR="000A41BF" w:rsidRPr="00D621BB" w:rsidRDefault="000A41BF" w:rsidP="00DF02AA">
            <w:pPr>
              <w:rPr>
                <w:rFonts w:ascii="Arial" w:hAnsi="Arial" w:cs="Arial"/>
                <w:color w:val="000000"/>
                <w:sz w:val="20"/>
                <w:szCs w:val="20"/>
                <w:lang w:eastAsia="en-AU"/>
              </w:rPr>
            </w:pPr>
            <w:r w:rsidRPr="00D621BB">
              <w:rPr>
                <w:rFonts w:ascii="Arial" w:hAnsi="Arial" w:cs="Arial"/>
                <w:color w:val="000000"/>
                <w:sz w:val="20"/>
                <w:szCs w:val="20"/>
                <w:lang w:eastAsia="en-AU"/>
              </w:rPr>
              <w:t> </w:t>
            </w:r>
          </w:p>
        </w:tc>
      </w:tr>
      <w:tr w:rsidR="000A41BF" w:rsidRPr="00D621BB" w:rsidTr="00DF02AA">
        <w:trPr>
          <w:cantSplit/>
          <w:trHeight w:val="300"/>
        </w:trPr>
        <w:tc>
          <w:tcPr>
            <w:tcW w:w="2425" w:type="dxa"/>
            <w:vMerge/>
            <w:tcBorders>
              <w:left w:val="single" w:sz="18" w:space="0" w:color="auto"/>
              <w:right w:val="single" w:sz="18" w:space="0" w:color="auto"/>
            </w:tcBorders>
            <w:vAlign w:val="center"/>
          </w:tcPr>
          <w:p w:rsidR="000A41BF" w:rsidRPr="00D621BB" w:rsidRDefault="000A41BF" w:rsidP="00DF02AA">
            <w:pPr>
              <w:rPr>
                <w:rFonts w:ascii="Arial" w:hAnsi="Arial" w:cs="Arial"/>
                <w:color w:val="000000"/>
                <w:sz w:val="20"/>
                <w:szCs w:val="20"/>
                <w:lang w:eastAsia="en-AU"/>
              </w:rPr>
            </w:pPr>
          </w:p>
        </w:tc>
        <w:tc>
          <w:tcPr>
            <w:tcW w:w="2976" w:type="dxa"/>
            <w:tcBorders>
              <w:top w:val="single" w:sz="4" w:space="0" w:color="auto"/>
              <w:left w:val="single" w:sz="18" w:space="0" w:color="auto"/>
              <w:bottom w:val="single" w:sz="4" w:space="0" w:color="auto"/>
              <w:right w:val="single" w:sz="18" w:space="0" w:color="auto"/>
            </w:tcBorders>
            <w:shd w:val="clear" w:color="auto" w:fill="auto"/>
            <w:noWrap/>
          </w:tcPr>
          <w:p w:rsidR="000A41BF" w:rsidRPr="00D621BB" w:rsidRDefault="000A41BF" w:rsidP="00DF02AA">
            <w:pPr>
              <w:rPr>
                <w:rFonts w:ascii="Arial" w:eastAsia="Arial" w:hAnsi="Arial" w:cs="Arial"/>
                <w:color w:val="000000"/>
                <w:sz w:val="20"/>
                <w:szCs w:val="20"/>
                <w:lang w:eastAsia="en-AU"/>
              </w:rPr>
            </w:pPr>
          </w:p>
        </w:tc>
        <w:tc>
          <w:tcPr>
            <w:tcW w:w="1560" w:type="dxa"/>
            <w:tcBorders>
              <w:top w:val="single" w:sz="4" w:space="0" w:color="auto"/>
              <w:left w:val="single" w:sz="18" w:space="0" w:color="auto"/>
              <w:bottom w:val="single" w:sz="4" w:space="0" w:color="auto"/>
              <w:right w:val="single" w:sz="18" w:space="0" w:color="auto"/>
            </w:tcBorders>
          </w:tcPr>
          <w:p w:rsidR="000A41BF" w:rsidRDefault="000A41BF" w:rsidP="00DF02AA">
            <w:pPr>
              <w:rPr>
                <w:rFonts w:ascii="Arial" w:hAnsi="Arial" w:cs="Arial"/>
                <w:color w:val="000000"/>
                <w:sz w:val="20"/>
                <w:szCs w:val="20"/>
                <w:lang w:eastAsia="en-AU"/>
              </w:rPr>
            </w:pPr>
          </w:p>
        </w:tc>
        <w:tc>
          <w:tcPr>
            <w:tcW w:w="1208" w:type="dxa"/>
            <w:tcBorders>
              <w:top w:val="single" w:sz="4" w:space="0" w:color="auto"/>
              <w:left w:val="single" w:sz="18" w:space="0" w:color="auto"/>
              <w:bottom w:val="single" w:sz="4" w:space="0" w:color="auto"/>
              <w:right w:val="single" w:sz="18" w:space="0" w:color="auto"/>
            </w:tcBorders>
          </w:tcPr>
          <w:p w:rsidR="000A41BF" w:rsidRDefault="000A41BF" w:rsidP="00DF02AA">
            <w:pPr>
              <w:rPr>
                <w:rFonts w:ascii="Arial" w:hAnsi="Arial" w:cs="Arial"/>
                <w:color w:val="000000"/>
                <w:sz w:val="20"/>
                <w:szCs w:val="20"/>
                <w:lang w:eastAsia="en-AU"/>
              </w:rPr>
            </w:pPr>
          </w:p>
        </w:tc>
        <w:tc>
          <w:tcPr>
            <w:tcW w:w="5671" w:type="dxa"/>
            <w:tcBorders>
              <w:top w:val="single" w:sz="4" w:space="0" w:color="auto"/>
              <w:left w:val="single" w:sz="18" w:space="0" w:color="auto"/>
              <w:bottom w:val="single" w:sz="4" w:space="0" w:color="auto"/>
              <w:right w:val="single" w:sz="18" w:space="0" w:color="auto"/>
            </w:tcBorders>
            <w:shd w:val="clear" w:color="auto" w:fill="auto"/>
            <w:noWrap/>
          </w:tcPr>
          <w:p w:rsidR="000A41BF" w:rsidRPr="00D621BB" w:rsidRDefault="000A41BF" w:rsidP="00DF02AA">
            <w:pPr>
              <w:rPr>
                <w:rFonts w:ascii="Arial" w:hAnsi="Arial" w:cs="Arial"/>
                <w:color w:val="000000"/>
                <w:sz w:val="20"/>
                <w:szCs w:val="20"/>
                <w:lang w:eastAsia="en-AU"/>
              </w:rPr>
            </w:pPr>
          </w:p>
        </w:tc>
      </w:tr>
      <w:tr w:rsidR="000A41BF" w:rsidRPr="00D621BB" w:rsidTr="00DF02AA">
        <w:trPr>
          <w:cantSplit/>
          <w:trHeight w:val="300"/>
        </w:trPr>
        <w:tc>
          <w:tcPr>
            <w:tcW w:w="2425" w:type="dxa"/>
            <w:vMerge/>
            <w:tcBorders>
              <w:left w:val="single" w:sz="18" w:space="0" w:color="auto"/>
              <w:bottom w:val="single" w:sz="18" w:space="0" w:color="auto"/>
              <w:right w:val="single" w:sz="18" w:space="0" w:color="auto"/>
            </w:tcBorders>
            <w:vAlign w:val="center"/>
            <w:hideMark/>
          </w:tcPr>
          <w:p w:rsidR="000A41BF" w:rsidRPr="00D621BB" w:rsidRDefault="000A41BF" w:rsidP="00DF02AA">
            <w:pPr>
              <w:rPr>
                <w:rFonts w:ascii="Arial" w:hAnsi="Arial" w:cs="Arial"/>
                <w:color w:val="000000"/>
                <w:sz w:val="20"/>
                <w:szCs w:val="20"/>
                <w:lang w:eastAsia="en-AU"/>
              </w:rPr>
            </w:pPr>
          </w:p>
        </w:tc>
        <w:tc>
          <w:tcPr>
            <w:tcW w:w="2976" w:type="dxa"/>
            <w:tcBorders>
              <w:top w:val="single" w:sz="4" w:space="0" w:color="auto"/>
              <w:left w:val="single" w:sz="18" w:space="0" w:color="auto"/>
              <w:bottom w:val="single" w:sz="18" w:space="0" w:color="auto"/>
              <w:right w:val="single" w:sz="18" w:space="0" w:color="auto"/>
            </w:tcBorders>
            <w:shd w:val="clear" w:color="auto" w:fill="auto"/>
            <w:noWrap/>
            <w:hideMark/>
          </w:tcPr>
          <w:p w:rsidR="000A41BF" w:rsidRPr="00D621BB" w:rsidRDefault="000A41BF" w:rsidP="00DF02AA">
            <w:pPr>
              <w:rPr>
                <w:rFonts w:ascii="Arial" w:eastAsia="Arial" w:hAnsi="Arial" w:cs="Arial"/>
                <w:color w:val="000000"/>
                <w:sz w:val="20"/>
                <w:szCs w:val="20"/>
                <w:lang w:eastAsia="en-AU"/>
              </w:rPr>
            </w:pPr>
            <w:r w:rsidRPr="00D621BB">
              <w:rPr>
                <w:rFonts w:ascii="Arial" w:eastAsia="Arial" w:hAnsi="Arial" w:cs="Arial"/>
                <w:color w:val="000000"/>
                <w:sz w:val="20"/>
                <w:szCs w:val="20"/>
                <w:lang w:eastAsia="en-AU"/>
              </w:rPr>
              <w:t>Magnum Oil Tools</w:t>
            </w:r>
          </w:p>
        </w:tc>
        <w:tc>
          <w:tcPr>
            <w:tcW w:w="1560" w:type="dxa"/>
            <w:tcBorders>
              <w:top w:val="single" w:sz="4" w:space="0" w:color="auto"/>
              <w:left w:val="single" w:sz="18" w:space="0" w:color="auto"/>
              <w:bottom w:val="single" w:sz="18" w:space="0" w:color="auto"/>
              <w:right w:val="single" w:sz="18" w:space="0" w:color="auto"/>
            </w:tcBorders>
          </w:tcPr>
          <w:p w:rsidR="000A41BF" w:rsidRPr="00D621BB" w:rsidRDefault="000A41BF" w:rsidP="00DF02AA">
            <w:pPr>
              <w:rPr>
                <w:rFonts w:ascii="Arial" w:hAnsi="Arial" w:cs="Arial"/>
                <w:color w:val="000000"/>
                <w:sz w:val="20"/>
                <w:szCs w:val="20"/>
                <w:lang w:eastAsia="en-AU"/>
              </w:rPr>
            </w:pPr>
            <w:r>
              <w:rPr>
                <w:rFonts w:ascii="Arial" w:hAnsi="Arial" w:cs="Arial"/>
                <w:color w:val="000000"/>
                <w:sz w:val="20"/>
                <w:szCs w:val="20"/>
                <w:lang w:eastAsia="en-AU"/>
              </w:rPr>
              <w:t>Yes</w:t>
            </w:r>
          </w:p>
        </w:tc>
        <w:tc>
          <w:tcPr>
            <w:tcW w:w="1208" w:type="dxa"/>
            <w:tcBorders>
              <w:top w:val="single" w:sz="4" w:space="0" w:color="auto"/>
              <w:left w:val="single" w:sz="18" w:space="0" w:color="auto"/>
              <w:bottom w:val="single" w:sz="18" w:space="0" w:color="auto"/>
              <w:right w:val="single" w:sz="18" w:space="0" w:color="auto"/>
            </w:tcBorders>
          </w:tcPr>
          <w:p w:rsidR="000A41BF" w:rsidRPr="00D621BB" w:rsidRDefault="000A41BF" w:rsidP="00DF02AA">
            <w:pPr>
              <w:rPr>
                <w:rFonts w:ascii="Arial" w:hAnsi="Arial" w:cs="Arial"/>
                <w:color w:val="000000"/>
                <w:sz w:val="20"/>
                <w:szCs w:val="20"/>
                <w:lang w:eastAsia="en-AU"/>
              </w:rPr>
            </w:pPr>
            <w:r>
              <w:rPr>
                <w:rFonts w:ascii="Arial" w:hAnsi="Arial" w:cs="Arial"/>
                <w:color w:val="000000"/>
                <w:sz w:val="20"/>
                <w:szCs w:val="20"/>
                <w:lang w:eastAsia="en-AU"/>
              </w:rPr>
              <w:t>No</w:t>
            </w:r>
          </w:p>
        </w:tc>
        <w:tc>
          <w:tcPr>
            <w:tcW w:w="5671" w:type="dxa"/>
            <w:tcBorders>
              <w:top w:val="single" w:sz="4" w:space="0" w:color="auto"/>
              <w:left w:val="single" w:sz="18" w:space="0" w:color="auto"/>
              <w:bottom w:val="single" w:sz="18" w:space="0" w:color="auto"/>
              <w:right w:val="single" w:sz="18" w:space="0" w:color="auto"/>
            </w:tcBorders>
            <w:shd w:val="clear" w:color="auto" w:fill="auto"/>
            <w:noWrap/>
            <w:hideMark/>
          </w:tcPr>
          <w:p w:rsidR="000A41BF" w:rsidRPr="00D621BB" w:rsidRDefault="000A41BF" w:rsidP="00DF02AA">
            <w:pPr>
              <w:rPr>
                <w:rFonts w:ascii="Arial" w:hAnsi="Arial" w:cs="Arial"/>
                <w:color w:val="000000"/>
                <w:sz w:val="20"/>
                <w:szCs w:val="20"/>
                <w:lang w:eastAsia="en-AU"/>
              </w:rPr>
            </w:pPr>
            <w:r w:rsidRPr="00D621BB">
              <w:rPr>
                <w:rFonts w:ascii="Arial" w:hAnsi="Arial" w:cs="Arial"/>
                <w:color w:val="000000"/>
                <w:sz w:val="20"/>
                <w:szCs w:val="20"/>
                <w:lang w:eastAsia="en-AU"/>
              </w:rPr>
              <w:t> </w:t>
            </w:r>
          </w:p>
        </w:tc>
      </w:tr>
      <w:tr w:rsidR="000A41BF" w:rsidRPr="00D621BB" w:rsidTr="00DF02AA">
        <w:trPr>
          <w:cantSplit/>
          <w:trHeight w:val="300"/>
        </w:trPr>
        <w:tc>
          <w:tcPr>
            <w:tcW w:w="2425" w:type="dxa"/>
            <w:vMerge w:val="restart"/>
            <w:tcBorders>
              <w:top w:val="single" w:sz="18" w:space="0" w:color="auto"/>
              <w:left w:val="single" w:sz="18" w:space="0" w:color="auto"/>
              <w:right w:val="single" w:sz="18" w:space="0" w:color="auto"/>
            </w:tcBorders>
          </w:tcPr>
          <w:p w:rsidR="000A41BF" w:rsidRPr="00D621BB" w:rsidRDefault="000A41BF" w:rsidP="00DF02AA">
            <w:pPr>
              <w:rPr>
                <w:rFonts w:ascii="Arial" w:hAnsi="Arial" w:cs="Arial"/>
                <w:color w:val="000000"/>
                <w:sz w:val="20"/>
                <w:szCs w:val="20"/>
                <w:lang w:eastAsia="en-AU"/>
              </w:rPr>
            </w:pPr>
            <w:r w:rsidRPr="00D621BB">
              <w:rPr>
                <w:rFonts w:ascii="Arial" w:hAnsi="Arial" w:cs="Arial"/>
                <w:color w:val="000000"/>
                <w:sz w:val="20"/>
                <w:szCs w:val="20"/>
                <w:lang w:eastAsia="en-AU"/>
              </w:rPr>
              <w:t xml:space="preserve">Hydraulic fracturing </w:t>
            </w:r>
          </w:p>
        </w:tc>
        <w:tc>
          <w:tcPr>
            <w:tcW w:w="2976" w:type="dxa"/>
            <w:tcBorders>
              <w:top w:val="single" w:sz="18" w:space="0" w:color="auto"/>
              <w:left w:val="single" w:sz="18" w:space="0" w:color="auto"/>
              <w:bottom w:val="single" w:sz="8" w:space="0" w:color="auto"/>
              <w:right w:val="single" w:sz="18" w:space="0" w:color="auto"/>
            </w:tcBorders>
            <w:shd w:val="clear" w:color="auto" w:fill="auto"/>
            <w:noWrap/>
          </w:tcPr>
          <w:p w:rsidR="000A41BF" w:rsidRPr="00D621BB" w:rsidRDefault="000A41BF" w:rsidP="00DF02AA">
            <w:pPr>
              <w:rPr>
                <w:rFonts w:ascii="Arial" w:eastAsia="Arial" w:hAnsi="Arial" w:cs="Arial"/>
                <w:color w:val="000000"/>
                <w:sz w:val="20"/>
                <w:szCs w:val="20"/>
                <w:lang w:eastAsia="en-AU"/>
              </w:rPr>
            </w:pPr>
            <w:r>
              <w:rPr>
                <w:rFonts w:ascii="Arial" w:eastAsia="Arial" w:hAnsi="Arial" w:cs="Arial"/>
                <w:color w:val="000000"/>
                <w:sz w:val="20"/>
                <w:szCs w:val="20"/>
                <w:lang w:eastAsia="en-AU"/>
              </w:rPr>
              <w:t xml:space="preserve">Halliburton </w:t>
            </w:r>
          </w:p>
        </w:tc>
        <w:tc>
          <w:tcPr>
            <w:tcW w:w="1560" w:type="dxa"/>
            <w:tcBorders>
              <w:top w:val="single" w:sz="18" w:space="0" w:color="auto"/>
              <w:left w:val="single" w:sz="18" w:space="0" w:color="auto"/>
              <w:bottom w:val="single" w:sz="8" w:space="0" w:color="auto"/>
              <w:right w:val="single" w:sz="18" w:space="0" w:color="auto"/>
            </w:tcBorders>
          </w:tcPr>
          <w:p w:rsidR="000A41BF" w:rsidRPr="00D621BB" w:rsidRDefault="000A41BF" w:rsidP="00DF02AA">
            <w:pPr>
              <w:rPr>
                <w:rFonts w:ascii="Arial" w:hAnsi="Arial" w:cs="Arial"/>
                <w:color w:val="000000"/>
                <w:sz w:val="20"/>
                <w:szCs w:val="20"/>
                <w:lang w:eastAsia="en-AU"/>
              </w:rPr>
            </w:pPr>
            <w:r>
              <w:rPr>
                <w:rFonts w:ascii="Arial" w:hAnsi="Arial" w:cs="Arial"/>
                <w:color w:val="000000"/>
                <w:sz w:val="20"/>
                <w:szCs w:val="20"/>
                <w:lang w:eastAsia="en-AU"/>
              </w:rPr>
              <w:t>Yes</w:t>
            </w:r>
          </w:p>
        </w:tc>
        <w:tc>
          <w:tcPr>
            <w:tcW w:w="1208" w:type="dxa"/>
            <w:tcBorders>
              <w:top w:val="single" w:sz="18" w:space="0" w:color="auto"/>
              <w:left w:val="single" w:sz="18" w:space="0" w:color="auto"/>
              <w:bottom w:val="single" w:sz="8" w:space="0" w:color="auto"/>
              <w:right w:val="single" w:sz="18" w:space="0" w:color="auto"/>
            </w:tcBorders>
          </w:tcPr>
          <w:p w:rsidR="000A41BF" w:rsidRPr="00D621BB" w:rsidRDefault="000A41BF" w:rsidP="00DF02AA">
            <w:pPr>
              <w:rPr>
                <w:rFonts w:ascii="Arial" w:hAnsi="Arial" w:cs="Arial"/>
                <w:color w:val="000000"/>
                <w:sz w:val="20"/>
                <w:szCs w:val="20"/>
                <w:lang w:eastAsia="en-AU"/>
              </w:rPr>
            </w:pPr>
            <w:r>
              <w:rPr>
                <w:rFonts w:ascii="Arial" w:hAnsi="Arial" w:cs="Arial"/>
                <w:color w:val="000000"/>
                <w:sz w:val="20"/>
                <w:szCs w:val="20"/>
                <w:lang w:eastAsia="en-AU"/>
              </w:rPr>
              <w:t>Yes</w:t>
            </w:r>
          </w:p>
        </w:tc>
        <w:tc>
          <w:tcPr>
            <w:tcW w:w="5671" w:type="dxa"/>
            <w:tcBorders>
              <w:top w:val="single" w:sz="18" w:space="0" w:color="auto"/>
              <w:left w:val="single" w:sz="18" w:space="0" w:color="auto"/>
              <w:bottom w:val="single" w:sz="8" w:space="0" w:color="auto"/>
              <w:right w:val="single" w:sz="18" w:space="0" w:color="auto"/>
            </w:tcBorders>
            <w:shd w:val="clear" w:color="auto" w:fill="auto"/>
            <w:noWrap/>
          </w:tcPr>
          <w:p w:rsidR="000A41BF" w:rsidRPr="00D621BB" w:rsidRDefault="000A41BF" w:rsidP="00DF02AA">
            <w:pPr>
              <w:rPr>
                <w:rFonts w:ascii="Arial" w:hAnsi="Arial" w:cs="Arial"/>
                <w:color w:val="000000"/>
                <w:sz w:val="20"/>
                <w:szCs w:val="20"/>
                <w:lang w:eastAsia="en-AU"/>
              </w:rPr>
            </w:pPr>
          </w:p>
        </w:tc>
      </w:tr>
      <w:tr w:rsidR="000A41BF" w:rsidRPr="00D621BB" w:rsidTr="00DF02AA">
        <w:trPr>
          <w:cantSplit/>
          <w:trHeight w:val="300"/>
        </w:trPr>
        <w:tc>
          <w:tcPr>
            <w:tcW w:w="2425" w:type="dxa"/>
            <w:vMerge/>
            <w:tcBorders>
              <w:left w:val="single" w:sz="18" w:space="0" w:color="auto"/>
              <w:right w:val="single" w:sz="18" w:space="0" w:color="auto"/>
            </w:tcBorders>
          </w:tcPr>
          <w:p w:rsidR="000A41BF" w:rsidRPr="00D621BB" w:rsidRDefault="000A41BF" w:rsidP="00DF02AA">
            <w:pPr>
              <w:rPr>
                <w:rFonts w:ascii="Arial" w:hAnsi="Arial" w:cs="Arial"/>
                <w:color w:val="000000"/>
                <w:sz w:val="20"/>
                <w:szCs w:val="20"/>
                <w:lang w:eastAsia="en-AU"/>
              </w:rPr>
            </w:pPr>
          </w:p>
        </w:tc>
        <w:tc>
          <w:tcPr>
            <w:tcW w:w="2976" w:type="dxa"/>
            <w:tcBorders>
              <w:top w:val="single" w:sz="8" w:space="0" w:color="auto"/>
              <w:left w:val="single" w:sz="18" w:space="0" w:color="auto"/>
              <w:bottom w:val="single" w:sz="8" w:space="0" w:color="auto"/>
              <w:right w:val="single" w:sz="18" w:space="0" w:color="auto"/>
            </w:tcBorders>
            <w:shd w:val="clear" w:color="auto" w:fill="auto"/>
            <w:noWrap/>
          </w:tcPr>
          <w:p w:rsidR="000A41BF" w:rsidRPr="00D621BB" w:rsidRDefault="000A41BF" w:rsidP="00DF02AA">
            <w:pPr>
              <w:rPr>
                <w:rFonts w:ascii="Arial" w:eastAsia="Arial" w:hAnsi="Arial" w:cs="Arial"/>
                <w:color w:val="000000"/>
                <w:sz w:val="20"/>
                <w:szCs w:val="20"/>
                <w:lang w:eastAsia="en-AU"/>
              </w:rPr>
            </w:pPr>
            <w:r>
              <w:rPr>
                <w:rFonts w:ascii="Arial" w:eastAsia="Arial" w:hAnsi="Arial" w:cs="Arial"/>
                <w:color w:val="000000"/>
                <w:sz w:val="20"/>
                <w:szCs w:val="20"/>
                <w:lang w:eastAsia="en-AU"/>
              </w:rPr>
              <w:t>Baker Hughes</w:t>
            </w:r>
          </w:p>
        </w:tc>
        <w:tc>
          <w:tcPr>
            <w:tcW w:w="1560" w:type="dxa"/>
            <w:tcBorders>
              <w:top w:val="single" w:sz="8" w:space="0" w:color="auto"/>
              <w:left w:val="single" w:sz="18" w:space="0" w:color="auto"/>
              <w:bottom w:val="single" w:sz="8" w:space="0" w:color="auto"/>
              <w:right w:val="single" w:sz="18" w:space="0" w:color="auto"/>
            </w:tcBorders>
          </w:tcPr>
          <w:p w:rsidR="000A41BF" w:rsidRPr="00D621BB" w:rsidRDefault="000A41BF" w:rsidP="00DF02AA">
            <w:pPr>
              <w:rPr>
                <w:rFonts w:ascii="Arial" w:hAnsi="Arial" w:cs="Arial"/>
                <w:color w:val="000000"/>
                <w:sz w:val="20"/>
                <w:szCs w:val="20"/>
                <w:lang w:eastAsia="en-AU"/>
              </w:rPr>
            </w:pPr>
            <w:r>
              <w:rPr>
                <w:rFonts w:ascii="Arial" w:hAnsi="Arial" w:cs="Arial"/>
                <w:color w:val="000000"/>
                <w:sz w:val="20"/>
                <w:szCs w:val="20"/>
                <w:lang w:eastAsia="en-AU"/>
              </w:rPr>
              <w:t>Yes</w:t>
            </w:r>
          </w:p>
        </w:tc>
        <w:tc>
          <w:tcPr>
            <w:tcW w:w="1208" w:type="dxa"/>
            <w:tcBorders>
              <w:top w:val="single" w:sz="8" w:space="0" w:color="auto"/>
              <w:left w:val="single" w:sz="18" w:space="0" w:color="auto"/>
              <w:bottom w:val="single" w:sz="8" w:space="0" w:color="auto"/>
              <w:right w:val="single" w:sz="18" w:space="0" w:color="auto"/>
            </w:tcBorders>
          </w:tcPr>
          <w:p w:rsidR="000A41BF" w:rsidRPr="00D621BB" w:rsidRDefault="000A41BF" w:rsidP="00DF02AA">
            <w:pPr>
              <w:rPr>
                <w:rFonts w:ascii="Arial" w:hAnsi="Arial" w:cs="Arial"/>
                <w:color w:val="000000"/>
                <w:sz w:val="20"/>
                <w:szCs w:val="20"/>
                <w:lang w:eastAsia="en-AU"/>
              </w:rPr>
            </w:pPr>
            <w:r>
              <w:rPr>
                <w:rFonts w:ascii="Arial" w:hAnsi="Arial" w:cs="Arial"/>
                <w:color w:val="000000"/>
                <w:sz w:val="20"/>
                <w:szCs w:val="20"/>
                <w:lang w:eastAsia="en-AU"/>
              </w:rPr>
              <w:t>Yes</w:t>
            </w:r>
          </w:p>
        </w:tc>
        <w:tc>
          <w:tcPr>
            <w:tcW w:w="5671" w:type="dxa"/>
            <w:tcBorders>
              <w:top w:val="single" w:sz="8" w:space="0" w:color="auto"/>
              <w:left w:val="single" w:sz="18" w:space="0" w:color="auto"/>
              <w:bottom w:val="single" w:sz="8" w:space="0" w:color="auto"/>
              <w:right w:val="single" w:sz="18" w:space="0" w:color="auto"/>
            </w:tcBorders>
            <w:shd w:val="clear" w:color="auto" w:fill="auto"/>
            <w:noWrap/>
          </w:tcPr>
          <w:p w:rsidR="000A41BF" w:rsidRPr="00D621BB" w:rsidRDefault="000A41BF" w:rsidP="00DF02AA">
            <w:pPr>
              <w:rPr>
                <w:rFonts w:ascii="Arial" w:hAnsi="Arial" w:cs="Arial"/>
                <w:color w:val="000000"/>
                <w:sz w:val="20"/>
                <w:szCs w:val="20"/>
                <w:lang w:eastAsia="en-AU"/>
              </w:rPr>
            </w:pPr>
          </w:p>
        </w:tc>
      </w:tr>
      <w:tr w:rsidR="000A41BF" w:rsidRPr="00D621BB" w:rsidTr="00DF02AA">
        <w:trPr>
          <w:cantSplit/>
          <w:trHeight w:val="300"/>
        </w:trPr>
        <w:tc>
          <w:tcPr>
            <w:tcW w:w="2425" w:type="dxa"/>
            <w:vMerge/>
            <w:tcBorders>
              <w:left w:val="single" w:sz="18" w:space="0" w:color="auto"/>
              <w:right w:val="single" w:sz="18" w:space="0" w:color="auto"/>
            </w:tcBorders>
          </w:tcPr>
          <w:p w:rsidR="000A41BF" w:rsidRPr="00D621BB" w:rsidRDefault="000A41BF" w:rsidP="00DF02AA">
            <w:pPr>
              <w:rPr>
                <w:rFonts w:ascii="Arial" w:hAnsi="Arial" w:cs="Arial"/>
                <w:color w:val="000000"/>
                <w:sz w:val="20"/>
                <w:szCs w:val="20"/>
                <w:lang w:eastAsia="en-AU"/>
              </w:rPr>
            </w:pPr>
          </w:p>
        </w:tc>
        <w:tc>
          <w:tcPr>
            <w:tcW w:w="2976" w:type="dxa"/>
            <w:tcBorders>
              <w:top w:val="single" w:sz="8" w:space="0" w:color="auto"/>
              <w:left w:val="single" w:sz="18" w:space="0" w:color="auto"/>
              <w:bottom w:val="single" w:sz="4" w:space="0" w:color="auto"/>
              <w:right w:val="single" w:sz="18" w:space="0" w:color="auto"/>
            </w:tcBorders>
            <w:shd w:val="clear" w:color="auto" w:fill="auto"/>
            <w:noWrap/>
          </w:tcPr>
          <w:p w:rsidR="000A41BF" w:rsidRPr="00D621BB" w:rsidRDefault="000A41BF" w:rsidP="00DF02AA">
            <w:pPr>
              <w:rPr>
                <w:rFonts w:ascii="Arial" w:eastAsia="Arial" w:hAnsi="Arial" w:cs="Arial"/>
                <w:color w:val="000000"/>
                <w:sz w:val="20"/>
                <w:szCs w:val="20"/>
                <w:lang w:eastAsia="en-AU"/>
              </w:rPr>
            </w:pPr>
            <w:r w:rsidRPr="00D621BB">
              <w:rPr>
                <w:rFonts w:ascii="Arial" w:eastAsia="Arial" w:hAnsi="Arial" w:cs="Arial"/>
                <w:color w:val="000000"/>
                <w:sz w:val="20"/>
                <w:szCs w:val="20"/>
                <w:lang w:eastAsia="en-AU"/>
              </w:rPr>
              <w:t>Schlumberger</w:t>
            </w:r>
          </w:p>
        </w:tc>
        <w:tc>
          <w:tcPr>
            <w:tcW w:w="1560" w:type="dxa"/>
            <w:tcBorders>
              <w:top w:val="single" w:sz="8" w:space="0" w:color="auto"/>
              <w:left w:val="single" w:sz="18" w:space="0" w:color="auto"/>
              <w:bottom w:val="single" w:sz="4" w:space="0" w:color="auto"/>
              <w:right w:val="single" w:sz="18" w:space="0" w:color="auto"/>
            </w:tcBorders>
          </w:tcPr>
          <w:p w:rsidR="000A41BF" w:rsidRPr="00D621BB" w:rsidRDefault="000A41BF" w:rsidP="00DF02AA">
            <w:pPr>
              <w:rPr>
                <w:rFonts w:ascii="Arial" w:hAnsi="Arial" w:cs="Arial"/>
                <w:color w:val="000000"/>
                <w:sz w:val="20"/>
                <w:szCs w:val="20"/>
                <w:lang w:eastAsia="en-AU"/>
              </w:rPr>
            </w:pPr>
            <w:r>
              <w:rPr>
                <w:rFonts w:ascii="Arial" w:hAnsi="Arial" w:cs="Arial"/>
                <w:color w:val="000000"/>
                <w:sz w:val="20"/>
                <w:szCs w:val="20"/>
                <w:lang w:eastAsia="en-AU"/>
              </w:rPr>
              <w:t>Yes</w:t>
            </w:r>
          </w:p>
        </w:tc>
        <w:tc>
          <w:tcPr>
            <w:tcW w:w="1208" w:type="dxa"/>
            <w:tcBorders>
              <w:top w:val="single" w:sz="8" w:space="0" w:color="auto"/>
              <w:left w:val="single" w:sz="18" w:space="0" w:color="auto"/>
              <w:bottom w:val="single" w:sz="4" w:space="0" w:color="auto"/>
              <w:right w:val="single" w:sz="18" w:space="0" w:color="auto"/>
            </w:tcBorders>
          </w:tcPr>
          <w:p w:rsidR="000A41BF" w:rsidRPr="00D621BB" w:rsidRDefault="000A41BF" w:rsidP="00DF02AA">
            <w:pPr>
              <w:rPr>
                <w:rFonts w:ascii="Arial" w:hAnsi="Arial" w:cs="Arial"/>
                <w:color w:val="000000"/>
                <w:sz w:val="20"/>
                <w:szCs w:val="20"/>
                <w:lang w:eastAsia="en-AU"/>
              </w:rPr>
            </w:pPr>
            <w:r>
              <w:rPr>
                <w:rFonts w:ascii="Arial" w:hAnsi="Arial" w:cs="Arial"/>
                <w:color w:val="000000"/>
                <w:sz w:val="20"/>
                <w:szCs w:val="20"/>
                <w:lang w:eastAsia="en-AU"/>
              </w:rPr>
              <w:t>Yes</w:t>
            </w:r>
          </w:p>
        </w:tc>
        <w:tc>
          <w:tcPr>
            <w:tcW w:w="5671" w:type="dxa"/>
            <w:tcBorders>
              <w:top w:val="single" w:sz="8" w:space="0" w:color="auto"/>
              <w:left w:val="single" w:sz="18" w:space="0" w:color="auto"/>
              <w:bottom w:val="single" w:sz="4" w:space="0" w:color="auto"/>
              <w:right w:val="single" w:sz="18" w:space="0" w:color="auto"/>
            </w:tcBorders>
            <w:shd w:val="clear" w:color="auto" w:fill="auto"/>
            <w:noWrap/>
          </w:tcPr>
          <w:p w:rsidR="000A41BF" w:rsidRPr="00D621BB" w:rsidRDefault="000A41BF" w:rsidP="00DF02AA">
            <w:pPr>
              <w:rPr>
                <w:rFonts w:ascii="Arial" w:hAnsi="Arial" w:cs="Arial"/>
                <w:color w:val="000000"/>
                <w:sz w:val="20"/>
                <w:szCs w:val="20"/>
                <w:lang w:eastAsia="en-AU"/>
              </w:rPr>
            </w:pPr>
          </w:p>
        </w:tc>
      </w:tr>
      <w:tr w:rsidR="000A41BF" w:rsidRPr="00D621BB" w:rsidTr="00DF02AA">
        <w:trPr>
          <w:cantSplit/>
          <w:trHeight w:val="300"/>
        </w:trPr>
        <w:tc>
          <w:tcPr>
            <w:tcW w:w="2425" w:type="dxa"/>
            <w:vMerge/>
            <w:tcBorders>
              <w:left w:val="single" w:sz="18" w:space="0" w:color="auto"/>
              <w:right w:val="single" w:sz="18" w:space="0" w:color="auto"/>
            </w:tcBorders>
            <w:vAlign w:val="center"/>
          </w:tcPr>
          <w:p w:rsidR="000A41BF" w:rsidRPr="00D621BB" w:rsidRDefault="000A41BF" w:rsidP="00DF02AA">
            <w:pPr>
              <w:rPr>
                <w:rFonts w:ascii="Arial" w:hAnsi="Arial" w:cs="Arial"/>
                <w:color w:val="000000"/>
                <w:sz w:val="20"/>
                <w:szCs w:val="20"/>
                <w:lang w:eastAsia="en-AU"/>
              </w:rPr>
            </w:pPr>
          </w:p>
        </w:tc>
        <w:tc>
          <w:tcPr>
            <w:tcW w:w="2976" w:type="dxa"/>
            <w:tcBorders>
              <w:top w:val="single" w:sz="4" w:space="0" w:color="auto"/>
              <w:left w:val="single" w:sz="18" w:space="0" w:color="auto"/>
              <w:bottom w:val="single" w:sz="4" w:space="0" w:color="auto"/>
              <w:right w:val="single" w:sz="18" w:space="0" w:color="auto"/>
            </w:tcBorders>
            <w:shd w:val="clear" w:color="auto" w:fill="auto"/>
            <w:noWrap/>
          </w:tcPr>
          <w:p w:rsidR="000A41BF" w:rsidRPr="00D621BB" w:rsidRDefault="000A41BF" w:rsidP="00DF02AA">
            <w:pPr>
              <w:rPr>
                <w:rFonts w:ascii="Arial" w:eastAsia="Arial" w:hAnsi="Arial" w:cs="Arial"/>
                <w:color w:val="000000"/>
                <w:sz w:val="20"/>
                <w:szCs w:val="20"/>
                <w:lang w:eastAsia="en-AU"/>
              </w:rPr>
            </w:pPr>
            <w:r w:rsidRPr="00D621BB">
              <w:rPr>
                <w:rFonts w:ascii="Arial" w:eastAsia="Arial" w:hAnsi="Arial" w:cs="Arial"/>
                <w:color w:val="000000"/>
                <w:sz w:val="20"/>
                <w:szCs w:val="20"/>
                <w:lang w:eastAsia="en-AU"/>
              </w:rPr>
              <w:t>Condor Energy</w:t>
            </w:r>
          </w:p>
        </w:tc>
        <w:tc>
          <w:tcPr>
            <w:tcW w:w="1560" w:type="dxa"/>
            <w:tcBorders>
              <w:top w:val="single" w:sz="4" w:space="0" w:color="auto"/>
              <w:left w:val="single" w:sz="18" w:space="0" w:color="auto"/>
              <w:bottom w:val="single" w:sz="4" w:space="0" w:color="auto"/>
              <w:right w:val="single" w:sz="18" w:space="0" w:color="auto"/>
            </w:tcBorders>
          </w:tcPr>
          <w:p w:rsidR="000A41BF" w:rsidRPr="00D621BB" w:rsidRDefault="000A41BF" w:rsidP="00DF02AA">
            <w:pPr>
              <w:rPr>
                <w:rFonts w:ascii="Arial" w:hAnsi="Arial" w:cs="Arial"/>
                <w:color w:val="000000"/>
                <w:sz w:val="20"/>
                <w:szCs w:val="20"/>
                <w:lang w:eastAsia="en-AU"/>
              </w:rPr>
            </w:pPr>
            <w:r>
              <w:rPr>
                <w:rFonts w:ascii="Arial" w:hAnsi="Arial" w:cs="Arial"/>
                <w:color w:val="000000"/>
                <w:sz w:val="20"/>
                <w:szCs w:val="20"/>
                <w:lang w:eastAsia="en-AU"/>
              </w:rPr>
              <w:t>Yes</w:t>
            </w:r>
          </w:p>
        </w:tc>
        <w:tc>
          <w:tcPr>
            <w:tcW w:w="1208" w:type="dxa"/>
            <w:tcBorders>
              <w:top w:val="single" w:sz="4" w:space="0" w:color="auto"/>
              <w:left w:val="single" w:sz="18" w:space="0" w:color="auto"/>
              <w:bottom w:val="single" w:sz="4" w:space="0" w:color="auto"/>
              <w:right w:val="single" w:sz="18" w:space="0" w:color="auto"/>
            </w:tcBorders>
          </w:tcPr>
          <w:p w:rsidR="000A41BF" w:rsidRPr="00D621BB" w:rsidRDefault="000A41BF" w:rsidP="00DF02AA">
            <w:pPr>
              <w:rPr>
                <w:rFonts w:ascii="Arial" w:hAnsi="Arial" w:cs="Arial"/>
                <w:color w:val="000000"/>
                <w:sz w:val="20"/>
                <w:szCs w:val="20"/>
                <w:lang w:eastAsia="en-AU"/>
              </w:rPr>
            </w:pPr>
            <w:r>
              <w:rPr>
                <w:rFonts w:ascii="Arial" w:hAnsi="Arial" w:cs="Arial"/>
                <w:color w:val="000000"/>
                <w:sz w:val="20"/>
                <w:szCs w:val="20"/>
                <w:lang w:eastAsia="en-AU"/>
              </w:rPr>
              <w:t>No</w:t>
            </w:r>
          </w:p>
        </w:tc>
        <w:tc>
          <w:tcPr>
            <w:tcW w:w="5671" w:type="dxa"/>
            <w:tcBorders>
              <w:top w:val="single" w:sz="4" w:space="0" w:color="auto"/>
              <w:left w:val="single" w:sz="18" w:space="0" w:color="auto"/>
              <w:bottom w:val="single" w:sz="4" w:space="0" w:color="auto"/>
              <w:right w:val="single" w:sz="18" w:space="0" w:color="auto"/>
            </w:tcBorders>
            <w:shd w:val="clear" w:color="auto" w:fill="auto"/>
            <w:noWrap/>
          </w:tcPr>
          <w:p w:rsidR="000A41BF" w:rsidRPr="00D621BB" w:rsidRDefault="000A41BF">
            <w:pPr>
              <w:rPr>
                <w:rFonts w:ascii="Arial" w:hAnsi="Arial" w:cs="Arial"/>
                <w:color w:val="000000"/>
                <w:sz w:val="20"/>
                <w:szCs w:val="20"/>
                <w:lang w:eastAsia="en-AU"/>
              </w:rPr>
            </w:pPr>
            <w:r>
              <w:rPr>
                <w:rFonts w:ascii="Arial" w:hAnsi="Arial" w:cs="Arial"/>
                <w:color w:val="000000"/>
                <w:sz w:val="20"/>
                <w:szCs w:val="20"/>
                <w:lang w:eastAsia="en-AU"/>
              </w:rPr>
              <w:t xml:space="preserve">Including the Cooper Basin. </w:t>
            </w:r>
          </w:p>
        </w:tc>
      </w:tr>
      <w:tr w:rsidR="000A41BF" w:rsidRPr="00D621BB" w:rsidTr="00DF02AA">
        <w:trPr>
          <w:cantSplit/>
          <w:trHeight w:val="300"/>
        </w:trPr>
        <w:tc>
          <w:tcPr>
            <w:tcW w:w="2425" w:type="dxa"/>
            <w:vMerge w:val="restart"/>
            <w:tcBorders>
              <w:top w:val="single" w:sz="18" w:space="0" w:color="auto"/>
              <w:left w:val="single" w:sz="18" w:space="0" w:color="auto"/>
              <w:right w:val="single" w:sz="18" w:space="0" w:color="auto"/>
            </w:tcBorders>
          </w:tcPr>
          <w:p w:rsidR="000A41BF" w:rsidRPr="00D621BB" w:rsidRDefault="000A41BF" w:rsidP="00DF02AA">
            <w:pPr>
              <w:rPr>
                <w:rFonts w:ascii="Arial" w:hAnsi="Arial" w:cs="Arial"/>
                <w:color w:val="000000"/>
                <w:sz w:val="20"/>
                <w:szCs w:val="20"/>
                <w:lang w:eastAsia="en-AU"/>
              </w:rPr>
            </w:pPr>
            <w:r>
              <w:rPr>
                <w:rFonts w:ascii="Arial" w:hAnsi="Arial" w:cs="Arial"/>
                <w:color w:val="000000"/>
                <w:sz w:val="20"/>
                <w:szCs w:val="20"/>
                <w:lang w:eastAsia="en-AU"/>
              </w:rPr>
              <w:t>Drilling</w:t>
            </w:r>
            <w:r w:rsidRPr="00D621BB">
              <w:rPr>
                <w:rFonts w:ascii="Arial" w:hAnsi="Arial" w:cs="Arial"/>
                <w:color w:val="000000"/>
                <w:sz w:val="20"/>
                <w:szCs w:val="20"/>
                <w:lang w:eastAsia="en-AU"/>
              </w:rPr>
              <w:t xml:space="preserve"> fluids</w:t>
            </w:r>
          </w:p>
        </w:tc>
        <w:tc>
          <w:tcPr>
            <w:tcW w:w="2976" w:type="dxa"/>
            <w:tcBorders>
              <w:top w:val="single" w:sz="18" w:space="0" w:color="auto"/>
              <w:left w:val="single" w:sz="18" w:space="0" w:color="auto"/>
              <w:bottom w:val="single" w:sz="8" w:space="0" w:color="auto"/>
              <w:right w:val="single" w:sz="18" w:space="0" w:color="auto"/>
            </w:tcBorders>
            <w:shd w:val="clear" w:color="auto" w:fill="auto"/>
            <w:noWrap/>
          </w:tcPr>
          <w:p w:rsidR="000A41BF" w:rsidRPr="00D621BB" w:rsidRDefault="000A41BF" w:rsidP="00DF02AA">
            <w:pPr>
              <w:rPr>
                <w:rFonts w:ascii="Arial" w:eastAsia="Arial" w:hAnsi="Arial" w:cs="Arial"/>
                <w:color w:val="000000"/>
                <w:sz w:val="20"/>
                <w:szCs w:val="20"/>
                <w:lang w:eastAsia="en-AU"/>
              </w:rPr>
            </w:pPr>
            <w:r>
              <w:rPr>
                <w:rFonts w:ascii="Arial" w:eastAsia="Arial" w:hAnsi="Arial" w:cs="Arial"/>
                <w:color w:val="000000"/>
                <w:sz w:val="20"/>
                <w:szCs w:val="20"/>
                <w:lang w:eastAsia="en-AU"/>
              </w:rPr>
              <w:t xml:space="preserve">Halliburton </w:t>
            </w:r>
          </w:p>
        </w:tc>
        <w:tc>
          <w:tcPr>
            <w:tcW w:w="1560" w:type="dxa"/>
            <w:tcBorders>
              <w:top w:val="single" w:sz="18" w:space="0" w:color="auto"/>
              <w:left w:val="single" w:sz="18" w:space="0" w:color="auto"/>
              <w:bottom w:val="single" w:sz="8" w:space="0" w:color="auto"/>
              <w:right w:val="single" w:sz="18" w:space="0" w:color="auto"/>
            </w:tcBorders>
          </w:tcPr>
          <w:p w:rsidR="000A41BF" w:rsidRPr="00D621BB" w:rsidRDefault="000A41BF" w:rsidP="00DF02AA">
            <w:pPr>
              <w:rPr>
                <w:rFonts w:ascii="Arial" w:hAnsi="Arial" w:cs="Arial"/>
                <w:color w:val="000000"/>
                <w:sz w:val="20"/>
                <w:szCs w:val="20"/>
                <w:lang w:eastAsia="en-AU"/>
              </w:rPr>
            </w:pPr>
            <w:r>
              <w:rPr>
                <w:rFonts w:ascii="Arial" w:hAnsi="Arial" w:cs="Arial"/>
                <w:color w:val="000000"/>
                <w:sz w:val="20"/>
                <w:szCs w:val="20"/>
                <w:lang w:eastAsia="en-AU"/>
              </w:rPr>
              <w:t>Yes</w:t>
            </w:r>
          </w:p>
        </w:tc>
        <w:tc>
          <w:tcPr>
            <w:tcW w:w="1208" w:type="dxa"/>
            <w:tcBorders>
              <w:top w:val="single" w:sz="18" w:space="0" w:color="auto"/>
              <w:left w:val="single" w:sz="18" w:space="0" w:color="auto"/>
              <w:bottom w:val="single" w:sz="8" w:space="0" w:color="auto"/>
              <w:right w:val="single" w:sz="18" w:space="0" w:color="auto"/>
            </w:tcBorders>
          </w:tcPr>
          <w:p w:rsidR="000A41BF" w:rsidRPr="00D621BB" w:rsidRDefault="000A41BF" w:rsidP="00DF02AA">
            <w:pPr>
              <w:rPr>
                <w:rFonts w:ascii="Arial" w:hAnsi="Arial" w:cs="Arial"/>
                <w:color w:val="000000"/>
                <w:sz w:val="20"/>
                <w:szCs w:val="20"/>
                <w:lang w:eastAsia="en-AU"/>
              </w:rPr>
            </w:pPr>
            <w:r>
              <w:rPr>
                <w:rFonts w:ascii="Arial" w:hAnsi="Arial" w:cs="Arial"/>
                <w:color w:val="000000"/>
                <w:sz w:val="20"/>
                <w:szCs w:val="20"/>
                <w:lang w:eastAsia="en-AU"/>
              </w:rPr>
              <w:t>Yes</w:t>
            </w:r>
          </w:p>
        </w:tc>
        <w:tc>
          <w:tcPr>
            <w:tcW w:w="5671" w:type="dxa"/>
            <w:tcBorders>
              <w:top w:val="single" w:sz="18" w:space="0" w:color="auto"/>
              <w:left w:val="single" w:sz="18" w:space="0" w:color="auto"/>
              <w:bottom w:val="single" w:sz="8" w:space="0" w:color="auto"/>
              <w:right w:val="single" w:sz="18" w:space="0" w:color="auto"/>
            </w:tcBorders>
            <w:shd w:val="clear" w:color="auto" w:fill="auto"/>
            <w:noWrap/>
          </w:tcPr>
          <w:p w:rsidR="000A41BF" w:rsidRPr="00D621BB" w:rsidRDefault="000A41BF" w:rsidP="00DF02AA">
            <w:pPr>
              <w:rPr>
                <w:rFonts w:ascii="Arial" w:hAnsi="Arial" w:cs="Arial"/>
                <w:color w:val="000000"/>
                <w:sz w:val="20"/>
                <w:szCs w:val="20"/>
                <w:lang w:eastAsia="en-AU"/>
              </w:rPr>
            </w:pPr>
          </w:p>
        </w:tc>
      </w:tr>
      <w:tr w:rsidR="000A41BF" w:rsidRPr="00D621BB" w:rsidTr="00DF02AA">
        <w:trPr>
          <w:cantSplit/>
          <w:trHeight w:val="300"/>
        </w:trPr>
        <w:tc>
          <w:tcPr>
            <w:tcW w:w="2425" w:type="dxa"/>
            <w:vMerge/>
            <w:tcBorders>
              <w:left w:val="single" w:sz="18" w:space="0" w:color="auto"/>
              <w:right w:val="single" w:sz="18" w:space="0" w:color="auto"/>
            </w:tcBorders>
          </w:tcPr>
          <w:p w:rsidR="000A41BF" w:rsidRPr="00D621BB" w:rsidRDefault="000A41BF" w:rsidP="00DF02AA">
            <w:pPr>
              <w:rPr>
                <w:rFonts w:ascii="Arial" w:hAnsi="Arial" w:cs="Arial"/>
                <w:color w:val="000000"/>
                <w:sz w:val="20"/>
                <w:szCs w:val="20"/>
                <w:lang w:eastAsia="en-AU"/>
              </w:rPr>
            </w:pPr>
          </w:p>
        </w:tc>
        <w:tc>
          <w:tcPr>
            <w:tcW w:w="2976" w:type="dxa"/>
            <w:tcBorders>
              <w:top w:val="single" w:sz="8" w:space="0" w:color="auto"/>
              <w:left w:val="single" w:sz="18" w:space="0" w:color="auto"/>
              <w:bottom w:val="single" w:sz="8" w:space="0" w:color="auto"/>
              <w:right w:val="single" w:sz="18" w:space="0" w:color="auto"/>
            </w:tcBorders>
            <w:shd w:val="clear" w:color="auto" w:fill="auto"/>
            <w:noWrap/>
          </w:tcPr>
          <w:p w:rsidR="000A41BF" w:rsidRPr="00D621BB" w:rsidRDefault="000A41BF" w:rsidP="00DF02AA">
            <w:pPr>
              <w:rPr>
                <w:rFonts w:ascii="Arial" w:eastAsia="Arial" w:hAnsi="Arial" w:cs="Arial"/>
                <w:color w:val="000000"/>
                <w:sz w:val="20"/>
                <w:szCs w:val="20"/>
                <w:lang w:eastAsia="en-AU"/>
              </w:rPr>
            </w:pPr>
            <w:r>
              <w:rPr>
                <w:rFonts w:ascii="Arial" w:eastAsia="Arial" w:hAnsi="Arial" w:cs="Arial"/>
                <w:color w:val="000000"/>
                <w:sz w:val="20"/>
                <w:szCs w:val="20"/>
                <w:lang w:eastAsia="en-AU"/>
              </w:rPr>
              <w:t>Baker Hughes</w:t>
            </w:r>
          </w:p>
        </w:tc>
        <w:tc>
          <w:tcPr>
            <w:tcW w:w="1560" w:type="dxa"/>
            <w:tcBorders>
              <w:top w:val="single" w:sz="8" w:space="0" w:color="auto"/>
              <w:left w:val="single" w:sz="18" w:space="0" w:color="auto"/>
              <w:bottom w:val="single" w:sz="8" w:space="0" w:color="auto"/>
              <w:right w:val="single" w:sz="18" w:space="0" w:color="auto"/>
            </w:tcBorders>
          </w:tcPr>
          <w:p w:rsidR="000A41BF" w:rsidRPr="00D621BB" w:rsidRDefault="000A41BF" w:rsidP="00DF02AA">
            <w:pPr>
              <w:rPr>
                <w:rFonts w:ascii="Arial" w:hAnsi="Arial" w:cs="Arial"/>
                <w:color w:val="000000"/>
                <w:sz w:val="20"/>
                <w:szCs w:val="20"/>
                <w:lang w:eastAsia="en-AU"/>
              </w:rPr>
            </w:pPr>
            <w:r>
              <w:rPr>
                <w:rFonts w:ascii="Arial" w:hAnsi="Arial" w:cs="Arial"/>
                <w:color w:val="000000"/>
                <w:sz w:val="20"/>
                <w:szCs w:val="20"/>
                <w:lang w:eastAsia="en-AU"/>
              </w:rPr>
              <w:t>Yes</w:t>
            </w:r>
          </w:p>
        </w:tc>
        <w:tc>
          <w:tcPr>
            <w:tcW w:w="1208" w:type="dxa"/>
            <w:tcBorders>
              <w:top w:val="single" w:sz="8" w:space="0" w:color="auto"/>
              <w:left w:val="single" w:sz="18" w:space="0" w:color="auto"/>
              <w:bottom w:val="single" w:sz="8" w:space="0" w:color="auto"/>
              <w:right w:val="single" w:sz="18" w:space="0" w:color="auto"/>
            </w:tcBorders>
          </w:tcPr>
          <w:p w:rsidR="000A41BF" w:rsidRPr="00D621BB" w:rsidRDefault="000A41BF" w:rsidP="00DF02AA">
            <w:pPr>
              <w:rPr>
                <w:rFonts w:ascii="Arial" w:hAnsi="Arial" w:cs="Arial"/>
                <w:color w:val="000000"/>
                <w:sz w:val="20"/>
                <w:szCs w:val="20"/>
                <w:lang w:eastAsia="en-AU"/>
              </w:rPr>
            </w:pPr>
            <w:r>
              <w:rPr>
                <w:rFonts w:ascii="Arial" w:hAnsi="Arial" w:cs="Arial"/>
                <w:color w:val="000000"/>
                <w:sz w:val="20"/>
                <w:szCs w:val="20"/>
                <w:lang w:eastAsia="en-AU"/>
              </w:rPr>
              <w:t>Yes</w:t>
            </w:r>
          </w:p>
        </w:tc>
        <w:tc>
          <w:tcPr>
            <w:tcW w:w="5671" w:type="dxa"/>
            <w:tcBorders>
              <w:top w:val="single" w:sz="8" w:space="0" w:color="auto"/>
              <w:left w:val="single" w:sz="18" w:space="0" w:color="auto"/>
              <w:bottom w:val="single" w:sz="8" w:space="0" w:color="auto"/>
              <w:right w:val="single" w:sz="18" w:space="0" w:color="auto"/>
            </w:tcBorders>
            <w:shd w:val="clear" w:color="auto" w:fill="auto"/>
            <w:noWrap/>
          </w:tcPr>
          <w:p w:rsidR="000A41BF" w:rsidRPr="00D621BB" w:rsidRDefault="000A41BF" w:rsidP="00DF02AA">
            <w:pPr>
              <w:rPr>
                <w:rFonts w:ascii="Arial" w:hAnsi="Arial" w:cs="Arial"/>
                <w:color w:val="000000"/>
                <w:sz w:val="20"/>
                <w:szCs w:val="20"/>
                <w:lang w:eastAsia="en-AU"/>
              </w:rPr>
            </w:pPr>
          </w:p>
        </w:tc>
      </w:tr>
      <w:tr w:rsidR="000A41BF" w:rsidRPr="00D621BB" w:rsidTr="00DF02AA">
        <w:trPr>
          <w:cantSplit/>
          <w:trHeight w:val="300"/>
        </w:trPr>
        <w:tc>
          <w:tcPr>
            <w:tcW w:w="2425" w:type="dxa"/>
            <w:vMerge/>
            <w:tcBorders>
              <w:left w:val="single" w:sz="18" w:space="0" w:color="auto"/>
              <w:right w:val="single" w:sz="18" w:space="0" w:color="auto"/>
            </w:tcBorders>
          </w:tcPr>
          <w:p w:rsidR="000A41BF" w:rsidRPr="00D621BB" w:rsidRDefault="000A41BF" w:rsidP="00DF02AA">
            <w:pPr>
              <w:rPr>
                <w:rFonts w:ascii="Arial" w:hAnsi="Arial" w:cs="Arial"/>
                <w:color w:val="000000"/>
                <w:sz w:val="20"/>
                <w:szCs w:val="20"/>
                <w:lang w:eastAsia="en-AU"/>
              </w:rPr>
            </w:pPr>
          </w:p>
        </w:tc>
        <w:tc>
          <w:tcPr>
            <w:tcW w:w="2976" w:type="dxa"/>
            <w:tcBorders>
              <w:top w:val="single" w:sz="8" w:space="0" w:color="auto"/>
              <w:left w:val="single" w:sz="18" w:space="0" w:color="auto"/>
              <w:bottom w:val="single" w:sz="4" w:space="0" w:color="auto"/>
              <w:right w:val="single" w:sz="18" w:space="0" w:color="auto"/>
            </w:tcBorders>
            <w:shd w:val="clear" w:color="auto" w:fill="auto"/>
            <w:noWrap/>
          </w:tcPr>
          <w:p w:rsidR="000A41BF" w:rsidRPr="00D621BB" w:rsidRDefault="000A41BF" w:rsidP="00DF02AA">
            <w:pPr>
              <w:rPr>
                <w:rFonts w:ascii="Arial" w:eastAsia="Arial" w:hAnsi="Arial" w:cs="Arial"/>
                <w:color w:val="000000"/>
                <w:sz w:val="20"/>
                <w:szCs w:val="20"/>
                <w:lang w:eastAsia="en-AU"/>
              </w:rPr>
            </w:pPr>
            <w:r w:rsidRPr="00D621BB">
              <w:rPr>
                <w:rFonts w:ascii="Arial" w:eastAsia="Arial" w:hAnsi="Arial" w:cs="Arial"/>
                <w:color w:val="000000"/>
                <w:sz w:val="20"/>
                <w:szCs w:val="20"/>
                <w:lang w:eastAsia="en-AU"/>
              </w:rPr>
              <w:t>Schlumberger</w:t>
            </w:r>
          </w:p>
        </w:tc>
        <w:tc>
          <w:tcPr>
            <w:tcW w:w="1560" w:type="dxa"/>
            <w:tcBorders>
              <w:top w:val="single" w:sz="8" w:space="0" w:color="auto"/>
              <w:left w:val="single" w:sz="18" w:space="0" w:color="auto"/>
              <w:bottom w:val="single" w:sz="4" w:space="0" w:color="auto"/>
              <w:right w:val="single" w:sz="18" w:space="0" w:color="auto"/>
            </w:tcBorders>
          </w:tcPr>
          <w:p w:rsidR="000A41BF" w:rsidRPr="00D621BB" w:rsidRDefault="000A41BF" w:rsidP="00DF02AA">
            <w:pPr>
              <w:rPr>
                <w:rFonts w:ascii="Arial" w:hAnsi="Arial" w:cs="Arial"/>
                <w:color w:val="000000"/>
                <w:sz w:val="20"/>
                <w:szCs w:val="20"/>
                <w:lang w:eastAsia="en-AU"/>
              </w:rPr>
            </w:pPr>
            <w:r>
              <w:rPr>
                <w:rFonts w:ascii="Arial" w:hAnsi="Arial" w:cs="Arial"/>
                <w:color w:val="000000"/>
                <w:sz w:val="20"/>
                <w:szCs w:val="20"/>
                <w:lang w:eastAsia="en-AU"/>
              </w:rPr>
              <w:t>Yes</w:t>
            </w:r>
          </w:p>
        </w:tc>
        <w:tc>
          <w:tcPr>
            <w:tcW w:w="1208" w:type="dxa"/>
            <w:tcBorders>
              <w:top w:val="single" w:sz="8" w:space="0" w:color="auto"/>
              <w:left w:val="single" w:sz="18" w:space="0" w:color="auto"/>
              <w:bottom w:val="single" w:sz="4" w:space="0" w:color="auto"/>
              <w:right w:val="single" w:sz="18" w:space="0" w:color="auto"/>
            </w:tcBorders>
          </w:tcPr>
          <w:p w:rsidR="000A41BF" w:rsidRPr="00D621BB" w:rsidRDefault="000A41BF" w:rsidP="00DF02AA">
            <w:pPr>
              <w:rPr>
                <w:rFonts w:ascii="Arial" w:hAnsi="Arial" w:cs="Arial"/>
                <w:color w:val="000000"/>
                <w:sz w:val="20"/>
                <w:szCs w:val="20"/>
                <w:lang w:eastAsia="en-AU"/>
              </w:rPr>
            </w:pPr>
            <w:r>
              <w:rPr>
                <w:rFonts w:ascii="Arial" w:hAnsi="Arial" w:cs="Arial"/>
                <w:color w:val="000000"/>
                <w:sz w:val="20"/>
                <w:szCs w:val="20"/>
                <w:lang w:eastAsia="en-AU"/>
              </w:rPr>
              <w:t>Yes</w:t>
            </w:r>
          </w:p>
        </w:tc>
        <w:tc>
          <w:tcPr>
            <w:tcW w:w="5671" w:type="dxa"/>
            <w:tcBorders>
              <w:top w:val="single" w:sz="8" w:space="0" w:color="auto"/>
              <w:left w:val="single" w:sz="18" w:space="0" w:color="auto"/>
              <w:bottom w:val="single" w:sz="4" w:space="0" w:color="auto"/>
              <w:right w:val="single" w:sz="18" w:space="0" w:color="auto"/>
            </w:tcBorders>
            <w:shd w:val="clear" w:color="auto" w:fill="auto"/>
            <w:noWrap/>
          </w:tcPr>
          <w:p w:rsidR="000A41BF" w:rsidRPr="00D621BB" w:rsidRDefault="000A41BF" w:rsidP="00DF02AA">
            <w:pPr>
              <w:rPr>
                <w:rFonts w:ascii="Arial" w:hAnsi="Arial" w:cs="Arial"/>
                <w:color w:val="000000"/>
                <w:sz w:val="20"/>
                <w:szCs w:val="20"/>
                <w:lang w:eastAsia="en-AU"/>
              </w:rPr>
            </w:pPr>
          </w:p>
        </w:tc>
      </w:tr>
      <w:tr w:rsidR="000A41BF" w:rsidRPr="00D621BB" w:rsidTr="00DF02AA">
        <w:trPr>
          <w:cantSplit/>
          <w:trHeight w:val="300"/>
        </w:trPr>
        <w:tc>
          <w:tcPr>
            <w:tcW w:w="2425" w:type="dxa"/>
            <w:vMerge/>
            <w:tcBorders>
              <w:left w:val="single" w:sz="18" w:space="0" w:color="auto"/>
              <w:right w:val="single" w:sz="18" w:space="0" w:color="auto"/>
            </w:tcBorders>
            <w:vAlign w:val="center"/>
          </w:tcPr>
          <w:p w:rsidR="000A41BF" w:rsidRPr="00D621BB" w:rsidRDefault="000A41BF" w:rsidP="00DF02AA">
            <w:pPr>
              <w:rPr>
                <w:rFonts w:ascii="Arial" w:hAnsi="Arial" w:cs="Arial"/>
                <w:color w:val="000000"/>
                <w:sz w:val="20"/>
                <w:szCs w:val="20"/>
                <w:lang w:eastAsia="en-AU"/>
              </w:rPr>
            </w:pPr>
          </w:p>
        </w:tc>
        <w:tc>
          <w:tcPr>
            <w:tcW w:w="2976" w:type="dxa"/>
            <w:tcBorders>
              <w:top w:val="single" w:sz="4" w:space="0" w:color="auto"/>
              <w:left w:val="single" w:sz="18" w:space="0" w:color="auto"/>
              <w:bottom w:val="single" w:sz="4" w:space="0" w:color="auto"/>
              <w:right w:val="single" w:sz="18" w:space="0" w:color="auto"/>
            </w:tcBorders>
            <w:shd w:val="clear" w:color="auto" w:fill="auto"/>
            <w:noWrap/>
          </w:tcPr>
          <w:p w:rsidR="000A41BF" w:rsidRPr="00D621BB" w:rsidRDefault="000A41BF" w:rsidP="00DF02AA">
            <w:pPr>
              <w:rPr>
                <w:rFonts w:ascii="Arial" w:eastAsia="Arial" w:hAnsi="Arial" w:cs="Arial"/>
                <w:color w:val="000000"/>
                <w:sz w:val="20"/>
                <w:szCs w:val="20"/>
                <w:lang w:eastAsia="en-AU"/>
              </w:rPr>
            </w:pPr>
            <w:proofErr w:type="spellStart"/>
            <w:r w:rsidRPr="00D621BB">
              <w:rPr>
                <w:rFonts w:ascii="Arial" w:eastAsia="Arial" w:hAnsi="Arial" w:cs="Arial"/>
                <w:color w:val="000000"/>
                <w:sz w:val="20"/>
                <w:szCs w:val="20"/>
                <w:lang w:eastAsia="en-AU"/>
              </w:rPr>
              <w:t>Newpark</w:t>
            </w:r>
            <w:proofErr w:type="spellEnd"/>
          </w:p>
        </w:tc>
        <w:tc>
          <w:tcPr>
            <w:tcW w:w="1560" w:type="dxa"/>
            <w:tcBorders>
              <w:top w:val="single" w:sz="4" w:space="0" w:color="auto"/>
              <w:left w:val="single" w:sz="18" w:space="0" w:color="auto"/>
              <w:bottom w:val="single" w:sz="4" w:space="0" w:color="auto"/>
              <w:right w:val="single" w:sz="18" w:space="0" w:color="auto"/>
            </w:tcBorders>
          </w:tcPr>
          <w:p w:rsidR="000A41BF" w:rsidRPr="00D621BB" w:rsidRDefault="000A41BF" w:rsidP="00DF02AA">
            <w:pPr>
              <w:rPr>
                <w:rFonts w:ascii="Arial" w:hAnsi="Arial" w:cs="Arial"/>
                <w:color w:val="000000"/>
                <w:sz w:val="20"/>
                <w:szCs w:val="20"/>
                <w:lang w:eastAsia="en-AU"/>
              </w:rPr>
            </w:pPr>
            <w:r>
              <w:rPr>
                <w:rFonts w:ascii="Arial" w:hAnsi="Arial" w:cs="Arial"/>
                <w:color w:val="000000"/>
                <w:sz w:val="20"/>
                <w:szCs w:val="20"/>
                <w:lang w:eastAsia="en-AU"/>
              </w:rPr>
              <w:t>Yes</w:t>
            </w:r>
          </w:p>
        </w:tc>
        <w:tc>
          <w:tcPr>
            <w:tcW w:w="1208" w:type="dxa"/>
            <w:tcBorders>
              <w:top w:val="single" w:sz="4" w:space="0" w:color="auto"/>
              <w:left w:val="single" w:sz="18" w:space="0" w:color="auto"/>
              <w:bottom w:val="single" w:sz="4" w:space="0" w:color="auto"/>
              <w:right w:val="single" w:sz="18" w:space="0" w:color="auto"/>
            </w:tcBorders>
          </w:tcPr>
          <w:p w:rsidR="000A41BF" w:rsidRPr="00D621BB" w:rsidRDefault="000A41BF" w:rsidP="00DF02AA">
            <w:pPr>
              <w:rPr>
                <w:rFonts w:ascii="Arial" w:hAnsi="Arial" w:cs="Arial"/>
                <w:color w:val="000000"/>
                <w:sz w:val="20"/>
                <w:szCs w:val="20"/>
                <w:lang w:eastAsia="en-AU"/>
              </w:rPr>
            </w:pPr>
            <w:r>
              <w:rPr>
                <w:rFonts w:ascii="Arial" w:hAnsi="Arial" w:cs="Arial"/>
                <w:color w:val="000000"/>
                <w:sz w:val="20"/>
                <w:szCs w:val="20"/>
                <w:lang w:eastAsia="en-AU"/>
              </w:rPr>
              <w:t>Yes</w:t>
            </w:r>
          </w:p>
        </w:tc>
        <w:tc>
          <w:tcPr>
            <w:tcW w:w="5671" w:type="dxa"/>
            <w:tcBorders>
              <w:top w:val="single" w:sz="4" w:space="0" w:color="auto"/>
              <w:left w:val="single" w:sz="18" w:space="0" w:color="auto"/>
              <w:bottom w:val="single" w:sz="4" w:space="0" w:color="auto"/>
              <w:right w:val="single" w:sz="18" w:space="0" w:color="auto"/>
            </w:tcBorders>
            <w:shd w:val="clear" w:color="auto" w:fill="auto"/>
            <w:noWrap/>
          </w:tcPr>
          <w:p w:rsidR="000A41BF" w:rsidRPr="00D621BB" w:rsidRDefault="000A41BF" w:rsidP="00DF02AA">
            <w:pPr>
              <w:rPr>
                <w:rFonts w:ascii="Arial" w:hAnsi="Arial" w:cs="Arial"/>
                <w:color w:val="000000"/>
                <w:sz w:val="20"/>
                <w:szCs w:val="20"/>
                <w:lang w:eastAsia="en-AU"/>
              </w:rPr>
            </w:pPr>
          </w:p>
        </w:tc>
      </w:tr>
      <w:tr w:rsidR="000A41BF" w:rsidRPr="00D621BB" w:rsidTr="00DF02AA">
        <w:trPr>
          <w:cantSplit/>
          <w:trHeight w:val="300"/>
        </w:trPr>
        <w:tc>
          <w:tcPr>
            <w:tcW w:w="2425" w:type="dxa"/>
            <w:vMerge/>
            <w:tcBorders>
              <w:left w:val="single" w:sz="18" w:space="0" w:color="auto"/>
              <w:right w:val="single" w:sz="18" w:space="0" w:color="auto"/>
            </w:tcBorders>
            <w:vAlign w:val="center"/>
          </w:tcPr>
          <w:p w:rsidR="000A41BF" w:rsidRPr="00D621BB" w:rsidRDefault="000A41BF" w:rsidP="00DF02AA">
            <w:pPr>
              <w:rPr>
                <w:rFonts w:ascii="Arial" w:hAnsi="Arial" w:cs="Arial"/>
                <w:color w:val="000000"/>
                <w:sz w:val="20"/>
                <w:szCs w:val="20"/>
                <w:lang w:eastAsia="en-AU"/>
              </w:rPr>
            </w:pPr>
          </w:p>
        </w:tc>
        <w:tc>
          <w:tcPr>
            <w:tcW w:w="2976" w:type="dxa"/>
            <w:tcBorders>
              <w:top w:val="single" w:sz="4" w:space="0" w:color="auto"/>
              <w:left w:val="single" w:sz="18" w:space="0" w:color="auto"/>
              <w:bottom w:val="single" w:sz="4" w:space="0" w:color="auto"/>
              <w:right w:val="single" w:sz="18" w:space="0" w:color="auto"/>
            </w:tcBorders>
            <w:shd w:val="clear" w:color="auto" w:fill="auto"/>
            <w:noWrap/>
          </w:tcPr>
          <w:p w:rsidR="000A41BF" w:rsidRPr="00D621BB" w:rsidRDefault="000A41BF" w:rsidP="00DF02AA">
            <w:pPr>
              <w:rPr>
                <w:rFonts w:ascii="Arial" w:eastAsia="Arial" w:hAnsi="Arial" w:cs="Arial"/>
                <w:color w:val="000000"/>
                <w:sz w:val="20"/>
                <w:szCs w:val="20"/>
                <w:lang w:eastAsia="en-AU"/>
              </w:rPr>
            </w:pPr>
            <w:r w:rsidRPr="00D621BB">
              <w:rPr>
                <w:rFonts w:ascii="Arial" w:eastAsia="Arial" w:hAnsi="Arial" w:cs="Arial"/>
                <w:color w:val="000000"/>
                <w:sz w:val="20"/>
                <w:szCs w:val="20"/>
                <w:lang w:eastAsia="en-AU"/>
              </w:rPr>
              <w:t>AMC Oil and Gas</w:t>
            </w:r>
          </w:p>
        </w:tc>
        <w:tc>
          <w:tcPr>
            <w:tcW w:w="1560" w:type="dxa"/>
            <w:tcBorders>
              <w:top w:val="single" w:sz="4" w:space="0" w:color="auto"/>
              <w:left w:val="single" w:sz="18" w:space="0" w:color="auto"/>
              <w:bottom w:val="single" w:sz="4" w:space="0" w:color="auto"/>
              <w:right w:val="single" w:sz="18" w:space="0" w:color="auto"/>
            </w:tcBorders>
          </w:tcPr>
          <w:p w:rsidR="000A41BF" w:rsidRPr="00D621BB" w:rsidRDefault="000A41BF" w:rsidP="00DF02AA">
            <w:pPr>
              <w:rPr>
                <w:rFonts w:ascii="Arial" w:hAnsi="Arial" w:cs="Arial"/>
                <w:color w:val="000000"/>
                <w:sz w:val="20"/>
                <w:szCs w:val="20"/>
                <w:lang w:eastAsia="en-AU"/>
              </w:rPr>
            </w:pPr>
            <w:r>
              <w:rPr>
                <w:rFonts w:ascii="Arial" w:hAnsi="Arial" w:cs="Arial"/>
                <w:color w:val="000000"/>
                <w:sz w:val="20"/>
                <w:szCs w:val="20"/>
                <w:lang w:eastAsia="en-AU"/>
              </w:rPr>
              <w:t>Yes</w:t>
            </w:r>
          </w:p>
        </w:tc>
        <w:tc>
          <w:tcPr>
            <w:tcW w:w="1208" w:type="dxa"/>
            <w:tcBorders>
              <w:top w:val="single" w:sz="4" w:space="0" w:color="auto"/>
              <w:left w:val="single" w:sz="18" w:space="0" w:color="auto"/>
              <w:bottom w:val="single" w:sz="4" w:space="0" w:color="auto"/>
              <w:right w:val="single" w:sz="18" w:space="0" w:color="auto"/>
            </w:tcBorders>
          </w:tcPr>
          <w:p w:rsidR="000A41BF" w:rsidRPr="00D621BB" w:rsidRDefault="000A41BF" w:rsidP="00DF02AA">
            <w:pPr>
              <w:rPr>
                <w:rFonts w:ascii="Arial" w:hAnsi="Arial" w:cs="Arial"/>
                <w:color w:val="000000"/>
                <w:sz w:val="20"/>
                <w:szCs w:val="20"/>
                <w:lang w:eastAsia="en-AU"/>
              </w:rPr>
            </w:pPr>
            <w:r>
              <w:rPr>
                <w:rFonts w:ascii="Arial" w:hAnsi="Arial" w:cs="Arial"/>
                <w:color w:val="000000"/>
                <w:sz w:val="20"/>
                <w:szCs w:val="20"/>
                <w:lang w:eastAsia="en-AU"/>
              </w:rPr>
              <w:t>No</w:t>
            </w:r>
          </w:p>
        </w:tc>
        <w:tc>
          <w:tcPr>
            <w:tcW w:w="5671" w:type="dxa"/>
            <w:tcBorders>
              <w:top w:val="single" w:sz="4" w:space="0" w:color="auto"/>
              <w:left w:val="single" w:sz="18" w:space="0" w:color="auto"/>
              <w:bottom w:val="single" w:sz="4" w:space="0" w:color="auto"/>
              <w:right w:val="single" w:sz="18" w:space="0" w:color="auto"/>
            </w:tcBorders>
            <w:shd w:val="clear" w:color="auto" w:fill="auto"/>
            <w:noWrap/>
          </w:tcPr>
          <w:p w:rsidR="000A41BF" w:rsidRPr="00D621BB" w:rsidRDefault="000A41BF" w:rsidP="00DF02AA">
            <w:pPr>
              <w:rPr>
                <w:rFonts w:ascii="Arial" w:hAnsi="Arial" w:cs="Arial"/>
                <w:color w:val="000000"/>
                <w:sz w:val="20"/>
                <w:szCs w:val="20"/>
                <w:lang w:eastAsia="en-AU"/>
              </w:rPr>
            </w:pPr>
          </w:p>
        </w:tc>
      </w:tr>
      <w:tr w:rsidR="000A41BF" w:rsidRPr="00D621BB" w:rsidTr="00DF02AA">
        <w:trPr>
          <w:cantSplit/>
          <w:trHeight w:val="300"/>
        </w:trPr>
        <w:tc>
          <w:tcPr>
            <w:tcW w:w="2425" w:type="dxa"/>
            <w:vMerge/>
            <w:tcBorders>
              <w:left w:val="single" w:sz="18" w:space="0" w:color="auto"/>
              <w:bottom w:val="single" w:sz="18" w:space="0" w:color="auto"/>
              <w:right w:val="single" w:sz="18" w:space="0" w:color="auto"/>
            </w:tcBorders>
            <w:vAlign w:val="center"/>
          </w:tcPr>
          <w:p w:rsidR="000A41BF" w:rsidRPr="00D621BB" w:rsidRDefault="000A41BF" w:rsidP="00DF02AA">
            <w:pPr>
              <w:rPr>
                <w:rFonts w:ascii="Arial" w:hAnsi="Arial" w:cs="Arial"/>
                <w:color w:val="000000"/>
                <w:sz w:val="20"/>
                <w:szCs w:val="20"/>
                <w:lang w:eastAsia="en-AU"/>
              </w:rPr>
            </w:pPr>
          </w:p>
        </w:tc>
        <w:tc>
          <w:tcPr>
            <w:tcW w:w="2976" w:type="dxa"/>
            <w:tcBorders>
              <w:top w:val="single" w:sz="4" w:space="0" w:color="auto"/>
              <w:left w:val="single" w:sz="18" w:space="0" w:color="auto"/>
              <w:bottom w:val="single" w:sz="18" w:space="0" w:color="auto"/>
              <w:right w:val="single" w:sz="18" w:space="0" w:color="auto"/>
            </w:tcBorders>
            <w:shd w:val="clear" w:color="auto" w:fill="auto"/>
            <w:noWrap/>
          </w:tcPr>
          <w:p w:rsidR="000A41BF" w:rsidRPr="00D621BB" w:rsidRDefault="000A41BF" w:rsidP="00DF02AA">
            <w:pPr>
              <w:rPr>
                <w:rFonts w:ascii="Arial" w:eastAsia="Arial" w:hAnsi="Arial" w:cs="Arial"/>
                <w:color w:val="000000"/>
                <w:sz w:val="20"/>
                <w:szCs w:val="20"/>
                <w:lang w:eastAsia="en-AU"/>
              </w:rPr>
            </w:pPr>
            <w:r w:rsidRPr="00D621BB">
              <w:rPr>
                <w:rFonts w:ascii="Arial" w:eastAsia="Arial" w:hAnsi="Arial" w:cs="Arial"/>
                <w:color w:val="000000"/>
                <w:sz w:val="20"/>
                <w:szCs w:val="20"/>
                <w:lang w:eastAsia="en-AU"/>
              </w:rPr>
              <w:t>Nalco</w:t>
            </w:r>
          </w:p>
        </w:tc>
        <w:tc>
          <w:tcPr>
            <w:tcW w:w="1560" w:type="dxa"/>
            <w:tcBorders>
              <w:top w:val="single" w:sz="4" w:space="0" w:color="auto"/>
              <w:left w:val="single" w:sz="18" w:space="0" w:color="auto"/>
              <w:bottom w:val="single" w:sz="18" w:space="0" w:color="auto"/>
              <w:right w:val="single" w:sz="18" w:space="0" w:color="auto"/>
            </w:tcBorders>
          </w:tcPr>
          <w:p w:rsidR="000A41BF" w:rsidRPr="00D621BB" w:rsidRDefault="000A41BF" w:rsidP="00DF02AA">
            <w:pPr>
              <w:rPr>
                <w:rFonts w:ascii="Arial" w:hAnsi="Arial" w:cs="Arial"/>
                <w:color w:val="000000"/>
                <w:sz w:val="20"/>
                <w:szCs w:val="20"/>
                <w:lang w:eastAsia="en-AU"/>
              </w:rPr>
            </w:pPr>
            <w:r>
              <w:rPr>
                <w:rFonts w:ascii="Arial" w:hAnsi="Arial" w:cs="Arial"/>
                <w:color w:val="000000"/>
                <w:sz w:val="20"/>
                <w:szCs w:val="20"/>
                <w:lang w:eastAsia="en-AU"/>
              </w:rPr>
              <w:t>Yes</w:t>
            </w:r>
          </w:p>
        </w:tc>
        <w:tc>
          <w:tcPr>
            <w:tcW w:w="1208" w:type="dxa"/>
            <w:tcBorders>
              <w:top w:val="single" w:sz="4" w:space="0" w:color="auto"/>
              <w:left w:val="single" w:sz="18" w:space="0" w:color="auto"/>
              <w:bottom w:val="single" w:sz="18" w:space="0" w:color="auto"/>
              <w:right w:val="single" w:sz="18" w:space="0" w:color="auto"/>
            </w:tcBorders>
          </w:tcPr>
          <w:p w:rsidR="000A41BF" w:rsidRPr="00D621BB" w:rsidRDefault="000A41BF" w:rsidP="00DF02AA">
            <w:pPr>
              <w:rPr>
                <w:rFonts w:ascii="Arial" w:hAnsi="Arial" w:cs="Arial"/>
                <w:color w:val="000000"/>
                <w:sz w:val="20"/>
                <w:szCs w:val="20"/>
                <w:lang w:eastAsia="en-AU"/>
              </w:rPr>
            </w:pPr>
            <w:r>
              <w:rPr>
                <w:rFonts w:ascii="Arial" w:hAnsi="Arial" w:cs="Arial"/>
                <w:color w:val="000000"/>
                <w:sz w:val="20"/>
                <w:szCs w:val="20"/>
                <w:lang w:eastAsia="en-AU"/>
              </w:rPr>
              <w:t>No</w:t>
            </w:r>
          </w:p>
        </w:tc>
        <w:tc>
          <w:tcPr>
            <w:tcW w:w="5671" w:type="dxa"/>
            <w:tcBorders>
              <w:top w:val="single" w:sz="4" w:space="0" w:color="auto"/>
              <w:left w:val="single" w:sz="18" w:space="0" w:color="auto"/>
              <w:bottom w:val="single" w:sz="18" w:space="0" w:color="auto"/>
              <w:right w:val="single" w:sz="18" w:space="0" w:color="auto"/>
            </w:tcBorders>
            <w:shd w:val="clear" w:color="auto" w:fill="auto"/>
            <w:noWrap/>
          </w:tcPr>
          <w:p w:rsidR="000A41BF" w:rsidRPr="00D621BB" w:rsidRDefault="000A41BF" w:rsidP="00DF02AA">
            <w:pPr>
              <w:rPr>
                <w:rFonts w:ascii="Arial" w:hAnsi="Arial" w:cs="Arial"/>
                <w:color w:val="000000"/>
                <w:sz w:val="20"/>
                <w:szCs w:val="20"/>
                <w:lang w:eastAsia="en-AU"/>
              </w:rPr>
            </w:pPr>
          </w:p>
        </w:tc>
      </w:tr>
      <w:tr w:rsidR="000A41BF" w:rsidRPr="00D621BB" w:rsidTr="00DF02AA">
        <w:trPr>
          <w:cantSplit/>
          <w:trHeight w:val="300"/>
        </w:trPr>
        <w:tc>
          <w:tcPr>
            <w:tcW w:w="2425" w:type="dxa"/>
            <w:vMerge w:val="restart"/>
            <w:tcBorders>
              <w:left w:val="single" w:sz="18" w:space="0" w:color="auto"/>
              <w:right w:val="single" w:sz="18" w:space="0" w:color="auto"/>
            </w:tcBorders>
          </w:tcPr>
          <w:p w:rsidR="000A41BF" w:rsidRPr="00D621BB" w:rsidRDefault="000A41BF" w:rsidP="00DF02AA">
            <w:pPr>
              <w:rPr>
                <w:rFonts w:ascii="Arial" w:hAnsi="Arial" w:cs="Arial"/>
                <w:color w:val="000000"/>
                <w:sz w:val="20"/>
                <w:szCs w:val="20"/>
                <w:lang w:eastAsia="en-AU"/>
              </w:rPr>
            </w:pPr>
            <w:r>
              <w:rPr>
                <w:rFonts w:ascii="Arial" w:hAnsi="Arial" w:cs="Arial"/>
                <w:color w:val="000000"/>
                <w:sz w:val="20"/>
                <w:szCs w:val="20"/>
                <w:lang w:eastAsia="en-AU"/>
              </w:rPr>
              <w:t>Completion fluids</w:t>
            </w:r>
          </w:p>
        </w:tc>
        <w:tc>
          <w:tcPr>
            <w:tcW w:w="2976" w:type="dxa"/>
            <w:tcBorders>
              <w:top w:val="single" w:sz="4" w:space="0" w:color="auto"/>
              <w:left w:val="single" w:sz="18" w:space="0" w:color="auto"/>
              <w:bottom w:val="single" w:sz="4" w:space="0" w:color="auto"/>
              <w:right w:val="single" w:sz="18" w:space="0" w:color="auto"/>
            </w:tcBorders>
            <w:shd w:val="clear" w:color="auto" w:fill="auto"/>
            <w:noWrap/>
          </w:tcPr>
          <w:p w:rsidR="000A41BF" w:rsidRPr="00D621BB" w:rsidRDefault="000A41BF" w:rsidP="00DF02AA">
            <w:pPr>
              <w:rPr>
                <w:rFonts w:ascii="Arial" w:eastAsia="Arial" w:hAnsi="Arial" w:cs="Arial"/>
                <w:color w:val="000000"/>
                <w:sz w:val="20"/>
                <w:szCs w:val="20"/>
                <w:lang w:eastAsia="en-AU"/>
              </w:rPr>
            </w:pPr>
            <w:r>
              <w:rPr>
                <w:rFonts w:ascii="Arial" w:eastAsia="Arial" w:hAnsi="Arial" w:cs="Arial"/>
                <w:color w:val="000000"/>
                <w:sz w:val="20"/>
                <w:szCs w:val="20"/>
                <w:lang w:eastAsia="en-AU"/>
              </w:rPr>
              <w:t xml:space="preserve">Halliburton </w:t>
            </w:r>
          </w:p>
        </w:tc>
        <w:tc>
          <w:tcPr>
            <w:tcW w:w="1560" w:type="dxa"/>
            <w:tcBorders>
              <w:top w:val="single" w:sz="4" w:space="0" w:color="auto"/>
              <w:left w:val="single" w:sz="18" w:space="0" w:color="auto"/>
              <w:bottom w:val="single" w:sz="4" w:space="0" w:color="auto"/>
              <w:right w:val="single" w:sz="18" w:space="0" w:color="auto"/>
            </w:tcBorders>
          </w:tcPr>
          <w:p w:rsidR="000A41BF" w:rsidRPr="00D621BB" w:rsidRDefault="000A41BF" w:rsidP="00DF02AA">
            <w:pPr>
              <w:rPr>
                <w:rFonts w:ascii="Arial" w:hAnsi="Arial" w:cs="Arial"/>
                <w:color w:val="000000"/>
                <w:sz w:val="20"/>
                <w:szCs w:val="20"/>
                <w:lang w:eastAsia="en-AU"/>
              </w:rPr>
            </w:pPr>
            <w:r>
              <w:rPr>
                <w:rFonts w:ascii="Arial" w:hAnsi="Arial" w:cs="Arial"/>
                <w:color w:val="000000"/>
                <w:sz w:val="20"/>
                <w:szCs w:val="20"/>
                <w:lang w:eastAsia="en-AU"/>
              </w:rPr>
              <w:t>Yes</w:t>
            </w:r>
          </w:p>
        </w:tc>
        <w:tc>
          <w:tcPr>
            <w:tcW w:w="1208" w:type="dxa"/>
            <w:tcBorders>
              <w:top w:val="single" w:sz="4" w:space="0" w:color="auto"/>
              <w:left w:val="single" w:sz="18" w:space="0" w:color="auto"/>
              <w:bottom w:val="single" w:sz="4" w:space="0" w:color="auto"/>
              <w:right w:val="single" w:sz="18" w:space="0" w:color="auto"/>
            </w:tcBorders>
          </w:tcPr>
          <w:p w:rsidR="000A41BF" w:rsidRPr="00D621BB" w:rsidRDefault="000A41BF" w:rsidP="00DF02AA">
            <w:pPr>
              <w:rPr>
                <w:rFonts w:ascii="Arial" w:hAnsi="Arial" w:cs="Arial"/>
                <w:color w:val="000000"/>
                <w:sz w:val="20"/>
                <w:szCs w:val="20"/>
                <w:lang w:eastAsia="en-AU"/>
              </w:rPr>
            </w:pPr>
            <w:r>
              <w:rPr>
                <w:rFonts w:ascii="Arial" w:hAnsi="Arial" w:cs="Arial"/>
                <w:color w:val="000000"/>
                <w:sz w:val="20"/>
                <w:szCs w:val="20"/>
                <w:lang w:eastAsia="en-AU"/>
              </w:rPr>
              <w:t>Yes</w:t>
            </w:r>
          </w:p>
        </w:tc>
        <w:tc>
          <w:tcPr>
            <w:tcW w:w="5671" w:type="dxa"/>
            <w:tcBorders>
              <w:top w:val="single" w:sz="4" w:space="0" w:color="auto"/>
              <w:left w:val="single" w:sz="18" w:space="0" w:color="auto"/>
              <w:bottom w:val="single" w:sz="4" w:space="0" w:color="auto"/>
              <w:right w:val="single" w:sz="18" w:space="0" w:color="auto"/>
            </w:tcBorders>
            <w:shd w:val="clear" w:color="auto" w:fill="auto"/>
            <w:noWrap/>
          </w:tcPr>
          <w:p w:rsidR="000A41BF" w:rsidRPr="00D621BB" w:rsidRDefault="000A41BF" w:rsidP="00DF02AA">
            <w:pPr>
              <w:rPr>
                <w:rFonts w:ascii="Arial" w:hAnsi="Arial" w:cs="Arial"/>
                <w:color w:val="000000"/>
                <w:sz w:val="20"/>
                <w:szCs w:val="20"/>
                <w:lang w:eastAsia="en-AU"/>
              </w:rPr>
            </w:pPr>
          </w:p>
        </w:tc>
      </w:tr>
      <w:tr w:rsidR="000A41BF" w:rsidRPr="00D621BB" w:rsidTr="00DF02AA">
        <w:trPr>
          <w:cantSplit/>
          <w:trHeight w:val="300"/>
        </w:trPr>
        <w:tc>
          <w:tcPr>
            <w:tcW w:w="2425" w:type="dxa"/>
            <w:vMerge/>
            <w:tcBorders>
              <w:left w:val="single" w:sz="18" w:space="0" w:color="auto"/>
              <w:right w:val="single" w:sz="18" w:space="0" w:color="auto"/>
            </w:tcBorders>
            <w:vAlign w:val="center"/>
          </w:tcPr>
          <w:p w:rsidR="000A41BF" w:rsidRPr="00D621BB" w:rsidRDefault="000A41BF" w:rsidP="00DF02AA">
            <w:pPr>
              <w:rPr>
                <w:rFonts w:ascii="Arial" w:hAnsi="Arial" w:cs="Arial"/>
                <w:color w:val="000000"/>
                <w:sz w:val="20"/>
                <w:szCs w:val="20"/>
                <w:lang w:eastAsia="en-AU"/>
              </w:rPr>
            </w:pPr>
          </w:p>
        </w:tc>
        <w:tc>
          <w:tcPr>
            <w:tcW w:w="2976" w:type="dxa"/>
            <w:tcBorders>
              <w:top w:val="single" w:sz="4" w:space="0" w:color="auto"/>
              <w:left w:val="single" w:sz="18" w:space="0" w:color="auto"/>
              <w:bottom w:val="single" w:sz="4" w:space="0" w:color="auto"/>
              <w:right w:val="single" w:sz="18" w:space="0" w:color="auto"/>
            </w:tcBorders>
            <w:shd w:val="clear" w:color="auto" w:fill="auto"/>
            <w:noWrap/>
          </w:tcPr>
          <w:p w:rsidR="000A41BF" w:rsidRPr="00D621BB" w:rsidRDefault="000A41BF" w:rsidP="00DF02AA">
            <w:pPr>
              <w:rPr>
                <w:rFonts w:ascii="Arial" w:eastAsia="Arial" w:hAnsi="Arial" w:cs="Arial"/>
                <w:color w:val="000000"/>
                <w:sz w:val="20"/>
                <w:szCs w:val="20"/>
                <w:lang w:eastAsia="en-AU"/>
              </w:rPr>
            </w:pPr>
            <w:r>
              <w:rPr>
                <w:rFonts w:ascii="Arial" w:eastAsia="Arial" w:hAnsi="Arial" w:cs="Arial"/>
                <w:color w:val="000000"/>
                <w:sz w:val="20"/>
                <w:szCs w:val="20"/>
                <w:lang w:eastAsia="en-AU"/>
              </w:rPr>
              <w:t>Baker Hughes</w:t>
            </w:r>
          </w:p>
        </w:tc>
        <w:tc>
          <w:tcPr>
            <w:tcW w:w="1560" w:type="dxa"/>
            <w:tcBorders>
              <w:top w:val="single" w:sz="4" w:space="0" w:color="auto"/>
              <w:left w:val="single" w:sz="18" w:space="0" w:color="auto"/>
              <w:bottom w:val="single" w:sz="4" w:space="0" w:color="auto"/>
              <w:right w:val="single" w:sz="18" w:space="0" w:color="auto"/>
            </w:tcBorders>
          </w:tcPr>
          <w:p w:rsidR="000A41BF" w:rsidRPr="00D621BB" w:rsidRDefault="000A41BF" w:rsidP="00DF02AA">
            <w:pPr>
              <w:rPr>
                <w:rFonts w:ascii="Arial" w:hAnsi="Arial" w:cs="Arial"/>
                <w:color w:val="000000"/>
                <w:sz w:val="20"/>
                <w:szCs w:val="20"/>
                <w:lang w:eastAsia="en-AU"/>
              </w:rPr>
            </w:pPr>
            <w:r>
              <w:rPr>
                <w:rFonts w:ascii="Arial" w:hAnsi="Arial" w:cs="Arial"/>
                <w:color w:val="000000"/>
                <w:sz w:val="20"/>
                <w:szCs w:val="20"/>
                <w:lang w:eastAsia="en-AU"/>
              </w:rPr>
              <w:t>Yes</w:t>
            </w:r>
          </w:p>
        </w:tc>
        <w:tc>
          <w:tcPr>
            <w:tcW w:w="1208" w:type="dxa"/>
            <w:tcBorders>
              <w:top w:val="single" w:sz="4" w:space="0" w:color="auto"/>
              <w:left w:val="single" w:sz="18" w:space="0" w:color="auto"/>
              <w:bottom w:val="single" w:sz="4" w:space="0" w:color="auto"/>
              <w:right w:val="single" w:sz="18" w:space="0" w:color="auto"/>
            </w:tcBorders>
          </w:tcPr>
          <w:p w:rsidR="000A41BF" w:rsidRPr="00D621BB" w:rsidRDefault="000A41BF" w:rsidP="00DF02AA">
            <w:pPr>
              <w:rPr>
                <w:rFonts w:ascii="Arial" w:hAnsi="Arial" w:cs="Arial"/>
                <w:color w:val="000000"/>
                <w:sz w:val="20"/>
                <w:szCs w:val="20"/>
                <w:lang w:eastAsia="en-AU"/>
              </w:rPr>
            </w:pPr>
            <w:r>
              <w:rPr>
                <w:rFonts w:ascii="Arial" w:hAnsi="Arial" w:cs="Arial"/>
                <w:color w:val="000000"/>
                <w:sz w:val="20"/>
                <w:szCs w:val="20"/>
                <w:lang w:eastAsia="en-AU"/>
              </w:rPr>
              <w:t>Yes</w:t>
            </w:r>
          </w:p>
        </w:tc>
        <w:tc>
          <w:tcPr>
            <w:tcW w:w="5671" w:type="dxa"/>
            <w:tcBorders>
              <w:top w:val="single" w:sz="4" w:space="0" w:color="auto"/>
              <w:left w:val="single" w:sz="18" w:space="0" w:color="auto"/>
              <w:bottom w:val="single" w:sz="4" w:space="0" w:color="auto"/>
              <w:right w:val="single" w:sz="18" w:space="0" w:color="auto"/>
            </w:tcBorders>
            <w:shd w:val="clear" w:color="auto" w:fill="auto"/>
            <w:noWrap/>
          </w:tcPr>
          <w:p w:rsidR="000A41BF" w:rsidRPr="00D621BB" w:rsidRDefault="000A41BF" w:rsidP="00DF02AA">
            <w:pPr>
              <w:rPr>
                <w:rFonts w:ascii="Arial" w:hAnsi="Arial" w:cs="Arial"/>
                <w:color w:val="000000"/>
                <w:sz w:val="20"/>
                <w:szCs w:val="20"/>
                <w:lang w:eastAsia="en-AU"/>
              </w:rPr>
            </w:pPr>
          </w:p>
        </w:tc>
      </w:tr>
      <w:tr w:rsidR="000A41BF" w:rsidRPr="00D621BB" w:rsidTr="00DF02AA">
        <w:trPr>
          <w:cantSplit/>
          <w:trHeight w:val="300"/>
        </w:trPr>
        <w:tc>
          <w:tcPr>
            <w:tcW w:w="2425" w:type="dxa"/>
            <w:vMerge/>
            <w:tcBorders>
              <w:left w:val="single" w:sz="18" w:space="0" w:color="auto"/>
              <w:right w:val="single" w:sz="18" w:space="0" w:color="auto"/>
            </w:tcBorders>
            <w:vAlign w:val="center"/>
          </w:tcPr>
          <w:p w:rsidR="000A41BF" w:rsidRPr="00D621BB" w:rsidRDefault="000A41BF" w:rsidP="00DF02AA">
            <w:pPr>
              <w:rPr>
                <w:rFonts w:ascii="Arial" w:hAnsi="Arial" w:cs="Arial"/>
                <w:color w:val="000000"/>
                <w:sz w:val="20"/>
                <w:szCs w:val="20"/>
                <w:lang w:eastAsia="en-AU"/>
              </w:rPr>
            </w:pPr>
          </w:p>
        </w:tc>
        <w:tc>
          <w:tcPr>
            <w:tcW w:w="2976" w:type="dxa"/>
            <w:tcBorders>
              <w:top w:val="single" w:sz="4" w:space="0" w:color="auto"/>
              <w:left w:val="single" w:sz="18" w:space="0" w:color="auto"/>
              <w:bottom w:val="single" w:sz="4" w:space="0" w:color="auto"/>
              <w:right w:val="single" w:sz="18" w:space="0" w:color="auto"/>
            </w:tcBorders>
            <w:shd w:val="clear" w:color="auto" w:fill="auto"/>
            <w:noWrap/>
          </w:tcPr>
          <w:p w:rsidR="000A41BF" w:rsidRPr="00D621BB" w:rsidRDefault="000A41BF" w:rsidP="00DF02AA">
            <w:pPr>
              <w:rPr>
                <w:rFonts w:ascii="Arial" w:eastAsia="Arial" w:hAnsi="Arial" w:cs="Arial"/>
                <w:color w:val="000000"/>
                <w:sz w:val="20"/>
                <w:szCs w:val="20"/>
                <w:lang w:eastAsia="en-AU"/>
              </w:rPr>
            </w:pPr>
            <w:r w:rsidRPr="00D621BB">
              <w:rPr>
                <w:rFonts w:ascii="Arial" w:eastAsia="Arial" w:hAnsi="Arial" w:cs="Arial"/>
                <w:color w:val="000000"/>
                <w:sz w:val="20"/>
                <w:szCs w:val="20"/>
                <w:lang w:eastAsia="en-AU"/>
              </w:rPr>
              <w:t>Schlumberger</w:t>
            </w:r>
          </w:p>
        </w:tc>
        <w:tc>
          <w:tcPr>
            <w:tcW w:w="1560" w:type="dxa"/>
            <w:tcBorders>
              <w:top w:val="single" w:sz="4" w:space="0" w:color="auto"/>
              <w:left w:val="single" w:sz="18" w:space="0" w:color="auto"/>
              <w:bottom w:val="single" w:sz="4" w:space="0" w:color="auto"/>
              <w:right w:val="single" w:sz="18" w:space="0" w:color="auto"/>
            </w:tcBorders>
          </w:tcPr>
          <w:p w:rsidR="000A41BF" w:rsidRPr="00D621BB" w:rsidRDefault="000A41BF" w:rsidP="00DF02AA">
            <w:pPr>
              <w:rPr>
                <w:rFonts w:ascii="Arial" w:hAnsi="Arial" w:cs="Arial"/>
                <w:color w:val="000000"/>
                <w:sz w:val="20"/>
                <w:szCs w:val="20"/>
                <w:lang w:eastAsia="en-AU"/>
              </w:rPr>
            </w:pPr>
            <w:r>
              <w:rPr>
                <w:rFonts w:ascii="Arial" w:hAnsi="Arial" w:cs="Arial"/>
                <w:color w:val="000000"/>
                <w:sz w:val="20"/>
                <w:szCs w:val="20"/>
                <w:lang w:eastAsia="en-AU"/>
              </w:rPr>
              <w:t>Yes</w:t>
            </w:r>
          </w:p>
        </w:tc>
        <w:tc>
          <w:tcPr>
            <w:tcW w:w="1208" w:type="dxa"/>
            <w:tcBorders>
              <w:top w:val="single" w:sz="4" w:space="0" w:color="auto"/>
              <w:left w:val="single" w:sz="18" w:space="0" w:color="auto"/>
              <w:bottom w:val="single" w:sz="4" w:space="0" w:color="auto"/>
              <w:right w:val="single" w:sz="18" w:space="0" w:color="auto"/>
            </w:tcBorders>
          </w:tcPr>
          <w:p w:rsidR="000A41BF" w:rsidRPr="00D621BB" w:rsidRDefault="000A41BF" w:rsidP="00DF02AA">
            <w:pPr>
              <w:rPr>
                <w:rFonts w:ascii="Arial" w:hAnsi="Arial" w:cs="Arial"/>
                <w:color w:val="000000"/>
                <w:sz w:val="20"/>
                <w:szCs w:val="20"/>
                <w:lang w:eastAsia="en-AU"/>
              </w:rPr>
            </w:pPr>
            <w:r>
              <w:rPr>
                <w:rFonts w:ascii="Arial" w:hAnsi="Arial" w:cs="Arial"/>
                <w:color w:val="000000"/>
                <w:sz w:val="20"/>
                <w:szCs w:val="20"/>
                <w:lang w:eastAsia="en-AU"/>
              </w:rPr>
              <w:t>Yes</w:t>
            </w:r>
          </w:p>
        </w:tc>
        <w:tc>
          <w:tcPr>
            <w:tcW w:w="5671" w:type="dxa"/>
            <w:tcBorders>
              <w:top w:val="single" w:sz="4" w:space="0" w:color="auto"/>
              <w:left w:val="single" w:sz="18" w:space="0" w:color="auto"/>
              <w:bottom w:val="single" w:sz="4" w:space="0" w:color="auto"/>
              <w:right w:val="single" w:sz="18" w:space="0" w:color="auto"/>
            </w:tcBorders>
            <w:shd w:val="clear" w:color="auto" w:fill="auto"/>
            <w:noWrap/>
          </w:tcPr>
          <w:p w:rsidR="000A41BF" w:rsidRPr="00D621BB" w:rsidRDefault="000A41BF" w:rsidP="00DF02AA">
            <w:pPr>
              <w:rPr>
                <w:rFonts w:ascii="Arial" w:hAnsi="Arial" w:cs="Arial"/>
                <w:color w:val="000000"/>
                <w:sz w:val="20"/>
                <w:szCs w:val="20"/>
                <w:lang w:eastAsia="en-AU"/>
              </w:rPr>
            </w:pPr>
          </w:p>
        </w:tc>
      </w:tr>
      <w:tr w:rsidR="000A41BF" w:rsidRPr="00D621BB" w:rsidTr="00DF02AA">
        <w:trPr>
          <w:cantSplit/>
          <w:trHeight w:val="300"/>
        </w:trPr>
        <w:tc>
          <w:tcPr>
            <w:tcW w:w="2425" w:type="dxa"/>
            <w:vMerge/>
            <w:tcBorders>
              <w:left w:val="single" w:sz="18" w:space="0" w:color="auto"/>
              <w:right w:val="single" w:sz="18" w:space="0" w:color="auto"/>
            </w:tcBorders>
            <w:vAlign w:val="center"/>
          </w:tcPr>
          <w:p w:rsidR="000A41BF" w:rsidRPr="00D621BB" w:rsidRDefault="000A41BF" w:rsidP="00DF02AA">
            <w:pPr>
              <w:rPr>
                <w:rFonts w:ascii="Arial" w:hAnsi="Arial" w:cs="Arial"/>
                <w:color w:val="000000"/>
                <w:sz w:val="20"/>
                <w:szCs w:val="20"/>
                <w:lang w:eastAsia="en-AU"/>
              </w:rPr>
            </w:pPr>
          </w:p>
        </w:tc>
        <w:tc>
          <w:tcPr>
            <w:tcW w:w="2976" w:type="dxa"/>
            <w:tcBorders>
              <w:top w:val="single" w:sz="4" w:space="0" w:color="auto"/>
              <w:left w:val="single" w:sz="18" w:space="0" w:color="auto"/>
              <w:bottom w:val="single" w:sz="4" w:space="0" w:color="auto"/>
              <w:right w:val="single" w:sz="18" w:space="0" w:color="auto"/>
            </w:tcBorders>
            <w:shd w:val="clear" w:color="auto" w:fill="auto"/>
            <w:noWrap/>
          </w:tcPr>
          <w:p w:rsidR="000A41BF" w:rsidRPr="00D621BB" w:rsidRDefault="000A41BF" w:rsidP="00DF02AA">
            <w:pPr>
              <w:rPr>
                <w:rFonts w:ascii="Arial" w:eastAsia="Arial" w:hAnsi="Arial" w:cs="Arial"/>
                <w:color w:val="000000"/>
                <w:sz w:val="20"/>
                <w:szCs w:val="20"/>
                <w:lang w:eastAsia="en-AU"/>
              </w:rPr>
            </w:pPr>
            <w:proofErr w:type="spellStart"/>
            <w:r w:rsidRPr="00D621BB">
              <w:rPr>
                <w:rFonts w:ascii="Arial" w:eastAsia="Arial" w:hAnsi="Arial" w:cs="Arial"/>
                <w:color w:val="000000"/>
                <w:sz w:val="20"/>
                <w:szCs w:val="20"/>
                <w:lang w:eastAsia="en-AU"/>
              </w:rPr>
              <w:t>Newpark</w:t>
            </w:r>
            <w:proofErr w:type="spellEnd"/>
          </w:p>
        </w:tc>
        <w:tc>
          <w:tcPr>
            <w:tcW w:w="1560" w:type="dxa"/>
            <w:tcBorders>
              <w:top w:val="single" w:sz="4" w:space="0" w:color="auto"/>
              <w:left w:val="single" w:sz="18" w:space="0" w:color="auto"/>
              <w:bottom w:val="single" w:sz="4" w:space="0" w:color="auto"/>
              <w:right w:val="single" w:sz="18" w:space="0" w:color="auto"/>
            </w:tcBorders>
          </w:tcPr>
          <w:p w:rsidR="000A41BF" w:rsidRPr="00D621BB" w:rsidRDefault="000A41BF" w:rsidP="00DF02AA">
            <w:pPr>
              <w:rPr>
                <w:rFonts w:ascii="Arial" w:hAnsi="Arial" w:cs="Arial"/>
                <w:color w:val="000000"/>
                <w:sz w:val="20"/>
                <w:szCs w:val="20"/>
                <w:lang w:eastAsia="en-AU"/>
              </w:rPr>
            </w:pPr>
            <w:r>
              <w:rPr>
                <w:rFonts w:ascii="Arial" w:hAnsi="Arial" w:cs="Arial"/>
                <w:color w:val="000000"/>
                <w:sz w:val="20"/>
                <w:szCs w:val="20"/>
                <w:lang w:eastAsia="en-AU"/>
              </w:rPr>
              <w:t>Yes</w:t>
            </w:r>
          </w:p>
        </w:tc>
        <w:tc>
          <w:tcPr>
            <w:tcW w:w="1208" w:type="dxa"/>
            <w:tcBorders>
              <w:top w:val="single" w:sz="4" w:space="0" w:color="auto"/>
              <w:left w:val="single" w:sz="18" w:space="0" w:color="auto"/>
              <w:bottom w:val="single" w:sz="4" w:space="0" w:color="auto"/>
              <w:right w:val="single" w:sz="18" w:space="0" w:color="auto"/>
            </w:tcBorders>
          </w:tcPr>
          <w:p w:rsidR="000A41BF" w:rsidRPr="00D621BB" w:rsidRDefault="000A41BF" w:rsidP="00DF02AA">
            <w:pPr>
              <w:rPr>
                <w:rFonts w:ascii="Arial" w:hAnsi="Arial" w:cs="Arial"/>
                <w:color w:val="000000"/>
                <w:sz w:val="20"/>
                <w:szCs w:val="20"/>
                <w:lang w:eastAsia="en-AU"/>
              </w:rPr>
            </w:pPr>
            <w:r>
              <w:rPr>
                <w:rFonts w:ascii="Arial" w:hAnsi="Arial" w:cs="Arial"/>
                <w:color w:val="000000"/>
                <w:sz w:val="20"/>
                <w:szCs w:val="20"/>
                <w:lang w:eastAsia="en-AU"/>
              </w:rPr>
              <w:t>Yes</w:t>
            </w:r>
          </w:p>
        </w:tc>
        <w:tc>
          <w:tcPr>
            <w:tcW w:w="5671" w:type="dxa"/>
            <w:tcBorders>
              <w:top w:val="single" w:sz="4" w:space="0" w:color="auto"/>
              <w:left w:val="single" w:sz="18" w:space="0" w:color="auto"/>
              <w:bottom w:val="single" w:sz="4" w:space="0" w:color="auto"/>
              <w:right w:val="single" w:sz="18" w:space="0" w:color="auto"/>
            </w:tcBorders>
            <w:shd w:val="clear" w:color="auto" w:fill="auto"/>
            <w:noWrap/>
          </w:tcPr>
          <w:p w:rsidR="000A41BF" w:rsidRPr="00D621BB" w:rsidRDefault="000A41BF" w:rsidP="00DF02AA">
            <w:pPr>
              <w:rPr>
                <w:rFonts w:ascii="Arial" w:hAnsi="Arial" w:cs="Arial"/>
                <w:color w:val="000000"/>
                <w:sz w:val="20"/>
                <w:szCs w:val="20"/>
                <w:lang w:eastAsia="en-AU"/>
              </w:rPr>
            </w:pPr>
          </w:p>
        </w:tc>
      </w:tr>
      <w:tr w:rsidR="000A41BF" w:rsidRPr="00D621BB" w:rsidTr="00DF02AA">
        <w:trPr>
          <w:cantSplit/>
          <w:trHeight w:val="300"/>
        </w:trPr>
        <w:tc>
          <w:tcPr>
            <w:tcW w:w="2425" w:type="dxa"/>
            <w:vMerge/>
            <w:tcBorders>
              <w:left w:val="single" w:sz="18" w:space="0" w:color="auto"/>
              <w:right w:val="single" w:sz="18" w:space="0" w:color="auto"/>
            </w:tcBorders>
            <w:vAlign w:val="center"/>
          </w:tcPr>
          <w:p w:rsidR="000A41BF" w:rsidRPr="00D621BB" w:rsidRDefault="000A41BF" w:rsidP="00DF02AA">
            <w:pPr>
              <w:rPr>
                <w:rFonts w:ascii="Arial" w:hAnsi="Arial" w:cs="Arial"/>
                <w:color w:val="000000"/>
                <w:sz w:val="20"/>
                <w:szCs w:val="20"/>
                <w:lang w:eastAsia="en-AU"/>
              </w:rPr>
            </w:pPr>
          </w:p>
        </w:tc>
        <w:tc>
          <w:tcPr>
            <w:tcW w:w="2976" w:type="dxa"/>
            <w:tcBorders>
              <w:top w:val="single" w:sz="4" w:space="0" w:color="auto"/>
              <w:left w:val="single" w:sz="18" w:space="0" w:color="auto"/>
              <w:bottom w:val="single" w:sz="4" w:space="0" w:color="auto"/>
              <w:right w:val="single" w:sz="18" w:space="0" w:color="auto"/>
            </w:tcBorders>
            <w:shd w:val="clear" w:color="auto" w:fill="auto"/>
            <w:noWrap/>
          </w:tcPr>
          <w:p w:rsidR="000A41BF" w:rsidRPr="00D621BB" w:rsidRDefault="000A41BF" w:rsidP="00DF02AA">
            <w:pPr>
              <w:rPr>
                <w:rFonts w:ascii="Arial" w:eastAsia="Arial" w:hAnsi="Arial" w:cs="Arial"/>
                <w:color w:val="000000"/>
                <w:sz w:val="20"/>
                <w:szCs w:val="20"/>
                <w:lang w:eastAsia="en-AU"/>
              </w:rPr>
            </w:pPr>
            <w:r w:rsidRPr="00D621BB">
              <w:rPr>
                <w:rFonts w:ascii="Arial" w:eastAsia="Arial" w:hAnsi="Arial" w:cs="Arial"/>
                <w:color w:val="000000"/>
                <w:sz w:val="20"/>
                <w:szCs w:val="20"/>
                <w:lang w:eastAsia="en-AU"/>
              </w:rPr>
              <w:t>AMC Oil and Gas</w:t>
            </w:r>
          </w:p>
        </w:tc>
        <w:tc>
          <w:tcPr>
            <w:tcW w:w="1560" w:type="dxa"/>
            <w:tcBorders>
              <w:top w:val="single" w:sz="4" w:space="0" w:color="auto"/>
              <w:left w:val="single" w:sz="18" w:space="0" w:color="auto"/>
              <w:bottom w:val="single" w:sz="4" w:space="0" w:color="auto"/>
              <w:right w:val="single" w:sz="18" w:space="0" w:color="auto"/>
            </w:tcBorders>
          </w:tcPr>
          <w:p w:rsidR="000A41BF" w:rsidRPr="00D621BB" w:rsidRDefault="000A41BF" w:rsidP="00DF02AA">
            <w:pPr>
              <w:rPr>
                <w:rFonts w:ascii="Arial" w:hAnsi="Arial" w:cs="Arial"/>
                <w:color w:val="000000"/>
                <w:sz w:val="20"/>
                <w:szCs w:val="20"/>
                <w:lang w:eastAsia="en-AU"/>
              </w:rPr>
            </w:pPr>
            <w:r>
              <w:rPr>
                <w:rFonts w:ascii="Arial" w:hAnsi="Arial" w:cs="Arial"/>
                <w:color w:val="000000"/>
                <w:sz w:val="20"/>
                <w:szCs w:val="20"/>
                <w:lang w:eastAsia="en-AU"/>
              </w:rPr>
              <w:t>Yes</w:t>
            </w:r>
          </w:p>
        </w:tc>
        <w:tc>
          <w:tcPr>
            <w:tcW w:w="1208" w:type="dxa"/>
            <w:tcBorders>
              <w:top w:val="single" w:sz="4" w:space="0" w:color="auto"/>
              <w:left w:val="single" w:sz="18" w:space="0" w:color="auto"/>
              <w:bottom w:val="single" w:sz="4" w:space="0" w:color="auto"/>
              <w:right w:val="single" w:sz="18" w:space="0" w:color="auto"/>
            </w:tcBorders>
          </w:tcPr>
          <w:p w:rsidR="000A41BF" w:rsidRPr="00D621BB" w:rsidRDefault="000A41BF" w:rsidP="00DF02AA">
            <w:pPr>
              <w:rPr>
                <w:rFonts w:ascii="Arial" w:hAnsi="Arial" w:cs="Arial"/>
                <w:color w:val="000000"/>
                <w:sz w:val="20"/>
                <w:szCs w:val="20"/>
                <w:lang w:eastAsia="en-AU"/>
              </w:rPr>
            </w:pPr>
            <w:r>
              <w:rPr>
                <w:rFonts w:ascii="Arial" w:hAnsi="Arial" w:cs="Arial"/>
                <w:color w:val="000000"/>
                <w:sz w:val="20"/>
                <w:szCs w:val="20"/>
                <w:lang w:eastAsia="en-AU"/>
              </w:rPr>
              <w:t>No</w:t>
            </w:r>
          </w:p>
        </w:tc>
        <w:tc>
          <w:tcPr>
            <w:tcW w:w="5671" w:type="dxa"/>
            <w:tcBorders>
              <w:top w:val="single" w:sz="4" w:space="0" w:color="auto"/>
              <w:left w:val="single" w:sz="18" w:space="0" w:color="auto"/>
              <w:bottom w:val="single" w:sz="4" w:space="0" w:color="auto"/>
              <w:right w:val="single" w:sz="18" w:space="0" w:color="auto"/>
            </w:tcBorders>
            <w:shd w:val="clear" w:color="auto" w:fill="auto"/>
            <w:noWrap/>
          </w:tcPr>
          <w:p w:rsidR="000A41BF" w:rsidRPr="00D621BB" w:rsidRDefault="000A41BF" w:rsidP="00DF02AA">
            <w:pPr>
              <w:rPr>
                <w:rFonts w:ascii="Arial" w:hAnsi="Arial" w:cs="Arial"/>
                <w:color w:val="000000"/>
                <w:sz w:val="20"/>
                <w:szCs w:val="20"/>
                <w:lang w:eastAsia="en-AU"/>
              </w:rPr>
            </w:pPr>
          </w:p>
        </w:tc>
      </w:tr>
      <w:tr w:rsidR="000A41BF" w:rsidRPr="00D621BB" w:rsidTr="00DF02AA">
        <w:trPr>
          <w:cantSplit/>
          <w:trHeight w:val="300"/>
        </w:trPr>
        <w:tc>
          <w:tcPr>
            <w:tcW w:w="2425" w:type="dxa"/>
            <w:vMerge/>
            <w:tcBorders>
              <w:left w:val="single" w:sz="18" w:space="0" w:color="auto"/>
              <w:bottom w:val="single" w:sz="18" w:space="0" w:color="auto"/>
              <w:right w:val="single" w:sz="18" w:space="0" w:color="auto"/>
            </w:tcBorders>
            <w:vAlign w:val="center"/>
          </w:tcPr>
          <w:p w:rsidR="000A41BF" w:rsidRPr="00D621BB" w:rsidRDefault="000A41BF" w:rsidP="00DF02AA">
            <w:pPr>
              <w:rPr>
                <w:rFonts w:ascii="Arial" w:hAnsi="Arial" w:cs="Arial"/>
                <w:color w:val="000000"/>
                <w:sz w:val="20"/>
                <w:szCs w:val="20"/>
                <w:lang w:eastAsia="en-AU"/>
              </w:rPr>
            </w:pPr>
          </w:p>
        </w:tc>
        <w:tc>
          <w:tcPr>
            <w:tcW w:w="2976" w:type="dxa"/>
            <w:tcBorders>
              <w:top w:val="single" w:sz="4" w:space="0" w:color="auto"/>
              <w:left w:val="single" w:sz="18" w:space="0" w:color="auto"/>
              <w:bottom w:val="single" w:sz="18" w:space="0" w:color="auto"/>
              <w:right w:val="single" w:sz="18" w:space="0" w:color="auto"/>
            </w:tcBorders>
            <w:shd w:val="clear" w:color="auto" w:fill="auto"/>
            <w:noWrap/>
          </w:tcPr>
          <w:p w:rsidR="000A41BF" w:rsidRPr="00D621BB" w:rsidRDefault="000A41BF" w:rsidP="00DF02AA">
            <w:pPr>
              <w:rPr>
                <w:rFonts w:ascii="Arial" w:eastAsia="Arial" w:hAnsi="Arial" w:cs="Arial"/>
                <w:color w:val="000000"/>
                <w:sz w:val="20"/>
                <w:szCs w:val="20"/>
                <w:lang w:eastAsia="en-AU"/>
              </w:rPr>
            </w:pPr>
            <w:r w:rsidRPr="00D621BB">
              <w:rPr>
                <w:rFonts w:ascii="Arial" w:eastAsia="Arial" w:hAnsi="Arial" w:cs="Arial"/>
                <w:color w:val="000000"/>
                <w:sz w:val="20"/>
                <w:szCs w:val="20"/>
                <w:lang w:eastAsia="en-AU"/>
              </w:rPr>
              <w:t>Nalco</w:t>
            </w:r>
          </w:p>
        </w:tc>
        <w:tc>
          <w:tcPr>
            <w:tcW w:w="1560" w:type="dxa"/>
            <w:tcBorders>
              <w:top w:val="single" w:sz="4" w:space="0" w:color="auto"/>
              <w:left w:val="single" w:sz="18" w:space="0" w:color="auto"/>
              <w:bottom w:val="single" w:sz="18" w:space="0" w:color="auto"/>
              <w:right w:val="single" w:sz="18" w:space="0" w:color="auto"/>
            </w:tcBorders>
          </w:tcPr>
          <w:p w:rsidR="000A41BF" w:rsidRPr="00D621BB" w:rsidRDefault="000A41BF" w:rsidP="00DF02AA">
            <w:pPr>
              <w:rPr>
                <w:rFonts w:ascii="Arial" w:hAnsi="Arial" w:cs="Arial"/>
                <w:color w:val="000000"/>
                <w:sz w:val="20"/>
                <w:szCs w:val="20"/>
                <w:lang w:eastAsia="en-AU"/>
              </w:rPr>
            </w:pPr>
            <w:r>
              <w:rPr>
                <w:rFonts w:ascii="Arial" w:hAnsi="Arial" w:cs="Arial"/>
                <w:color w:val="000000"/>
                <w:sz w:val="20"/>
                <w:szCs w:val="20"/>
                <w:lang w:eastAsia="en-AU"/>
              </w:rPr>
              <w:t>Yes</w:t>
            </w:r>
          </w:p>
        </w:tc>
        <w:tc>
          <w:tcPr>
            <w:tcW w:w="1208" w:type="dxa"/>
            <w:tcBorders>
              <w:top w:val="single" w:sz="4" w:space="0" w:color="auto"/>
              <w:left w:val="single" w:sz="18" w:space="0" w:color="auto"/>
              <w:bottom w:val="single" w:sz="18" w:space="0" w:color="auto"/>
              <w:right w:val="single" w:sz="18" w:space="0" w:color="auto"/>
            </w:tcBorders>
          </w:tcPr>
          <w:p w:rsidR="000A41BF" w:rsidRPr="00D621BB" w:rsidRDefault="000A41BF" w:rsidP="00DF02AA">
            <w:pPr>
              <w:rPr>
                <w:rFonts w:ascii="Arial" w:hAnsi="Arial" w:cs="Arial"/>
                <w:color w:val="000000"/>
                <w:sz w:val="20"/>
                <w:szCs w:val="20"/>
                <w:lang w:eastAsia="en-AU"/>
              </w:rPr>
            </w:pPr>
            <w:r>
              <w:rPr>
                <w:rFonts w:ascii="Arial" w:hAnsi="Arial" w:cs="Arial"/>
                <w:color w:val="000000"/>
                <w:sz w:val="20"/>
                <w:szCs w:val="20"/>
                <w:lang w:eastAsia="en-AU"/>
              </w:rPr>
              <w:t>No</w:t>
            </w:r>
          </w:p>
        </w:tc>
        <w:tc>
          <w:tcPr>
            <w:tcW w:w="5671" w:type="dxa"/>
            <w:tcBorders>
              <w:top w:val="single" w:sz="4" w:space="0" w:color="auto"/>
              <w:left w:val="single" w:sz="18" w:space="0" w:color="auto"/>
              <w:bottom w:val="single" w:sz="18" w:space="0" w:color="auto"/>
              <w:right w:val="single" w:sz="18" w:space="0" w:color="auto"/>
            </w:tcBorders>
            <w:shd w:val="clear" w:color="auto" w:fill="auto"/>
            <w:noWrap/>
          </w:tcPr>
          <w:p w:rsidR="000A41BF" w:rsidRPr="00D621BB" w:rsidRDefault="000A41BF" w:rsidP="00DF02AA">
            <w:pPr>
              <w:rPr>
                <w:rFonts w:ascii="Arial" w:hAnsi="Arial" w:cs="Arial"/>
                <w:color w:val="000000"/>
                <w:sz w:val="20"/>
                <w:szCs w:val="20"/>
                <w:lang w:eastAsia="en-AU"/>
              </w:rPr>
            </w:pPr>
          </w:p>
        </w:tc>
      </w:tr>
      <w:tr w:rsidR="000A41BF" w:rsidRPr="00D621BB" w:rsidTr="00DF02AA">
        <w:trPr>
          <w:cantSplit/>
          <w:trHeight w:val="300"/>
        </w:trPr>
        <w:tc>
          <w:tcPr>
            <w:tcW w:w="2425" w:type="dxa"/>
            <w:vMerge w:val="restart"/>
            <w:tcBorders>
              <w:top w:val="single" w:sz="18" w:space="0" w:color="auto"/>
              <w:left w:val="single" w:sz="18" w:space="0" w:color="auto"/>
              <w:right w:val="single" w:sz="18" w:space="0" w:color="auto"/>
            </w:tcBorders>
          </w:tcPr>
          <w:p w:rsidR="000A41BF" w:rsidRPr="00D621BB" w:rsidRDefault="000A41BF" w:rsidP="00DF02AA">
            <w:pPr>
              <w:rPr>
                <w:rFonts w:ascii="Arial" w:hAnsi="Arial" w:cs="Arial"/>
                <w:color w:val="000000"/>
                <w:sz w:val="20"/>
                <w:szCs w:val="20"/>
                <w:lang w:eastAsia="en-AU"/>
              </w:rPr>
            </w:pPr>
            <w:r w:rsidRPr="00D621BB">
              <w:rPr>
                <w:rFonts w:ascii="Arial" w:hAnsi="Arial" w:cs="Arial"/>
                <w:color w:val="000000"/>
                <w:sz w:val="20"/>
                <w:szCs w:val="20"/>
                <w:lang w:eastAsia="en-AU"/>
              </w:rPr>
              <w:t>Coiled Tubing</w:t>
            </w:r>
          </w:p>
        </w:tc>
        <w:tc>
          <w:tcPr>
            <w:tcW w:w="2976" w:type="dxa"/>
            <w:tcBorders>
              <w:top w:val="single" w:sz="18" w:space="0" w:color="auto"/>
              <w:left w:val="single" w:sz="18" w:space="0" w:color="auto"/>
              <w:bottom w:val="single" w:sz="4" w:space="0" w:color="auto"/>
              <w:right w:val="single" w:sz="18" w:space="0" w:color="auto"/>
            </w:tcBorders>
            <w:shd w:val="clear" w:color="auto" w:fill="auto"/>
            <w:noWrap/>
          </w:tcPr>
          <w:p w:rsidR="000A41BF" w:rsidRPr="00D621BB" w:rsidRDefault="000A41BF" w:rsidP="00DF02AA">
            <w:pPr>
              <w:rPr>
                <w:rFonts w:ascii="Arial" w:eastAsia="Arial" w:hAnsi="Arial" w:cs="Arial"/>
                <w:color w:val="000000"/>
                <w:sz w:val="20"/>
                <w:szCs w:val="20"/>
                <w:lang w:eastAsia="en-AU"/>
              </w:rPr>
            </w:pPr>
            <w:r>
              <w:rPr>
                <w:rFonts w:ascii="Arial" w:eastAsia="Arial" w:hAnsi="Arial" w:cs="Arial"/>
                <w:color w:val="000000"/>
                <w:sz w:val="20"/>
                <w:szCs w:val="20"/>
                <w:lang w:eastAsia="en-AU"/>
              </w:rPr>
              <w:t xml:space="preserve">Halliburton </w:t>
            </w:r>
          </w:p>
        </w:tc>
        <w:tc>
          <w:tcPr>
            <w:tcW w:w="1560" w:type="dxa"/>
            <w:tcBorders>
              <w:top w:val="single" w:sz="18" w:space="0" w:color="auto"/>
              <w:left w:val="single" w:sz="18" w:space="0" w:color="auto"/>
              <w:bottom w:val="single" w:sz="4" w:space="0" w:color="auto"/>
              <w:right w:val="single" w:sz="18" w:space="0" w:color="auto"/>
            </w:tcBorders>
          </w:tcPr>
          <w:p w:rsidR="000A41BF" w:rsidRPr="00D621BB" w:rsidRDefault="000A41BF" w:rsidP="00DF02AA">
            <w:pPr>
              <w:rPr>
                <w:rFonts w:ascii="Arial" w:hAnsi="Arial" w:cs="Arial"/>
                <w:color w:val="000000"/>
                <w:sz w:val="20"/>
                <w:szCs w:val="20"/>
                <w:lang w:eastAsia="en-AU"/>
              </w:rPr>
            </w:pPr>
            <w:r>
              <w:rPr>
                <w:rFonts w:ascii="Arial" w:hAnsi="Arial" w:cs="Arial"/>
                <w:color w:val="000000"/>
                <w:sz w:val="20"/>
                <w:szCs w:val="20"/>
                <w:lang w:eastAsia="en-AU"/>
              </w:rPr>
              <w:t>Yes</w:t>
            </w:r>
          </w:p>
        </w:tc>
        <w:tc>
          <w:tcPr>
            <w:tcW w:w="1208" w:type="dxa"/>
            <w:tcBorders>
              <w:top w:val="single" w:sz="18" w:space="0" w:color="auto"/>
              <w:left w:val="single" w:sz="18" w:space="0" w:color="auto"/>
              <w:bottom w:val="single" w:sz="4" w:space="0" w:color="auto"/>
              <w:right w:val="single" w:sz="18" w:space="0" w:color="auto"/>
            </w:tcBorders>
          </w:tcPr>
          <w:p w:rsidR="000A41BF" w:rsidRPr="00D621BB" w:rsidRDefault="000A41BF" w:rsidP="00DF02AA">
            <w:pPr>
              <w:rPr>
                <w:rFonts w:ascii="Arial" w:hAnsi="Arial" w:cs="Arial"/>
                <w:color w:val="000000"/>
                <w:sz w:val="20"/>
                <w:szCs w:val="20"/>
                <w:lang w:eastAsia="en-AU"/>
              </w:rPr>
            </w:pPr>
            <w:r>
              <w:rPr>
                <w:rFonts w:ascii="Arial" w:hAnsi="Arial" w:cs="Arial"/>
                <w:color w:val="000000"/>
                <w:sz w:val="20"/>
                <w:szCs w:val="20"/>
                <w:lang w:eastAsia="en-AU"/>
              </w:rPr>
              <w:t>Yes</w:t>
            </w:r>
          </w:p>
        </w:tc>
        <w:tc>
          <w:tcPr>
            <w:tcW w:w="5671" w:type="dxa"/>
            <w:tcBorders>
              <w:top w:val="single" w:sz="18" w:space="0" w:color="auto"/>
              <w:left w:val="single" w:sz="18" w:space="0" w:color="auto"/>
              <w:bottom w:val="single" w:sz="4" w:space="0" w:color="auto"/>
              <w:right w:val="single" w:sz="18" w:space="0" w:color="auto"/>
            </w:tcBorders>
            <w:shd w:val="clear" w:color="auto" w:fill="auto"/>
            <w:noWrap/>
          </w:tcPr>
          <w:p w:rsidR="000A41BF" w:rsidRPr="00D621BB" w:rsidRDefault="000A41BF" w:rsidP="00DF02AA">
            <w:pPr>
              <w:rPr>
                <w:rFonts w:ascii="Arial" w:hAnsi="Arial" w:cs="Arial"/>
                <w:color w:val="000000"/>
                <w:sz w:val="20"/>
                <w:szCs w:val="20"/>
                <w:lang w:eastAsia="en-AU"/>
              </w:rPr>
            </w:pPr>
          </w:p>
        </w:tc>
      </w:tr>
      <w:tr w:rsidR="000A41BF" w:rsidRPr="00D621BB" w:rsidTr="00DF02AA">
        <w:trPr>
          <w:cantSplit/>
          <w:trHeight w:val="300"/>
        </w:trPr>
        <w:tc>
          <w:tcPr>
            <w:tcW w:w="2425" w:type="dxa"/>
            <w:vMerge/>
            <w:tcBorders>
              <w:left w:val="single" w:sz="18" w:space="0" w:color="auto"/>
              <w:right w:val="single" w:sz="18" w:space="0" w:color="auto"/>
            </w:tcBorders>
          </w:tcPr>
          <w:p w:rsidR="000A41BF" w:rsidRPr="00D621BB" w:rsidRDefault="000A41BF" w:rsidP="00DF02AA">
            <w:pPr>
              <w:rPr>
                <w:rFonts w:ascii="Arial" w:hAnsi="Arial" w:cs="Arial"/>
                <w:color w:val="000000"/>
                <w:sz w:val="20"/>
                <w:szCs w:val="20"/>
                <w:lang w:eastAsia="en-AU"/>
              </w:rPr>
            </w:pPr>
          </w:p>
        </w:tc>
        <w:tc>
          <w:tcPr>
            <w:tcW w:w="2976" w:type="dxa"/>
            <w:tcBorders>
              <w:top w:val="single" w:sz="8" w:space="0" w:color="auto"/>
              <w:left w:val="single" w:sz="18" w:space="0" w:color="auto"/>
              <w:bottom w:val="single" w:sz="8" w:space="0" w:color="auto"/>
              <w:right w:val="single" w:sz="18" w:space="0" w:color="auto"/>
            </w:tcBorders>
            <w:shd w:val="clear" w:color="auto" w:fill="auto"/>
            <w:noWrap/>
          </w:tcPr>
          <w:p w:rsidR="000A41BF" w:rsidRPr="00D621BB" w:rsidRDefault="000A41BF" w:rsidP="00DF02AA">
            <w:pPr>
              <w:rPr>
                <w:rFonts w:ascii="Arial" w:eastAsia="Arial" w:hAnsi="Arial" w:cs="Arial"/>
                <w:color w:val="000000"/>
                <w:sz w:val="20"/>
                <w:szCs w:val="20"/>
                <w:lang w:eastAsia="en-AU"/>
              </w:rPr>
            </w:pPr>
            <w:r>
              <w:rPr>
                <w:rFonts w:ascii="Arial" w:eastAsia="Arial" w:hAnsi="Arial" w:cs="Arial"/>
                <w:color w:val="000000"/>
                <w:sz w:val="20"/>
                <w:szCs w:val="20"/>
                <w:lang w:eastAsia="en-AU"/>
              </w:rPr>
              <w:t>Baker Hughes</w:t>
            </w:r>
          </w:p>
        </w:tc>
        <w:tc>
          <w:tcPr>
            <w:tcW w:w="1560" w:type="dxa"/>
            <w:tcBorders>
              <w:top w:val="single" w:sz="8" w:space="0" w:color="auto"/>
              <w:left w:val="single" w:sz="18" w:space="0" w:color="auto"/>
              <w:bottom w:val="single" w:sz="8" w:space="0" w:color="auto"/>
              <w:right w:val="single" w:sz="18" w:space="0" w:color="auto"/>
            </w:tcBorders>
          </w:tcPr>
          <w:p w:rsidR="000A41BF" w:rsidRPr="00D621BB" w:rsidRDefault="000A41BF" w:rsidP="00DF02AA">
            <w:pPr>
              <w:rPr>
                <w:rFonts w:ascii="Arial" w:hAnsi="Arial" w:cs="Arial"/>
                <w:color w:val="000000"/>
                <w:sz w:val="20"/>
                <w:szCs w:val="20"/>
                <w:lang w:eastAsia="en-AU"/>
              </w:rPr>
            </w:pPr>
            <w:r>
              <w:rPr>
                <w:rFonts w:ascii="Arial" w:hAnsi="Arial" w:cs="Arial"/>
                <w:color w:val="000000"/>
                <w:sz w:val="20"/>
                <w:szCs w:val="20"/>
                <w:lang w:eastAsia="en-AU"/>
              </w:rPr>
              <w:t>Yes</w:t>
            </w:r>
          </w:p>
        </w:tc>
        <w:tc>
          <w:tcPr>
            <w:tcW w:w="1208" w:type="dxa"/>
            <w:tcBorders>
              <w:top w:val="single" w:sz="8" w:space="0" w:color="auto"/>
              <w:left w:val="single" w:sz="18" w:space="0" w:color="auto"/>
              <w:bottom w:val="single" w:sz="8" w:space="0" w:color="auto"/>
              <w:right w:val="single" w:sz="18" w:space="0" w:color="auto"/>
            </w:tcBorders>
          </w:tcPr>
          <w:p w:rsidR="000A41BF" w:rsidRPr="00D621BB" w:rsidRDefault="000A41BF" w:rsidP="00DF02AA">
            <w:pPr>
              <w:rPr>
                <w:rFonts w:ascii="Arial" w:hAnsi="Arial" w:cs="Arial"/>
                <w:color w:val="000000"/>
                <w:sz w:val="20"/>
                <w:szCs w:val="20"/>
                <w:lang w:eastAsia="en-AU"/>
              </w:rPr>
            </w:pPr>
            <w:r>
              <w:rPr>
                <w:rFonts w:ascii="Arial" w:hAnsi="Arial" w:cs="Arial"/>
                <w:color w:val="000000"/>
                <w:sz w:val="20"/>
                <w:szCs w:val="20"/>
                <w:lang w:eastAsia="en-AU"/>
              </w:rPr>
              <w:t>Yes</w:t>
            </w:r>
          </w:p>
        </w:tc>
        <w:tc>
          <w:tcPr>
            <w:tcW w:w="5671" w:type="dxa"/>
            <w:tcBorders>
              <w:top w:val="single" w:sz="8" w:space="0" w:color="auto"/>
              <w:left w:val="single" w:sz="18" w:space="0" w:color="auto"/>
              <w:bottom w:val="single" w:sz="8" w:space="0" w:color="auto"/>
              <w:right w:val="single" w:sz="18" w:space="0" w:color="auto"/>
            </w:tcBorders>
            <w:shd w:val="clear" w:color="auto" w:fill="auto"/>
            <w:noWrap/>
          </w:tcPr>
          <w:p w:rsidR="000A41BF" w:rsidRPr="00D621BB" w:rsidRDefault="000A41BF" w:rsidP="00DF02AA">
            <w:pPr>
              <w:rPr>
                <w:rFonts w:ascii="Arial" w:hAnsi="Arial" w:cs="Arial"/>
                <w:color w:val="000000"/>
                <w:sz w:val="20"/>
                <w:szCs w:val="20"/>
                <w:lang w:eastAsia="en-AU"/>
              </w:rPr>
            </w:pPr>
          </w:p>
        </w:tc>
      </w:tr>
      <w:tr w:rsidR="000A41BF" w:rsidRPr="00D621BB" w:rsidTr="00DF02AA">
        <w:trPr>
          <w:cantSplit/>
          <w:trHeight w:val="300"/>
        </w:trPr>
        <w:tc>
          <w:tcPr>
            <w:tcW w:w="2425" w:type="dxa"/>
            <w:vMerge/>
            <w:tcBorders>
              <w:left w:val="single" w:sz="18" w:space="0" w:color="auto"/>
              <w:right w:val="single" w:sz="18" w:space="0" w:color="auto"/>
            </w:tcBorders>
          </w:tcPr>
          <w:p w:rsidR="000A41BF" w:rsidRPr="00D621BB" w:rsidRDefault="000A41BF" w:rsidP="00DF02AA">
            <w:pPr>
              <w:rPr>
                <w:rFonts w:ascii="Arial" w:hAnsi="Arial" w:cs="Arial"/>
                <w:color w:val="000000"/>
                <w:sz w:val="20"/>
                <w:szCs w:val="20"/>
                <w:lang w:eastAsia="en-AU"/>
              </w:rPr>
            </w:pPr>
          </w:p>
        </w:tc>
        <w:tc>
          <w:tcPr>
            <w:tcW w:w="2976" w:type="dxa"/>
            <w:tcBorders>
              <w:top w:val="single" w:sz="8" w:space="0" w:color="auto"/>
              <w:left w:val="single" w:sz="18" w:space="0" w:color="auto"/>
              <w:bottom w:val="single" w:sz="4" w:space="0" w:color="auto"/>
              <w:right w:val="single" w:sz="18" w:space="0" w:color="auto"/>
            </w:tcBorders>
            <w:shd w:val="clear" w:color="auto" w:fill="auto"/>
            <w:noWrap/>
          </w:tcPr>
          <w:p w:rsidR="000A41BF" w:rsidRPr="00D621BB" w:rsidRDefault="000A41BF" w:rsidP="00DF02AA">
            <w:pPr>
              <w:rPr>
                <w:rFonts w:ascii="Arial" w:eastAsia="Arial" w:hAnsi="Arial" w:cs="Arial"/>
                <w:color w:val="000000"/>
                <w:sz w:val="20"/>
                <w:szCs w:val="20"/>
                <w:lang w:eastAsia="en-AU"/>
              </w:rPr>
            </w:pPr>
            <w:r w:rsidRPr="00D621BB">
              <w:rPr>
                <w:rFonts w:ascii="Arial" w:eastAsia="Arial" w:hAnsi="Arial" w:cs="Arial"/>
                <w:color w:val="000000"/>
                <w:sz w:val="20"/>
                <w:szCs w:val="20"/>
                <w:lang w:eastAsia="en-AU"/>
              </w:rPr>
              <w:t>Schlumberger</w:t>
            </w:r>
          </w:p>
        </w:tc>
        <w:tc>
          <w:tcPr>
            <w:tcW w:w="1560" w:type="dxa"/>
            <w:tcBorders>
              <w:top w:val="single" w:sz="8" w:space="0" w:color="auto"/>
              <w:left w:val="single" w:sz="18" w:space="0" w:color="auto"/>
              <w:bottom w:val="single" w:sz="4" w:space="0" w:color="auto"/>
              <w:right w:val="single" w:sz="18" w:space="0" w:color="auto"/>
            </w:tcBorders>
          </w:tcPr>
          <w:p w:rsidR="000A41BF" w:rsidRPr="00D621BB" w:rsidRDefault="000A41BF" w:rsidP="00DF02AA">
            <w:pPr>
              <w:rPr>
                <w:rFonts w:ascii="Arial" w:hAnsi="Arial" w:cs="Arial"/>
                <w:color w:val="000000"/>
                <w:sz w:val="20"/>
                <w:szCs w:val="20"/>
                <w:lang w:eastAsia="en-AU"/>
              </w:rPr>
            </w:pPr>
            <w:r>
              <w:rPr>
                <w:rFonts w:ascii="Arial" w:hAnsi="Arial" w:cs="Arial"/>
                <w:color w:val="000000"/>
                <w:sz w:val="20"/>
                <w:szCs w:val="20"/>
                <w:lang w:eastAsia="en-AU"/>
              </w:rPr>
              <w:t>Yes</w:t>
            </w:r>
          </w:p>
        </w:tc>
        <w:tc>
          <w:tcPr>
            <w:tcW w:w="1208" w:type="dxa"/>
            <w:tcBorders>
              <w:top w:val="single" w:sz="8" w:space="0" w:color="auto"/>
              <w:left w:val="single" w:sz="18" w:space="0" w:color="auto"/>
              <w:bottom w:val="single" w:sz="4" w:space="0" w:color="auto"/>
              <w:right w:val="single" w:sz="18" w:space="0" w:color="auto"/>
            </w:tcBorders>
          </w:tcPr>
          <w:p w:rsidR="000A41BF" w:rsidRPr="00D621BB" w:rsidRDefault="000A41BF" w:rsidP="00DF02AA">
            <w:pPr>
              <w:rPr>
                <w:rFonts w:ascii="Arial" w:hAnsi="Arial" w:cs="Arial"/>
                <w:color w:val="000000"/>
                <w:sz w:val="20"/>
                <w:szCs w:val="20"/>
                <w:lang w:eastAsia="en-AU"/>
              </w:rPr>
            </w:pPr>
            <w:r>
              <w:rPr>
                <w:rFonts w:ascii="Arial" w:hAnsi="Arial" w:cs="Arial"/>
                <w:color w:val="000000"/>
                <w:sz w:val="20"/>
                <w:szCs w:val="20"/>
                <w:lang w:eastAsia="en-AU"/>
              </w:rPr>
              <w:t>Yes</w:t>
            </w:r>
          </w:p>
        </w:tc>
        <w:tc>
          <w:tcPr>
            <w:tcW w:w="5671" w:type="dxa"/>
            <w:tcBorders>
              <w:top w:val="single" w:sz="8" w:space="0" w:color="auto"/>
              <w:left w:val="single" w:sz="18" w:space="0" w:color="auto"/>
              <w:bottom w:val="single" w:sz="4" w:space="0" w:color="auto"/>
              <w:right w:val="single" w:sz="18" w:space="0" w:color="auto"/>
            </w:tcBorders>
            <w:shd w:val="clear" w:color="auto" w:fill="auto"/>
            <w:noWrap/>
          </w:tcPr>
          <w:p w:rsidR="000A41BF" w:rsidRPr="00D621BB" w:rsidRDefault="000A41BF" w:rsidP="00DF02AA">
            <w:pPr>
              <w:rPr>
                <w:rFonts w:ascii="Arial" w:hAnsi="Arial" w:cs="Arial"/>
                <w:color w:val="000000"/>
                <w:sz w:val="20"/>
                <w:szCs w:val="20"/>
                <w:lang w:eastAsia="en-AU"/>
              </w:rPr>
            </w:pPr>
          </w:p>
        </w:tc>
      </w:tr>
      <w:tr w:rsidR="000A41BF" w:rsidRPr="00D621BB" w:rsidTr="00DF02AA">
        <w:trPr>
          <w:cantSplit/>
          <w:trHeight w:val="300"/>
        </w:trPr>
        <w:tc>
          <w:tcPr>
            <w:tcW w:w="2425" w:type="dxa"/>
            <w:vMerge/>
            <w:tcBorders>
              <w:left w:val="single" w:sz="18" w:space="0" w:color="auto"/>
              <w:right w:val="single" w:sz="18" w:space="0" w:color="auto"/>
            </w:tcBorders>
            <w:vAlign w:val="center"/>
          </w:tcPr>
          <w:p w:rsidR="000A41BF" w:rsidRPr="00D621BB" w:rsidRDefault="000A41BF" w:rsidP="00DF02AA">
            <w:pPr>
              <w:rPr>
                <w:rFonts w:ascii="Arial" w:hAnsi="Arial" w:cs="Arial"/>
                <w:color w:val="000000"/>
                <w:sz w:val="20"/>
                <w:szCs w:val="20"/>
                <w:lang w:eastAsia="en-AU"/>
              </w:rPr>
            </w:pPr>
          </w:p>
        </w:tc>
        <w:tc>
          <w:tcPr>
            <w:tcW w:w="2976" w:type="dxa"/>
            <w:tcBorders>
              <w:top w:val="single" w:sz="4" w:space="0" w:color="auto"/>
              <w:left w:val="single" w:sz="18" w:space="0" w:color="auto"/>
              <w:bottom w:val="single" w:sz="4" w:space="0" w:color="auto"/>
              <w:right w:val="single" w:sz="18" w:space="0" w:color="auto"/>
            </w:tcBorders>
            <w:shd w:val="clear" w:color="auto" w:fill="auto"/>
            <w:noWrap/>
          </w:tcPr>
          <w:p w:rsidR="000A41BF" w:rsidRPr="00D621BB" w:rsidRDefault="000A41BF" w:rsidP="00DF02AA">
            <w:pPr>
              <w:rPr>
                <w:rFonts w:ascii="Arial" w:eastAsia="Arial" w:hAnsi="Arial" w:cs="Arial"/>
                <w:color w:val="000000"/>
                <w:sz w:val="20"/>
                <w:szCs w:val="20"/>
                <w:lang w:eastAsia="en-AU"/>
              </w:rPr>
            </w:pPr>
            <w:r w:rsidRPr="00D621BB">
              <w:rPr>
                <w:rFonts w:ascii="Arial" w:eastAsia="Arial" w:hAnsi="Arial" w:cs="Arial"/>
                <w:color w:val="000000"/>
                <w:sz w:val="20"/>
                <w:szCs w:val="20"/>
                <w:lang w:eastAsia="en-AU"/>
              </w:rPr>
              <w:t>Superior Energy Services</w:t>
            </w:r>
          </w:p>
        </w:tc>
        <w:tc>
          <w:tcPr>
            <w:tcW w:w="1560" w:type="dxa"/>
            <w:tcBorders>
              <w:top w:val="single" w:sz="4" w:space="0" w:color="auto"/>
              <w:left w:val="single" w:sz="18" w:space="0" w:color="auto"/>
              <w:bottom w:val="single" w:sz="4" w:space="0" w:color="auto"/>
              <w:right w:val="single" w:sz="18" w:space="0" w:color="auto"/>
            </w:tcBorders>
          </w:tcPr>
          <w:p w:rsidR="000A41BF" w:rsidRPr="00D621BB" w:rsidRDefault="000A41BF" w:rsidP="00DF02AA">
            <w:pPr>
              <w:rPr>
                <w:rFonts w:ascii="Arial" w:hAnsi="Arial" w:cs="Arial"/>
                <w:color w:val="000000"/>
                <w:sz w:val="20"/>
                <w:szCs w:val="20"/>
                <w:lang w:eastAsia="en-AU"/>
              </w:rPr>
            </w:pPr>
            <w:r>
              <w:rPr>
                <w:rFonts w:ascii="Arial" w:hAnsi="Arial" w:cs="Arial"/>
                <w:color w:val="000000"/>
                <w:sz w:val="20"/>
                <w:szCs w:val="20"/>
                <w:lang w:eastAsia="en-AU"/>
              </w:rPr>
              <w:t>Yes</w:t>
            </w:r>
          </w:p>
        </w:tc>
        <w:tc>
          <w:tcPr>
            <w:tcW w:w="1208" w:type="dxa"/>
            <w:tcBorders>
              <w:top w:val="single" w:sz="4" w:space="0" w:color="auto"/>
              <w:left w:val="single" w:sz="18" w:space="0" w:color="auto"/>
              <w:bottom w:val="single" w:sz="4" w:space="0" w:color="auto"/>
              <w:right w:val="single" w:sz="18" w:space="0" w:color="auto"/>
            </w:tcBorders>
          </w:tcPr>
          <w:p w:rsidR="000A41BF" w:rsidRPr="00D621BB" w:rsidRDefault="000A41BF" w:rsidP="00DF02AA">
            <w:pPr>
              <w:rPr>
                <w:rFonts w:ascii="Arial" w:hAnsi="Arial" w:cs="Arial"/>
                <w:color w:val="000000"/>
                <w:sz w:val="20"/>
                <w:szCs w:val="20"/>
                <w:lang w:eastAsia="en-AU"/>
              </w:rPr>
            </w:pPr>
            <w:r>
              <w:rPr>
                <w:rFonts w:ascii="Arial" w:hAnsi="Arial" w:cs="Arial"/>
                <w:color w:val="000000"/>
                <w:sz w:val="20"/>
                <w:szCs w:val="20"/>
                <w:lang w:eastAsia="en-AU"/>
              </w:rPr>
              <w:t>Yes</w:t>
            </w:r>
          </w:p>
        </w:tc>
        <w:tc>
          <w:tcPr>
            <w:tcW w:w="5671" w:type="dxa"/>
            <w:tcBorders>
              <w:top w:val="single" w:sz="4" w:space="0" w:color="auto"/>
              <w:left w:val="single" w:sz="18" w:space="0" w:color="auto"/>
              <w:bottom w:val="single" w:sz="4" w:space="0" w:color="auto"/>
              <w:right w:val="single" w:sz="18" w:space="0" w:color="auto"/>
            </w:tcBorders>
            <w:shd w:val="clear" w:color="auto" w:fill="auto"/>
            <w:noWrap/>
          </w:tcPr>
          <w:p w:rsidR="000A41BF" w:rsidRPr="00D621BB" w:rsidRDefault="000A41BF" w:rsidP="00DF02AA">
            <w:pPr>
              <w:rPr>
                <w:rFonts w:ascii="Arial" w:hAnsi="Arial" w:cs="Arial"/>
                <w:color w:val="000000"/>
                <w:sz w:val="20"/>
                <w:szCs w:val="20"/>
                <w:lang w:eastAsia="en-AU"/>
              </w:rPr>
            </w:pPr>
          </w:p>
        </w:tc>
      </w:tr>
      <w:tr w:rsidR="000A41BF" w:rsidRPr="00D621BB" w:rsidTr="00DF02AA">
        <w:trPr>
          <w:cantSplit/>
          <w:trHeight w:val="300"/>
        </w:trPr>
        <w:tc>
          <w:tcPr>
            <w:tcW w:w="2425" w:type="dxa"/>
            <w:vMerge/>
            <w:tcBorders>
              <w:left w:val="single" w:sz="18" w:space="0" w:color="auto"/>
              <w:right w:val="single" w:sz="18" w:space="0" w:color="auto"/>
            </w:tcBorders>
            <w:vAlign w:val="center"/>
          </w:tcPr>
          <w:p w:rsidR="000A41BF" w:rsidRPr="00D621BB" w:rsidRDefault="000A41BF" w:rsidP="00DF02AA">
            <w:pPr>
              <w:rPr>
                <w:rFonts w:ascii="Arial" w:hAnsi="Arial" w:cs="Arial"/>
                <w:color w:val="000000"/>
                <w:sz w:val="20"/>
                <w:szCs w:val="20"/>
                <w:lang w:eastAsia="en-AU"/>
              </w:rPr>
            </w:pPr>
          </w:p>
        </w:tc>
        <w:tc>
          <w:tcPr>
            <w:tcW w:w="2976" w:type="dxa"/>
            <w:tcBorders>
              <w:top w:val="single" w:sz="4" w:space="0" w:color="auto"/>
              <w:left w:val="single" w:sz="18" w:space="0" w:color="auto"/>
              <w:bottom w:val="single" w:sz="4" w:space="0" w:color="auto"/>
              <w:right w:val="single" w:sz="18" w:space="0" w:color="auto"/>
            </w:tcBorders>
            <w:shd w:val="clear" w:color="auto" w:fill="auto"/>
            <w:noWrap/>
          </w:tcPr>
          <w:p w:rsidR="000A41BF" w:rsidRPr="00D621BB" w:rsidRDefault="000A41BF" w:rsidP="00DF02AA">
            <w:pPr>
              <w:rPr>
                <w:rFonts w:ascii="Arial" w:eastAsia="Arial" w:hAnsi="Arial" w:cs="Arial"/>
                <w:color w:val="000000"/>
                <w:sz w:val="20"/>
                <w:szCs w:val="20"/>
                <w:lang w:eastAsia="en-AU"/>
              </w:rPr>
            </w:pPr>
            <w:proofErr w:type="spellStart"/>
            <w:r w:rsidRPr="00D621BB">
              <w:rPr>
                <w:rFonts w:ascii="Arial" w:eastAsia="Arial" w:hAnsi="Arial" w:cs="Arial"/>
                <w:color w:val="000000"/>
                <w:sz w:val="20"/>
                <w:szCs w:val="20"/>
                <w:lang w:eastAsia="en-AU"/>
              </w:rPr>
              <w:t>OzCoil</w:t>
            </w:r>
            <w:proofErr w:type="spellEnd"/>
          </w:p>
        </w:tc>
        <w:tc>
          <w:tcPr>
            <w:tcW w:w="1560" w:type="dxa"/>
            <w:tcBorders>
              <w:top w:val="single" w:sz="4" w:space="0" w:color="auto"/>
              <w:left w:val="single" w:sz="18" w:space="0" w:color="auto"/>
              <w:bottom w:val="single" w:sz="4" w:space="0" w:color="auto"/>
              <w:right w:val="single" w:sz="18" w:space="0" w:color="auto"/>
            </w:tcBorders>
          </w:tcPr>
          <w:p w:rsidR="000A41BF" w:rsidRPr="00D621BB" w:rsidRDefault="000A41BF" w:rsidP="00DF02AA">
            <w:pPr>
              <w:rPr>
                <w:rFonts w:ascii="Arial" w:hAnsi="Arial" w:cs="Arial"/>
                <w:color w:val="000000"/>
                <w:sz w:val="20"/>
                <w:szCs w:val="20"/>
                <w:lang w:eastAsia="en-AU"/>
              </w:rPr>
            </w:pPr>
            <w:r>
              <w:rPr>
                <w:rFonts w:ascii="Arial" w:hAnsi="Arial" w:cs="Arial"/>
                <w:color w:val="000000"/>
                <w:sz w:val="20"/>
                <w:szCs w:val="20"/>
                <w:lang w:eastAsia="en-AU"/>
              </w:rPr>
              <w:t>Yes</w:t>
            </w:r>
          </w:p>
        </w:tc>
        <w:tc>
          <w:tcPr>
            <w:tcW w:w="1208" w:type="dxa"/>
            <w:tcBorders>
              <w:top w:val="single" w:sz="4" w:space="0" w:color="auto"/>
              <w:left w:val="single" w:sz="18" w:space="0" w:color="auto"/>
              <w:bottom w:val="single" w:sz="4" w:space="0" w:color="auto"/>
              <w:right w:val="single" w:sz="18" w:space="0" w:color="auto"/>
            </w:tcBorders>
          </w:tcPr>
          <w:p w:rsidR="000A41BF" w:rsidRPr="00D621BB" w:rsidRDefault="000A41BF" w:rsidP="00DF02AA">
            <w:pPr>
              <w:rPr>
                <w:rFonts w:ascii="Arial" w:hAnsi="Arial" w:cs="Arial"/>
                <w:color w:val="000000"/>
                <w:sz w:val="20"/>
                <w:szCs w:val="20"/>
                <w:lang w:eastAsia="en-AU"/>
              </w:rPr>
            </w:pPr>
            <w:r>
              <w:rPr>
                <w:rFonts w:ascii="Arial" w:hAnsi="Arial" w:cs="Arial"/>
                <w:color w:val="000000"/>
                <w:sz w:val="20"/>
                <w:szCs w:val="20"/>
                <w:lang w:eastAsia="en-AU"/>
              </w:rPr>
              <w:t>No</w:t>
            </w:r>
          </w:p>
        </w:tc>
        <w:tc>
          <w:tcPr>
            <w:tcW w:w="5671" w:type="dxa"/>
            <w:tcBorders>
              <w:top w:val="single" w:sz="4" w:space="0" w:color="auto"/>
              <w:left w:val="single" w:sz="18" w:space="0" w:color="auto"/>
              <w:bottom w:val="single" w:sz="4" w:space="0" w:color="auto"/>
              <w:right w:val="single" w:sz="18" w:space="0" w:color="auto"/>
            </w:tcBorders>
            <w:shd w:val="clear" w:color="auto" w:fill="auto"/>
            <w:noWrap/>
          </w:tcPr>
          <w:p w:rsidR="000A41BF" w:rsidRPr="00D621BB" w:rsidRDefault="000A41BF" w:rsidP="00DF02AA">
            <w:pPr>
              <w:rPr>
                <w:rFonts w:ascii="Arial" w:hAnsi="Arial" w:cs="Arial"/>
                <w:color w:val="000000"/>
                <w:sz w:val="20"/>
                <w:szCs w:val="20"/>
                <w:lang w:eastAsia="en-AU"/>
              </w:rPr>
            </w:pPr>
          </w:p>
        </w:tc>
      </w:tr>
      <w:tr w:rsidR="000A41BF" w:rsidRPr="00D621BB" w:rsidTr="00DF02AA">
        <w:trPr>
          <w:cantSplit/>
          <w:trHeight w:val="300"/>
        </w:trPr>
        <w:tc>
          <w:tcPr>
            <w:tcW w:w="2425" w:type="dxa"/>
            <w:vMerge/>
            <w:tcBorders>
              <w:left w:val="single" w:sz="18" w:space="0" w:color="auto"/>
              <w:right w:val="single" w:sz="18" w:space="0" w:color="auto"/>
            </w:tcBorders>
            <w:vAlign w:val="center"/>
          </w:tcPr>
          <w:p w:rsidR="000A41BF" w:rsidRPr="00D621BB" w:rsidRDefault="000A41BF" w:rsidP="00DF02AA">
            <w:pPr>
              <w:rPr>
                <w:rFonts w:ascii="Arial" w:hAnsi="Arial" w:cs="Arial"/>
                <w:color w:val="000000"/>
                <w:sz w:val="20"/>
                <w:szCs w:val="20"/>
                <w:lang w:eastAsia="en-AU"/>
              </w:rPr>
            </w:pPr>
          </w:p>
        </w:tc>
        <w:tc>
          <w:tcPr>
            <w:tcW w:w="2976" w:type="dxa"/>
            <w:tcBorders>
              <w:top w:val="single" w:sz="4" w:space="0" w:color="auto"/>
              <w:left w:val="single" w:sz="18" w:space="0" w:color="auto"/>
              <w:bottom w:val="single" w:sz="4" w:space="0" w:color="auto"/>
              <w:right w:val="single" w:sz="18" w:space="0" w:color="auto"/>
            </w:tcBorders>
            <w:shd w:val="clear" w:color="auto" w:fill="auto"/>
            <w:noWrap/>
          </w:tcPr>
          <w:p w:rsidR="000A41BF" w:rsidRPr="00D621BB" w:rsidRDefault="000A41BF" w:rsidP="00DF02AA">
            <w:pPr>
              <w:rPr>
                <w:rFonts w:ascii="Arial" w:eastAsia="Arial" w:hAnsi="Arial" w:cs="Arial"/>
                <w:color w:val="000000"/>
                <w:sz w:val="20"/>
                <w:szCs w:val="20"/>
                <w:lang w:eastAsia="en-AU"/>
              </w:rPr>
            </w:pPr>
            <w:proofErr w:type="spellStart"/>
            <w:r>
              <w:rPr>
                <w:rFonts w:ascii="Arial" w:eastAsia="Arial" w:hAnsi="Arial" w:cs="Arial"/>
                <w:color w:val="000000"/>
                <w:sz w:val="20"/>
                <w:szCs w:val="20"/>
                <w:lang w:eastAsia="en-AU"/>
              </w:rPr>
              <w:t>Savanna</w:t>
            </w:r>
            <w:proofErr w:type="spellEnd"/>
            <w:r>
              <w:rPr>
                <w:rFonts w:ascii="Arial" w:eastAsia="Arial" w:hAnsi="Arial" w:cs="Arial"/>
                <w:color w:val="000000"/>
                <w:sz w:val="20"/>
                <w:szCs w:val="20"/>
                <w:lang w:eastAsia="en-AU"/>
              </w:rPr>
              <w:t xml:space="preserve"> Energy Services</w:t>
            </w:r>
          </w:p>
        </w:tc>
        <w:tc>
          <w:tcPr>
            <w:tcW w:w="1560" w:type="dxa"/>
            <w:tcBorders>
              <w:top w:val="single" w:sz="4" w:space="0" w:color="auto"/>
              <w:left w:val="single" w:sz="18" w:space="0" w:color="auto"/>
              <w:bottom w:val="single" w:sz="4" w:space="0" w:color="auto"/>
              <w:right w:val="single" w:sz="18" w:space="0" w:color="auto"/>
            </w:tcBorders>
          </w:tcPr>
          <w:p w:rsidR="000A41BF" w:rsidRPr="00D621BB" w:rsidRDefault="000A41BF" w:rsidP="00DF02AA">
            <w:pPr>
              <w:rPr>
                <w:rFonts w:ascii="Arial" w:hAnsi="Arial" w:cs="Arial"/>
                <w:color w:val="000000"/>
                <w:sz w:val="20"/>
                <w:szCs w:val="20"/>
                <w:lang w:eastAsia="en-AU"/>
              </w:rPr>
            </w:pPr>
            <w:r>
              <w:rPr>
                <w:rFonts w:ascii="Arial" w:hAnsi="Arial" w:cs="Arial"/>
                <w:color w:val="000000"/>
                <w:sz w:val="20"/>
                <w:szCs w:val="20"/>
                <w:lang w:eastAsia="en-AU"/>
              </w:rPr>
              <w:t>Yes</w:t>
            </w:r>
          </w:p>
        </w:tc>
        <w:tc>
          <w:tcPr>
            <w:tcW w:w="1208" w:type="dxa"/>
            <w:tcBorders>
              <w:top w:val="single" w:sz="4" w:space="0" w:color="auto"/>
              <w:left w:val="single" w:sz="18" w:space="0" w:color="auto"/>
              <w:bottom w:val="single" w:sz="4" w:space="0" w:color="auto"/>
              <w:right w:val="single" w:sz="18" w:space="0" w:color="auto"/>
            </w:tcBorders>
          </w:tcPr>
          <w:p w:rsidR="000A41BF" w:rsidRPr="00D621BB" w:rsidRDefault="000A41BF" w:rsidP="00DF02AA">
            <w:pPr>
              <w:rPr>
                <w:rFonts w:ascii="Arial" w:hAnsi="Arial" w:cs="Arial"/>
                <w:color w:val="000000"/>
                <w:sz w:val="20"/>
                <w:szCs w:val="20"/>
                <w:lang w:eastAsia="en-AU"/>
              </w:rPr>
            </w:pPr>
            <w:r>
              <w:rPr>
                <w:rFonts w:ascii="Arial" w:hAnsi="Arial" w:cs="Arial"/>
                <w:color w:val="000000"/>
                <w:sz w:val="20"/>
                <w:szCs w:val="20"/>
                <w:lang w:eastAsia="en-AU"/>
              </w:rPr>
              <w:t>No</w:t>
            </w:r>
          </w:p>
        </w:tc>
        <w:tc>
          <w:tcPr>
            <w:tcW w:w="5671" w:type="dxa"/>
            <w:tcBorders>
              <w:top w:val="single" w:sz="4" w:space="0" w:color="auto"/>
              <w:left w:val="single" w:sz="18" w:space="0" w:color="auto"/>
              <w:bottom w:val="single" w:sz="4" w:space="0" w:color="auto"/>
              <w:right w:val="single" w:sz="18" w:space="0" w:color="auto"/>
            </w:tcBorders>
            <w:shd w:val="clear" w:color="auto" w:fill="auto"/>
            <w:noWrap/>
          </w:tcPr>
          <w:p w:rsidR="000A41BF" w:rsidRPr="00D621BB" w:rsidRDefault="000A41BF" w:rsidP="00DF02AA">
            <w:pPr>
              <w:rPr>
                <w:rFonts w:ascii="Arial" w:hAnsi="Arial" w:cs="Arial"/>
                <w:color w:val="000000"/>
                <w:sz w:val="20"/>
                <w:szCs w:val="20"/>
                <w:lang w:eastAsia="en-AU"/>
              </w:rPr>
            </w:pPr>
          </w:p>
        </w:tc>
      </w:tr>
      <w:tr w:rsidR="000A41BF" w:rsidRPr="00D621BB" w:rsidTr="00DF02AA">
        <w:trPr>
          <w:cantSplit/>
          <w:trHeight w:val="300"/>
        </w:trPr>
        <w:tc>
          <w:tcPr>
            <w:tcW w:w="2425" w:type="dxa"/>
            <w:vMerge/>
            <w:tcBorders>
              <w:left w:val="single" w:sz="18" w:space="0" w:color="auto"/>
              <w:right w:val="single" w:sz="18" w:space="0" w:color="auto"/>
            </w:tcBorders>
            <w:vAlign w:val="center"/>
          </w:tcPr>
          <w:p w:rsidR="000A41BF" w:rsidRPr="00D621BB" w:rsidRDefault="000A41BF" w:rsidP="00DF02AA">
            <w:pPr>
              <w:rPr>
                <w:rFonts w:ascii="Arial" w:hAnsi="Arial" w:cs="Arial"/>
                <w:color w:val="000000"/>
                <w:sz w:val="20"/>
                <w:szCs w:val="20"/>
                <w:lang w:eastAsia="en-AU"/>
              </w:rPr>
            </w:pPr>
          </w:p>
        </w:tc>
        <w:tc>
          <w:tcPr>
            <w:tcW w:w="2976" w:type="dxa"/>
            <w:tcBorders>
              <w:top w:val="single" w:sz="4" w:space="0" w:color="auto"/>
              <w:left w:val="single" w:sz="18" w:space="0" w:color="auto"/>
              <w:bottom w:val="single" w:sz="4" w:space="0" w:color="auto"/>
              <w:right w:val="single" w:sz="18" w:space="0" w:color="auto"/>
            </w:tcBorders>
            <w:shd w:val="clear" w:color="auto" w:fill="auto"/>
            <w:noWrap/>
          </w:tcPr>
          <w:p w:rsidR="000A41BF" w:rsidRPr="00D621BB" w:rsidRDefault="000A41BF" w:rsidP="00DF02AA">
            <w:pPr>
              <w:rPr>
                <w:rFonts w:ascii="Arial" w:eastAsia="Arial" w:hAnsi="Arial" w:cs="Arial"/>
                <w:color w:val="000000"/>
                <w:sz w:val="20"/>
                <w:szCs w:val="20"/>
                <w:lang w:eastAsia="en-AU"/>
              </w:rPr>
            </w:pPr>
            <w:r>
              <w:rPr>
                <w:rFonts w:ascii="Arial" w:eastAsia="Arial" w:hAnsi="Arial" w:cs="Arial"/>
                <w:color w:val="000000"/>
                <w:sz w:val="20"/>
                <w:szCs w:val="20"/>
                <w:lang w:eastAsia="en-AU"/>
              </w:rPr>
              <w:t>Condor Energy</w:t>
            </w:r>
          </w:p>
        </w:tc>
        <w:tc>
          <w:tcPr>
            <w:tcW w:w="1560" w:type="dxa"/>
            <w:tcBorders>
              <w:top w:val="single" w:sz="4" w:space="0" w:color="auto"/>
              <w:left w:val="single" w:sz="18" w:space="0" w:color="auto"/>
              <w:bottom w:val="single" w:sz="4" w:space="0" w:color="auto"/>
              <w:right w:val="single" w:sz="18" w:space="0" w:color="auto"/>
            </w:tcBorders>
          </w:tcPr>
          <w:p w:rsidR="000A41BF" w:rsidRPr="00D621BB" w:rsidRDefault="000A41BF" w:rsidP="00DF02AA">
            <w:pPr>
              <w:rPr>
                <w:rFonts w:ascii="Arial" w:hAnsi="Arial" w:cs="Arial"/>
                <w:color w:val="000000"/>
                <w:sz w:val="20"/>
                <w:szCs w:val="20"/>
                <w:lang w:eastAsia="en-AU"/>
              </w:rPr>
            </w:pPr>
            <w:r>
              <w:rPr>
                <w:rFonts w:ascii="Arial" w:hAnsi="Arial" w:cs="Arial"/>
                <w:color w:val="000000"/>
                <w:sz w:val="20"/>
                <w:szCs w:val="20"/>
                <w:lang w:eastAsia="en-AU"/>
              </w:rPr>
              <w:t>Yes</w:t>
            </w:r>
          </w:p>
        </w:tc>
        <w:tc>
          <w:tcPr>
            <w:tcW w:w="1208" w:type="dxa"/>
            <w:tcBorders>
              <w:top w:val="single" w:sz="4" w:space="0" w:color="auto"/>
              <w:left w:val="single" w:sz="18" w:space="0" w:color="auto"/>
              <w:bottom w:val="single" w:sz="4" w:space="0" w:color="auto"/>
              <w:right w:val="single" w:sz="18" w:space="0" w:color="auto"/>
            </w:tcBorders>
          </w:tcPr>
          <w:p w:rsidR="000A41BF" w:rsidRPr="00D621BB" w:rsidRDefault="000A41BF" w:rsidP="00DF02AA">
            <w:pPr>
              <w:rPr>
                <w:rFonts w:ascii="Arial" w:hAnsi="Arial" w:cs="Arial"/>
                <w:color w:val="000000"/>
                <w:sz w:val="20"/>
                <w:szCs w:val="20"/>
                <w:lang w:eastAsia="en-AU"/>
              </w:rPr>
            </w:pPr>
            <w:r>
              <w:rPr>
                <w:rFonts w:ascii="Arial" w:hAnsi="Arial" w:cs="Arial"/>
                <w:color w:val="000000"/>
                <w:sz w:val="20"/>
                <w:szCs w:val="20"/>
                <w:lang w:eastAsia="en-AU"/>
              </w:rPr>
              <w:t>No</w:t>
            </w:r>
          </w:p>
        </w:tc>
        <w:tc>
          <w:tcPr>
            <w:tcW w:w="5671" w:type="dxa"/>
            <w:tcBorders>
              <w:top w:val="single" w:sz="4" w:space="0" w:color="auto"/>
              <w:left w:val="single" w:sz="18" w:space="0" w:color="auto"/>
              <w:bottom w:val="single" w:sz="4" w:space="0" w:color="auto"/>
              <w:right w:val="single" w:sz="18" w:space="0" w:color="auto"/>
            </w:tcBorders>
            <w:shd w:val="clear" w:color="auto" w:fill="auto"/>
            <w:noWrap/>
          </w:tcPr>
          <w:p w:rsidR="000A41BF" w:rsidRPr="00D621BB" w:rsidRDefault="000A41BF" w:rsidP="00DF02AA">
            <w:pPr>
              <w:rPr>
                <w:rFonts w:ascii="Arial" w:hAnsi="Arial" w:cs="Arial"/>
                <w:color w:val="000000"/>
                <w:sz w:val="20"/>
                <w:szCs w:val="20"/>
                <w:lang w:eastAsia="en-AU"/>
              </w:rPr>
            </w:pPr>
          </w:p>
        </w:tc>
      </w:tr>
      <w:tr w:rsidR="000A41BF" w:rsidRPr="00D621BB" w:rsidTr="00DF02AA">
        <w:trPr>
          <w:cantSplit/>
          <w:trHeight w:val="350"/>
        </w:trPr>
        <w:tc>
          <w:tcPr>
            <w:tcW w:w="2425" w:type="dxa"/>
            <w:vMerge/>
            <w:tcBorders>
              <w:left w:val="single" w:sz="18" w:space="0" w:color="auto"/>
              <w:right w:val="single" w:sz="18" w:space="0" w:color="auto"/>
            </w:tcBorders>
            <w:vAlign w:val="center"/>
          </w:tcPr>
          <w:p w:rsidR="000A41BF" w:rsidRPr="00D621BB" w:rsidRDefault="000A41BF" w:rsidP="00DF02AA">
            <w:pPr>
              <w:rPr>
                <w:rFonts w:ascii="Arial" w:hAnsi="Arial" w:cs="Arial"/>
                <w:color w:val="000000"/>
                <w:sz w:val="20"/>
                <w:szCs w:val="20"/>
                <w:lang w:eastAsia="en-AU"/>
              </w:rPr>
            </w:pPr>
          </w:p>
        </w:tc>
        <w:tc>
          <w:tcPr>
            <w:tcW w:w="2976" w:type="dxa"/>
            <w:tcBorders>
              <w:top w:val="single" w:sz="4" w:space="0" w:color="auto"/>
              <w:left w:val="single" w:sz="18" w:space="0" w:color="auto"/>
              <w:bottom w:val="single" w:sz="4" w:space="0" w:color="auto"/>
              <w:right w:val="single" w:sz="18" w:space="0" w:color="auto"/>
            </w:tcBorders>
            <w:shd w:val="clear" w:color="auto" w:fill="auto"/>
            <w:noWrap/>
          </w:tcPr>
          <w:p w:rsidR="000A41BF" w:rsidRPr="00D621BB" w:rsidRDefault="000A41BF" w:rsidP="00DF02AA">
            <w:pPr>
              <w:rPr>
                <w:rFonts w:ascii="Arial" w:eastAsia="Arial" w:hAnsi="Arial" w:cs="Arial"/>
                <w:color w:val="000000"/>
                <w:sz w:val="20"/>
                <w:szCs w:val="20"/>
                <w:lang w:eastAsia="en-AU"/>
              </w:rPr>
            </w:pPr>
            <w:r>
              <w:rPr>
                <w:rFonts w:ascii="Arial" w:eastAsia="Arial" w:hAnsi="Arial" w:cs="Arial"/>
                <w:color w:val="000000"/>
                <w:sz w:val="20"/>
                <w:szCs w:val="20"/>
                <w:lang w:eastAsia="en-AU"/>
              </w:rPr>
              <w:t>Drover Energy</w:t>
            </w:r>
          </w:p>
        </w:tc>
        <w:tc>
          <w:tcPr>
            <w:tcW w:w="1560" w:type="dxa"/>
            <w:tcBorders>
              <w:top w:val="single" w:sz="4" w:space="0" w:color="auto"/>
              <w:left w:val="single" w:sz="18" w:space="0" w:color="auto"/>
              <w:bottom w:val="single" w:sz="4" w:space="0" w:color="auto"/>
              <w:right w:val="single" w:sz="18" w:space="0" w:color="auto"/>
            </w:tcBorders>
          </w:tcPr>
          <w:p w:rsidR="000A41BF" w:rsidRPr="00D621BB" w:rsidRDefault="000A41BF" w:rsidP="00DF02AA">
            <w:pPr>
              <w:rPr>
                <w:rFonts w:ascii="Arial" w:hAnsi="Arial" w:cs="Arial"/>
                <w:color w:val="000000"/>
                <w:sz w:val="20"/>
                <w:szCs w:val="20"/>
                <w:lang w:eastAsia="en-AU"/>
              </w:rPr>
            </w:pPr>
            <w:r>
              <w:rPr>
                <w:rFonts w:ascii="Arial" w:hAnsi="Arial" w:cs="Arial"/>
                <w:color w:val="000000"/>
                <w:sz w:val="20"/>
                <w:szCs w:val="20"/>
                <w:lang w:eastAsia="en-AU"/>
              </w:rPr>
              <w:t>Yes</w:t>
            </w:r>
          </w:p>
        </w:tc>
        <w:tc>
          <w:tcPr>
            <w:tcW w:w="1208" w:type="dxa"/>
            <w:tcBorders>
              <w:top w:val="single" w:sz="4" w:space="0" w:color="auto"/>
              <w:left w:val="single" w:sz="18" w:space="0" w:color="auto"/>
              <w:bottom w:val="single" w:sz="4" w:space="0" w:color="auto"/>
              <w:right w:val="single" w:sz="18" w:space="0" w:color="auto"/>
            </w:tcBorders>
          </w:tcPr>
          <w:p w:rsidR="000A41BF" w:rsidRPr="00D621BB" w:rsidRDefault="000A41BF" w:rsidP="00DF02AA">
            <w:pPr>
              <w:rPr>
                <w:rFonts w:ascii="Arial" w:hAnsi="Arial" w:cs="Arial"/>
                <w:color w:val="000000"/>
                <w:sz w:val="20"/>
                <w:szCs w:val="20"/>
                <w:lang w:eastAsia="en-AU"/>
              </w:rPr>
            </w:pPr>
            <w:r>
              <w:rPr>
                <w:rFonts w:ascii="Arial" w:hAnsi="Arial" w:cs="Arial"/>
                <w:color w:val="000000"/>
                <w:sz w:val="20"/>
                <w:szCs w:val="20"/>
                <w:lang w:eastAsia="en-AU"/>
              </w:rPr>
              <w:t>No</w:t>
            </w:r>
          </w:p>
        </w:tc>
        <w:tc>
          <w:tcPr>
            <w:tcW w:w="5671" w:type="dxa"/>
            <w:tcBorders>
              <w:top w:val="single" w:sz="4" w:space="0" w:color="auto"/>
              <w:left w:val="single" w:sz="18" w:space="0" w:color="auto"/>
              <w:bottom w:val="single" w:sz="4" w:space="0" w:color="auto"/>
              <w:right w:val="single" w:sz="18" w:space="0" w:color="auto"/>
            </w:tcBorders>
            <w:shd w:val="clear" w:color="auto" w:fill="auto"/>
            <w:noWrap/>
          </w:tcPr>
          <w:p w:rsidR="000A41BF" w:rsidRPr="00D621BB" w:rsidRDefault="000A41BF" w:rsidP="00DF02AA">
            <w:pPr>
              <w:rPr>
                <w:rFonts w:ascii="Arial" w:hAnsi="Arial" w:cs="Arial"/>
                <w:color w:val="000000"/>
                <w:sz w:val="20"/>
                <w:szCs w:val="20"/>
                <w:lang w:eastAsia="en-AU"/>
              </w:rPr>
            </w:pPr>
          </w:p>
        </w:tc>
      </w:tr>
      <w:tr w:rsidR="000A41BF" w:rsidRPr="00D621BB" w:rsidTr="00DF02AA">
        <w:trPr>
          <w:cantSplit/>
          <w:trHeight w:val="300"/>
        </w:trPr>
        <w:tc>
          <w:tcPr>
            <w:tcW w:w="2425" w:type="dxa"/>
            <w:vMerge/>
            <w:tcBorders>
              <w:left w:val="single" w:sz="18" w:space="0" w:color="auto"/>
              <w:right w:val="single" w:sz="18" w:space="0" w:color="auto"/>
            </w:tcBorders>
            <w:vAlign w:val="center"/>
          </w:tcPr>
          <w:p w:rsidR="000A41BF" w:rsidRPr="00D621BB" w:rsidRDefault="000A41BF" w:rsidP="00DF02AA">
            <w:pPr>
              <w:rPr>
                <w:rFonts w:ascii="Arial" w:hAnsi="Arial" w:cs="Arial"/>
                <w:color w:val="000000"/>
                <w:sz w:val="20"/>
                <w:szCs w:val="20"/>
                <w:lang w:eastAsia="en-AU"/>
              </w:rPr>
            </w:pPr>
          </w:p>
        </w:tc>
        <w:tc>
          <w:tcPr>
            <w:tcW w:w="2976" w:type="dxa"/>
            <w:tcBorders>
              <w:top w:val="single" w:sz="4" w:space="0" w:color="auto"/>
              <w:left w:val="single" w:sz="18" w:space="0" w:color="auto"/>
              <w:bottom w:val="single" w:sz="4" w:space="0" w:color="auto"/>
              <w:right w:val="single" w:sz="18" w:space="0" w:color="auto"/>
            </w:tcBorders>
            <w:shd w:val="clear" w:color="auto" w:fill="auto"/>
            <w:noWrap/>
          </w:tcPr>
          <w:p w:rsidR="000A41BF" w:rsidRPr="00D621BB" w:rsidRDefault="000A41BF" w:rsidP="00DF02AA">
            <w:pPr>
              <w:rPr>
                <w:rFonts w:ascii="Arial" w:eastAsia="Arial" w:hAnsi="Arial" w:cs="Arial"/>
                <w:color w:val="000000"/>
                <w:sz w:val="20"/>
                <w:szCs w:val="20"/>
                <w:lang w:eastAsia="en-AU"/>
              </w:rPr>
            </w:pPr>
            <w:r>
              <w:rPr>
                <w:rFonts w:ascii="Arial" w:eastAsia="Arial" w:hAnsi="Arial" w:cs="Arial"/>
                <w:color w:val="000000"/>
                <w:sz w:val="20"/>
                <w:szCs w:val="20"/>
                <w:lang w:eastAsia="en-AU"/>
              </w:rPr>
              <w:t>Energy Drilling</w:t>
            </w:r>
          </w:p>
        </w:tc>
        <w:tc>
          <w:tcPr>
            <w:tcW w:w="1560" w:type="dxa"/>
            <w:tcBorders>
              <w:top w:val="single" w:sz="4" w:space="0" w:color="auto"/>
              <w:left w:val="single" w:sz="18" w:space="0" w:color="auto"/>
              <w:bottom w:val="single" w:sz="4" w:space="0" w:color="auto"/>
              <w:right w:val="single" w:sz="18" w:space="0" w:color="auto"/>
            </w:tcBorders>
          </w:tcPr>
          <w:p w:rsidR="000A41BF" w:rsidRPr="00D621BB" w:rsidRDefault="000A41BF" w:rsidP="00DF02AA">
            <w:pPr>
              <w:rPr>
                <w:rFonts w:ascii="Arial" w:hAnsi="Arial" w:cs="Arial"/>
                <w:color w:val="000000"/>
                <w:sz w:val="20"/>
                <w:szCs w:val="20"/>
                <w:lang w:eastAsia="en-AU"/>
              </w:rPr>
            </w:pPr>
            <w:r>
              <w:rPr>
                <w:rFonts w:ascii="Arial" w:hAnsi="Arial" w:cs="Arial"/>
                <w:color w:val="000000"/>
                <w:sz w:val="20"/>
                <w:szCs w:val="20"/>
                <w:lang w:eastAsia="en-AU"/>
              </w:rPr>
              <w:t>Yes</w:t>
            </w:r>
          </w:p>
        </w:tc>
        <w:tc>
          <w:tcPr>
            <w:tcW w:w="1208" w:type="dxa"/>
            <w:tcBorders>
              <w:top w:val="single" w:sz="4" w:space="0" w:color="auto"/>
              <w:left w:val="single" w:sz="18" w:space="0" w:color="auto"/>
              <w:bottom w:val="single" w:sz="4" w:space="0" w:color="auto"/>
              <w:right w:val="single" w:sz="18" w:space="0" w:color="auto"/>
            </w:tcBorders>
          </w:tcPr>
          <w:p w:rsidR="000A41BF" w:rsidRPr="00D621BB" w:rsidRDefault="000A41BF" w:rsidP="00DF02AA">
            <w:pPr>
              <w:rPr>
                <w:rFonts w:ascii="Arial" w:hAnsi="Arial" w:cs="Arial"/>
                <w:color w:val="000000"/>
                <w:sz w:val="20"/>
                <w:szCs w:val="20"/>
                <w:lang w:eastAsia="en-AU"/>
              </w:rPr>
            </w:pPr>
            <w:r>
              <w:rPr>
                <w:rFonts w:ascii="Arial" w:hAnsi="Arial" w:cs="Arial"/>
                <w:color w:val="000000"/>
                <w:sz w:val="20"/>
                <w:szCs w:val="20"/>
                <w:lang w:eastAsia="en-AU"/>
              </w:rPr>
              <w:t>No</w:t>
            </w:r>
          </w:p>
        </w:tc>
        <w:tc>
          <w:tcPr>
            <w:tcW w:w="5671" w:type="dxa"/>
            <w:tcBorders>
              <w:top w:val="single" w:sz="4" w:space="0" w:color="auto"/>
              <w:left w:val="single" w:sz="18" w:space="0" w:color="auto"/>
              <w:bottom w:val="single" w:sz="4" w:space="0" w:color="auto"/>
              <w:right w:val="single" w:sz="18" w:space="0" w:color="auto"/>
            </w:tcBorders>
            <w:shd w:val="clear" w:color="auto" w:fill="auto"/>
            <w:noWrap/>
          </w:tcPr>
          <w:p w:rsidR="000A41BF" w:rsidRPr="00D621BB" w:rsidRDefault="000A41BF" w:rsidP="00DF02AA">
            <w:pPr>
              <w:rPr>
                <w:rFonts w:ascii="Arial" w:hAnsi="Arial" w:cs="Arial"/>
                <w:color w:val="000000"/>
                <w:sz w:val="20"/>
                <w:szCs w:val="20"/>
                <w:lang w:eastAsia="en-AU"/>
              </w:rPr>
            </w:pPr>
          </w:p>
        </w:tc>
      </w:tr>
      <w:tr w:rsidR="000A41BF" w:rsidRPr="00D621BB" w:rsidTr="00DF02AA">
        <w:trPr>
          <w:cantSplit/>
          <w:trHeight w:val="300"/>
        </w:trPr>
        <w:tc>
          <w:tcPr>
            <w:tcW w:w="2425" w:type="dxa"/>
            <w:vMerge/>
            <w:tcBorders>
              <w:left w:val="single" w:sz="18" w:space="0" w:color="auto"/>
              <w:bottom w:val="single" w:sz="12" w:space="0" w:color="auto"/>
              <w:right w:val="single" w:sz="18" w:space="0" w:color="auto"/>
            </w:tcBorders>
            <w:vAlign w:val="center"/>
          </w:tcPr>
          <w:p w:rsidR="000A41BF" w:rsidRPr="00D621BB" w:rsidRDefault="000A41BF" w:rsidP="00DF02AA">
            <w:pPr>
              <w:rPr>
                <w:rFonts w:ascii="Arial" w:hAnsi="Arial" w:cs="Arial"/>
                <w:color w:val="000000"/>
                <w:sz w:val="20"/>
                <w:szCs w:val="20"/>
                <w:lang w:eastAsia="en-AU"/>
              </w:rPr>
            </w:pPr>
          </w:p>
        </w:tc>
        <w:tc>
          <w:tcPr>
            <w:tcW w:w="2976" w:type="dxa"/>
            <w:tcBorders>
              <w:top w:val="single" w:sz="4" w:space="0" w:color="auto"/>
              <w:left w:val="single" w:sz="18" w:space="0" w:color="auto"/>
              <w:bottom w:val="single" w:sz="12" w:space="0" w:color="auto"/>
              <w:right w:val="single" w:sz="18" w:space="0" w:color="auto"/>
            </w:tcBorders>
            <w:shd w:val="clear" w:color="auto" w:fill="auto"/>
            <w:noWrap/>
          </w:tcPr>
          <w:p w:rsidR="000A41BF" w:rsidRPr="00D621BB" w:rsidRDefault="000A41BF" w:rsidP="00DF02AA">
            <w:pPr>
              <w:rPr>
                <w:rFonts w:ascii="Arial" w:eastAsia="Arial" w:hAnsi="Arial" w:cs="Arial"/>
                <w:color w:val="000000"/>
                <w:sz w:val="20"/>
                <w:szCs w:val="20"/>
                <w:lang w:eastAsia="en-AU"/>
              </w:rPr>
            </w:pPr>
            <w:proofErr w:type="spellStart"/>
            <w:r>
              <w:rPr>
                <w:rFonts w:ascii="Arial" w:eastAsia="Arial" w:hAnsi="Arial" w:cs="Arial"/>
                <w:color w:val="000000"/>
                <w:sz w:val="20"/>
                <w:szCs w:val="20"/>
                <w:lang w:eastAsia="en-AU"/>
              </w:rPr>
              <w:t>Wellpro</w:t>
            </w:r>
            <w:proofErr w:type="spellEnd"/>
          </w:p>
        </w:tc>
        <w:tc>
          <w:tcPr>
            <w:tcW w:w="1560" w:type="dxa"/>
            <w:tcBorders>
              <w:top w:val="single" w:sz="4" w:space="0" w:color="auto"/>
              <w:left w:val="single" w:sz="18" w:space="0" w:color="auto"/>
              <w:bottom w:val="single" w:sz="12" w:space="0" w:color="auto"/>
              <w:right w:val="single" w:sz="18" w:space="0" w:color="auto"/>
            </w:tcBorders>
          </w:tcPr>
          <w:p w:rsidR="000A41BF" w:rsidRPr="00D621BB" w:rsidRDefault="000A41BF" w:rsidP="00DF02AA">
            <w:pPr>
              <w:rPr>
                <w:rFonts w:ascii="Arial" w:hAnsi="Arial" w:cs="Arial"/>
                <w:color w:val="000000"/>
                <w:sz w:val="20"/>
                <w:szCs w:val="20"/>
                <w:lang w:eastAsia="en-AU"/>
              </w:rPr>
            </w:pPr>
            <w:r>
              <w:rPr>
                <w:rFonts w:ascii="Arial" w:hAnsi="Arial" w:cs="Arial"/>
                <w:color w:val="000000"/>
                <w:sz w:val="20"/>
                <w:szCs w:val="20"/>
                <w:lang w:eastAsia="en-AU"/>
              </w:rPr>
              <w:t>Yes</w:t>
            </w:r>
          </w:p>
        </w:tc>
        <w:tc>
          <w:tcPr>
            <w:tcW w:w="1208" w:type="dxa"/>
            <w:tcBorders>
              <w:top w:val="single" w:sz="4" w:space="0" w:color="auto"/>
              <w:left w:val="single" w:sz="18" w:space="0" w:color="auto"/>
              <w:bottom w:val="single" w:sz="12" w:space="0" w:color="auto"/>
              <w:right w:val="single" w:sz="18" w:space="0" w:color="auto"/>
            </w:tcBorders>
          </w:tcPr>
          <w:p w:rsidR="000A41BF" w:rsidRPr="00D621BB" w:rsidRDefault="000A41BF" w:rsidP="00DF02AA">
            <w:pPr>
              <w:rPr>
                <w:rFonts w:ascii="Arial" w:hAnsi="Arial" w:cs="Arial"/>
                <w:color w:val="000000"/>
                <w:sz w:val="20"/>
                <w:szCs w:val="20"/>
                <w:lang w:eastAsia="en-AU"/>
              </w:rPr>
            </w:pPr>
            <w:r>
              <w:rPr>
                <w:rFonts w:ascii="Arial" w:hAnsi="Arial" w:cs="Arial"/>
                <w:color w:val="000000"/>
                <w:sz w:val="20"/>
                <w:szCs w:val="20"/>
                <w:lang w:eastAsia="en-AU"/>
              </w:rPr>
              <w:t>No</w:t>
            </w:r>
          </w:p>
        </w:tc>
        <w:tc>
          <w:tcPr>
            <w:tcW w:w="5671" w:type="dxa"/>
            <w:tcBorders>
              <w:top w:val="single" w:sz="4" w:space="0" w:color="auto"/>
              <w:left w:val="single" w:sz="18" w:space="0" w:color="auto"/>
              <w:bottom w:val="single" w:sz="12" w:space="0" w:color="auto"/>
              <w:right w:val="single" w:sz="18" w:space="0" w:color="auto"/>
            </w:tcBorders>
            <w:shd w:val="clear" w:color="auto" w:fill="auto"/>
            <w:noWrap/>
          </w:tcPr>
          <w:p w:rsidR="000A41BF" w:rsidRPr="00D621BB" w:rsidRDefault="000A41BF" w:rsidP="00DF02AA">
            <w:pPr>
              <w:rPr>
                <w:rFonts w:ascii="Arial" w:hAnsi="Arial" w:cs="Arial"/>
                <w:color w:val="000000"/>
                <w:sz w:val="20"/>
                <w:szCs w:val="20"/>
                <w:lang w:eastAsia="en-AU"/>
              </w:rPr>
            </w:pPr>
          </w:p>
        </w:tc>
      </w:tr>
      <w:tr w:rsidR="000A41BF" w:rsidRPr="00D621BB" w:rsidTr="00DF02AA">
        <w:trPr>
          <w:cantSplit/>
          <w:trHeight w:val="300"/>
        </w:trPr>
        <w:tc>
          <w:tcPr>
            <w:tcW w:w="2425" w:type="dxa"/>
            <w:vMerge w:val="restart"/>
            <w:tcBorders>
              <w:top w:val="single" w:sz="18" w:space="0" w:color="auto"/>
              <w:left w:val="single" w:sz="18" w:space="0" w:color="auto"/>
              <w:right w:val="single" w:sz="18" w:space="0" w:color="auto"/>
            </w:tcBorders>
          </w:tcPr>
          <w:p w:rsidR="000A41BF" w:rsidRPr="00D621BB" w:rsidRDefault="000A41BF" w:rsidP="00DF02AA">
            <w:pPr>
              <w:keepNext/>
              <w:rPr>
                <w:rFonts w:ascii="Arial" w:hAnsi="Arial" w:cs="Arial"/>
                <w:color w:val="000000"/>
                <w:sz w:val="20"/>
                <w:szCs w:val="20"/>
                <w:lang w:eastAsia="en-AU"/>
              </w:rPr>
            </w:pPr>
            <w:r w:rsidRPr="00D621BB">
              <w:rPr>
                <w:rFonts w:ascii="Arial" w:hAnsi="Arial" w:cs="Arial"/>
                <w:color w:val="000000"/>
                <w:sz w:val="20"/>
                <w:szCs w:val="20"/>
                <w:lang w:eastAsia="en-AU"/>
              </w:rPr>
              <w:t>Tubing Conveyed Perforations</w:t>
            </w:r>
          </w:p>
        </w:tc>
        <w:tc>
          <w:tcPr>
            <w:tcW w:w="2976" w:type="dxa"/>
            <w:tcBorders>
              <w:top w:val="single" w:sz="18" w:space="0" w:color="auto"/>
              <w:left w:val="single" w:sz="18" w:space="0" w:color="auto"/>
              <w:bottom w:val="single" w:sz="4" w:space="0" w:color="auto"/>
              <w:right w:val="single" w:sz="18" w:space="0" w:color="auto"/>
            </w:tcBorders>
            <w:shd w:val="clear" w:color="auto" w:fill="auto"/>
            <w:noWrap/>
          </w:tcPr>
          <w:p w:rsidR="000A41BF" w:rsidRPr="00D621BB" w:rsidRDefault="000A41BF" w:rsidP="00DF02AA">
            <w:pPr>
              <w:rPr>
                <w:rFonts w:ascii="Arial" w:eastAsia="Arial" w:hAnsi="Arial" w:cs="Arial"/>
                <w:color w:val="000000"/>
                <w:sz w:val="20"/>
                <w:szCs w:val="20"/>
                <w:lang w:eastAsia="en-AU"/>
              </w:rPr>
            </w:pPr>
            <w:r>
              <w:rPr>
                <w:rFonts w:ascii="Arial" w:eastAsia="Arial" w:hAnsi="Arial" w:cs="Arial"/>
                <w:color w:val="000000"/>
                <w:sz w:val="20"/>
                <w:szCs w:val="20"/>
                <w:lang w:eastAsia="en-AU"/>
              </w:rPr>
              <w:t xml:space="preserve">Halliburton </w:t>
            </w:r>
          </w:p>
        </w:tc>
        <w:tc>
          <w:tcPr>
            <w:tcW w:w="1560" w:type="dxa"/>
            <w:tcBorders>
              <w:top w:val="single" w:sz="18" w:space="0" w:color="auto"/>
              <w:left w:val="single" w:sz="18" w:space="0" w:color="auto"/>
              <w:bottom w:val="single" w:sz="4" w:space="0" w:color="auto"/>
              <w:right w:val="single" w:sz="18" w:space="0" w:color="auto"/>
            </w:tcBorders>
          </w:tcPr>
          <w:p w:rsidR="000A41BF" w:rsidRPr="00D621BB" w:rsidRDefault="000A41BF" w:rsidP="00DF02AA">
            <w:pPr>
              <w:keepNext/>
              <w:rPr>
                <w:rFonts w:ascii="Arial" w:hAnsi="Arial" w:cs="Arial"/>
                <w:color w:val="000000"/>
                <w:sz w:val="20"/>
                <w:szCs w:val="20"/>
                <w:lang w:eastAsia="en-AU"/>
              </w:rPr>
            </w:pPr>
            <w:r>
              <w:rPr>
                <w:rFonts w:ascii="Arial" w:hAnsi="Arial" w:cs="Arial"/>
                <w:color w:val="000000"/>
                <w:sz w:val="20"/>
                <w:szCs w:val="20"/>
                <w:lang w:eastAsia="en-AU"/>
              </w:rPr>
              <w:t>Yes</w:t>
            </w:r>
          </w:p>
        </w:tc>
        <w:tc>
          <w:tcPr>
            <w:tcW w:w="1208" w:type="dxa"/>
            <w:tcBorders>
              <w:top w:val="single" w:sz="18" w:space="0" w:color="auto"/>
              <w:left w:val="single" w:sz="18" w:space="0" w:color="auto"/>
              <w:bottom w:val="single" w:sz="4" w:space="0" w:color="auto"/>
              <w:right w:val="single" w:sz="18" w:space="0" w:color="auto"/>
            </w:tcBorders>
          </w:tcPr>
          <w:p w:rsidR="000A41BF" w:rsidRPr="00D621BB" w:rsidRDefault="000A41BF" w:rsidP="00DF02AA">
            <w:pPr>
              <w:keepNext/>
              <w:rPr>
                <w:rFonts w:ascii="Arial" w:hAnsi="Arial" w:cs="Arial"/>
                <w:color w:val="000000"/>
                <w:sz w:val="20"/>
                <w:szCs w:val="20"/>
                <w:lang w:eastAsia="en-AU"/>
              </w:rPr>
            </w:pPr>
            <w:r>
              <w:rPr>
                <w:rFonts w:ascii="Arial" w:hAnsi="Arial" w:cs="Arial"/>
                <w:color w:val="000000"/>
                <w:sz w:val="20"/>
                <w:szCs w:val="20"/>
                <w:lang w:eastAsia="en-AU"/>
              </w:rPr>
              <w:t>Yes</w:t>
            </w:r>
          </w:p>
        </w:tc>
        <w:tc>
          <w:tcPr>
            <w:tcW w:w="5671" w:type="dxa"/>
            <w:tcBorders>
              <w:top w:val="single" w:sz="18" w:space="0" w:color="auto"/>
              <w:left w:val="single" w:sz="18" w:space="0" w:color="auto"/>
              <w:bottom w:val="single" w:sz="4" w:space="0" w:color="auto"/>
              <w:right w:val="single" w:sz="18" w:space="0" w:color="auto"/>
            </w:tcBorders>
            <w:shd w:val="clear" w:color="auto" w:fill="auto"/>
            <w:noWrap/>
          </w:tcPr>
          <w:p w:rsidR="000A41BF" w:rsidRPr="00D621BB" w:rsidRDefault="000A41BF" w:rsidP="00DF02AA">
            <w:pPr>
              <w:keepNext/>
              <w:rPr>
                <w:rFonts w:ascii="Arial" w:hAnsi="Arial" w:cs="Arial"/>
                <w:color w:val="000000"/>
                <w:sz w:val="20"/>
                <w:szCs w:val="20"/>
                <w:lang w:eastAsia="en-AU"/>
              </w:rPr>
            </w:pPr>
          </w:p>
        </w:tc>
      </w:tr>
      <w:tr w:rsidR="000A41BF" w:rsidRPr="00D621BB" w:rsidTr="00DF02AA">
        <w:trPr>
          <w:cantSplit/>
          <w:trHeight w:val="300"/>
        </w:trPr>
        <w:tc>
          <w:tcPr>
            <w:tcW w:w="2425" w:type="dxa"/>
            <w:vMerge/>
            <w:tcBorders>
              <w:left w:val="single" w:sz="18" w:space="0" w:color="auto"/>
              <w:right w:val="single" w:sz="18" w:space="0" w:color="auto"/>
            </w:tcBorders>
          </w:tcPr>
          <w:p w:rsidR="000A41BF" w:rsidRPr="00D621BB" w:rsidRDefault="000A41BF" w:rsidP="00DF02AA">
            <w:pPr>
              <w:keepNext/>
              <w:rPr>
                <w:rFonts w:ascii="Arial" w:hAnsi="Arial" w:cs="Arial"/>
                <w:color w:val="000000"/>
                <w:sz w:val="20"/>
                <w:szCs w:val="20"/>
                <w:lang w:eastAsia="en-AU"/>
              </w:rPr>
            </w:pPr>
          </w:p>
        </w:tc>
        <w:tc>
          <w:tcPr>
            <w:tcW w:w="2976" w:type="dxa"/>
            <w:tcBorders>
              <w:top w:val="single" w:sz="4" w:space="0" w:color="auto"/>
              <w:left w:val="single" w:sz="18" w:space="0" w:color="auto"/>
              <w:bottom w:val="single" w:sz="4" w:space="0" w:color="auto"/>
              <w:right w:val="single" w:sz="18" w:space="0" w:color="auto"/>
            </w:tcBorders>
            <w:shd w:val="clear" w:color="auto" w:fill="auto"/>
            <w:noWrap/>
          </w:tcPr>
          <w:p w:rsidR="000A41BF" w:rsidRPr="00D621BB" w:rsidRDefault="000A41BF" w:rsidP="00DF02AA">
            <w:pPr>
              <w:rPr>
                <w:rFonts w:ascii="Arial" w:eastAsia="Arial" w:hAnsi="Arial" w:cs="Arial"/>
                <w:color w:val="000000"/>
                <w:sz w:val="20"/>
                <w:szCs w:val="20"/>
                <w:lang w:eastAsia="en-AU"/>
              </w:rPr>
            </w:pPr>
            <w:r>
              <w:rPr>
                <w:rFonts w:ascii="Arial" w:eastAsia="Arial" w:hAnsi="Arial" w:cs="Arial"/>
                <w:color w:val="000000"/>
                <w:sz w:val="20"/>
                <w:szCs w:val="20"/>
                <w:lang w:eastAsia="en-AU"/>
              </w:rPr>
              <w:t>Baker Hughes</w:t>
            </w:r>
          </w:p>
        </w:tc>
        <w:tc>
          <w:tcPr>
            <w:tcW w:w="1560" w:type="dxa"/>
            <w:tcBorders>
              <w:top w:val="single" w:sz="4" w:space="0" w:color="auto"/>
              <w:left w:val="single" w:sz="18" w:space="0" w:color="auto"/>
              <w:bottom w:val="single" w:sz="4" w:space="0" w:color="auto"/>
              <w:right w:val="single" w:sz="18" w:space="0" w:color="auto"/>
            </w:tcBorders>
          </w:tcPr>
          <w:p w:rsidR="000A41BF" w:rsidRPr="00D621BB" w:rsidRDefault="000A41BF" w:rsidP="00DF02AA">
            <w:pPr>
              <w:keepNext/>
              <w:rPr>
                <w:rFonts w:ascii="Arial" w:hAnsi="Arial" w:cs="Arial"/>
                <w:color w:val="000000"/>
                <w:sz w:val="20"/>
                <w:szCs w:val="20"/>
                <w:lang w:eastAsia="en-AU"/>
              </w:rPr>
            </w:pPr>
            <w:r>
              <w:rPr>
                <w:rFonts w:ascii="Arial" w:hAnsi="Arial" w:cs="Arial"/>
                <w:color w:val="000000"/>
                <w:sz w:val="20"/>
                <w:szCs w:val="20"/>
                <w:lang w:eastAsia="en-AU"/>
              </w:rPr>
              <w:t>Yes</w:t>
            </w:r>
          </w:p>
        </w:tc>
        <w:tc>
          <w:tcPr>
            <w:tcW w:w="1208" w:type="dxa"/>
            <w:tcBorders>
              <w:top w:val="single" w:sz="4" w:space="0" w:color="auto"/>
              <w:left w:val="single" w:sz="18" w:space="0" w:color="auto"/>
              <w:bottom w:val="single" w:sz="4" w:space="0" w:color="auto"/>
              <w:right w:val="single" w:sz="18" w:space="0" w:color="auto"/>
            </w:tcBorders>
          </w:tcPr>
          <w:p w:rsidR="000A41BF" w:rsidRPr="00D621BB" w:rsidRDefault="000A41BF" w:rsidP="00DF02AA">
            <w:pPr>
              <w:keepNext/>
              <w:rPr>
                <w:rFonts w:ascii="Arial" w:hAnsi="Arial" w:cs="Arial"/>
                <w:color w:val="000000"/>
                <w:sz w:val="20"/>
                <w:szCs w:val="20"/>
                <w:lang w:eastAsia="en-AU"/>
              </w:rPr>
            </w:pPr>
            <w:r>
              <w:rPr>
                <w:rFonts w:ascii="Arial" w:hAnsi="Arial" w:cs="Arial"/>
                <w:color w:val="000000"/>
                <w:sz w:val="20"/>
                <w:szCs w:val="20"/>
                <w:lang w:eastAsia="en-AU"/>
              </w:rPr>
              <w:t>Yes</w:t>
            </w:r>
          </w:p>
        </w:tc>
        <w:tc>
          <w:tcPr>
            <w:tcW w:w="5671" w:type="dxa"/>
            <w:tcBorders>
              <w:top w:val="single" w:sz="4" w:space="0" w:color="auto"/>
              <w:left w:val="single" w:sz="18" w:space="0" w:color="auto"/>
              <w:bottom w:val="single" w:sz="4" w:space="0" w:color="auto"/>
              <w:right w:val="single" w:sz="18" w:space="0" w:color="auto"/>
            </w:tcBorders>
            <w:shd w:val="clear" w:color="auto" w:fill="auto"/>
            <w:noWrap/>
          </w:tcPr>
          <w:p w:rsidR="000A41BF" w:rsidRPr="00D621BB" w:rsidRDefault="000A41BF" w:rsidP="00DF02AA">
            <w:pPr>
              <w:keepNext/>
              <w:rPr>
                <w:rFonts w:ascii="Arial" w:hAnsi="Arial" w:cs="Arial"/>
                <w:color w:val="000000"/>
                <w:sz w:val="20"/>
                <w:szCs w:val="20"/>
                <w:lang w:eastAsia="en-AU"/>
              </w:rPr>
            </w:pPr>
          </w:p>
        </w:tc>
      </w:tr>
      <w:tr w:rsidR="000A41BF" w:rsidRPr="00D621BB" w:rsidTr="00DF02AA">
        <w:trPr>
          <w:cantSplit/>
          <w:trHeight w:val="300"/>
        </w:trPr>
        <w:tc>
          <w:tcPr>
            <w:tcW w:w="2425" w:type="dxa"/>
            <w:vMerge/>
            <w:tcBorders>
              <w:left w:val="single" w:sz="18" w:space="0" w:color="auto"/>
              <w:right w:val="single" w:sz="18" w:space="0" w:color="auto"/>
            </w:tcBorders>
          </w:tcPr>
          <w:p w:rsidR="000A41BF" w:rsidRPr="00D621BB" w:rsidRDefault="000A41BF" w:rsidP="00DF02AA">
            <w:pPr>
              <w:keepNext/>
              <w:rPr>
                <w:rFonts w:ascii="Arial" w:hAnsi="Arial" w:cs="Arial"/>
                <w:color w:val="000000"/>
                <w:sz w:val="20"/>
                <w:szCs w:val="20"/>
                <w:lang w:eastAsia="en-AU"/>
              </w:rPr>
            </w:pPr>
          </w:p>
        </w:tc>
        <w:tc>
          <w:tcPr>
            <w:tcW w:w="2976" w:type="dxa"/>
            <w:tcBorders>
              <w:top w:val="single" w:sz="4" w:space="0" w:color="auto"/>
              <w:left w:val="single" w:sz="18" w:space="0" w:color="auto"/>
              <w:bottom w:val="single" w:sz="4" w:space="0" w:color="auto"/>
              <w:right w:val="single" w:sz="18" w:space="0" w:color="auto"/>
            </w:tcBorders>
            <w:shd w:val="clear" w:color="auto" w:fill="auto"/>
            <w:noWrap/>
          </w:tcPr>
          <w:p w:rsidR="000A41BF" w:rsidRPr="00D621BB" w:rsidRDefault="000A41BF" w:rsidP="00DF02AA">
            <w:pPr>
              <w:keepNext/>
              <w:rPr>
                <w:rFonts w:ascii="Arial" w:eastAsia="Arial" w:hAnsi="Arial" w:cs="Arial"/>
                <w:color w:val="000000"/>
                <w:sz w:val="20"/>
                <w:szCs w:val="20"/>
                <w:lang w:eastAsia="en-AU"/>
              </w:rPr>
            </w:pPr>
            <w:r w:rsidRPr="00D621BB">
              <w:rPr>
                <w:rFonts w:ascii="Arial" w:eastAsia="Arial" w:hAnsi="Arial" w:cs="Arial"/>
                <w:color w:val="000000"/>
                <w:sz w:val="20"/>
                <w:szCs w:val="20"/>
                <w:lang w:eastAsia="en-AU"/>
              </w:rPr>
              <w:t>Schlumberger</w:t>
            </w:r>
          </w:p>
        </w:tc>
        <w:tc>
          <w:tcPr>
            <w:tcW w:w="1560" w:type="dxa"/>
            <w:tcBorders>
              <w:top w:val="single" w:sz="4" w:space="0" w:color="auto"/>
              <w:left w:val="single" w:sz="18" w:space="0" w:color="auto"/>
              <w:bottom w:val="single" w:sz="4" w:space="0" w:color="auto"/>
              <w:right w:val="single" w:sz="18" w:space="0" w:color="auto"/>
            </w:tcBorders>
          </w:tcPr>
          <w:p w:rsidR="000A41BF" w:rsidRPr="00D621BB" w:rsidRDefault="000A41BF" w:rsidP="00DF02AA">
            <w:pPr>
              <w:keepNext/>
              <w:rPr>
                <w:rFonts w:ascii="Arial" w:hAnsi="Arial" w:cs="Arial"/>
                <w:color w:val="000000"/>
                <w:sz w:val="20"/>
                <w:szCs w:val="20"/>
                <w:lang w:eastAsia="en-AU"/>
              </w:rPr>
            </w:pPr>
            <w:r>
              <w:rPr>
                <w:rFonts w:ascii="Arial" w:hAnsi="Arial" w:cs="Arial"/>
                <w:color w:val="000000"/>
                <w:sz w:val="20"/>
                <w:szCs w:val="20"/>
                <w:lang w:eastAsia="en-AU"/>
              </w:rPr>
              <w:t>Yes</w:t>
            </w:r>
          </w:p>
        </w:tc>
        <w:tc>
          <w:tcPr>
            <w:tcW w:w="1208" w:type="dxa"/>
            <w:tcBorders>
              <w:top w:val="single" w:sz="4" w:space="0" w:color="auto"/>
              <w:left w:val="single" w:sz="18" w:space="0" w:color="auto"/>
              <w:bottom w:val="single" w:sz="4" w:space="0" w:color="auto"/>
              <w:right w:val="single" w:sz="18" w:space="0" w:color="auto"/>
            </w:tcBorders>
          </w:tcPr>
          <w:p w:rsidR="000A41BF" w:rsidRPr="00D621BB" w:rsidRDefault="000A41BF" w:rsidP="00DF02AA">
            <w:pPr>
              <w:keepNext/>
              <w:rPr>
                <w:rFonts w:ascii="Arial" w:hAnsi="Arial" w:cs="Arial"/>
                <w:color w:val="000000"/>
                <w:sz w:val="20"/>
                <w:szCs w:val="20"/>
                <w:lang w:eastAsia="en-AU"/>
              </w:rPr>
            </w:pPr>
            <w:r>
              <w:rPr>
                <w:rFonts w:ascii="Arial" w:hAnsi="Arial" w:cs="Arial"/>
                <w:color w:val="000000"/>
                <w:sz w:val="20"/>
                <w:szCs w:val="20"/>
                <w:lang w:eastAsia="en-AU"/>
              </w:rPr>
              <w:t>Yes</w:t>
            </w:r>
          </w:p>
        </w:tc>
        <w:tc>
          <w:tcPr>
            <w:tcW w:w="5671" w:type="dxa"/>
            <w:tcBorders>
              <w:top w:val="single" w:sz="4" w:space="0" w:color="auto"/>
              <w:left w:val="single" w:sz="18" w:space="0" w:color="auto"/>
              <w:bottom w:val="single" w:sz="4" w:space="0" w:color="auto"/>
              <w:right w:val="single" w:sz="18" w:space="0" w:color="auto"/>
            </w:tcBorders>
            <w:shd w:val="clear" w:color="auto" w:fill="auto"/>
            <w:noWrap/>
          </w:tcPr>
          <w:p w:rsidR="000A41BF" w:rsidRPr="00D621BB" w:rsidRDefault="000A41BF" w:rsidP="00DF02AA">
            <w:pPr>
              <w:keepNext/>
              <w:rPr>
                <w:rFonts w:ascii="Arial" w:hAnsi="Arial" w:cs="Arial"/>
                <w:color w:val="000000"/>
                <w:sz w:val="20"/>
                <w:szCs w:val="20"/>
                <w:lang w:eastAsia="en-AU"/>
              </w:rPr>
            </w:pPr>
          </w:p>
        </w:tc>
      </w:tr>
      <w:tr w:rsidR="000A41BF" w:rsidRPr="00D621BB" w:rsidTr="00DF02AA">
        <w:trPr>
          <w:cantSplit/>
          <w:trHeight w:val="300"/>
        </w:trPr>
        <w:tc>
          <w:tcPr>
            <w:tcW w:w="2425" w:type="dxa"/>
            <w:vMerge/>
            <w:tcBorders>
              <w:left w:val="single" w:sz="18" w:space="0" w:color="auto"/>
              <w:right w:val="single" w:sz="18" w:space="0" w:color="auto"/>
            </w:tcBorders>
            <w:vAlign w:val="center"/>
          </w:tcPr>
          <w:p w:rsidR="000A41BF" w:rsidRPr="00D621BB" w:rsidRDefault="000A41BF" w:rsidP="00DF02AA">
            <w:pPr>
              <w:keepNext/>
              <w:rPr>
                <w:rFonts w:ascii="Arial" w:hAnsi="Arial" w:cs="Arial"/>
                <w:color w:val="000000"/>
                <w:sz w:val="20"/>
                <w:szCs w:val="20"/>
                <w:lang w:eastAsia="en-AU"/>
              </w:rPr>
            </w:pPr>
          </w:p>
        </w:tc>
        <w:tc>
          <w:tcPr>
            <w:tcW w:w="2976" w:type="dxa"/>
            <w:tcBorders>
              <w:top w:val="single" w:sz="4" w:space="0" w:color="auto"/>
              <w:left w:val="single" w:sz="18" w:space="0" w:color="auto"/>
              <w:bottom w:val="single" w:sz="4" w:space="0" w:color="auto"/>
              <w:right w:val="single" w:sz="18" w:space="0" w:color="auto"/>
            </w:tcBorders>
            <w:shd w:val="clear" w:color="auto" w:fill="auto"/>
            <w:noWrap/>
          </w:tcPr>
          <w:p w:rsidR="000A41BF" w:rsidRPr="00D621BB" w:rsidRDefault="000A41BF" w:rsidP="00DF02AA">
            <w:pPr>
              <w:keepNext/>
              <w:rPr>
                <w:rFonts w:ascii="Arial" w:eastAsia="Arial" w:hAnsi="Arial" w:cs="Arial"/>
                <w:color w:val="000000"/>
                <w:sz w:val="20"/>
                <w:szCs w:val="20"/>
                <w:lang w:eastAsia="en-AU"/>
              </w:rPr>
            </w:pPr>
            <w:r w:rsidRPr="00D621BB">
              <w:rPr>
                <w:rFonts w:ascii="Arial" w:eastAsia="Arial" w:hAnsi="Arial" w:cs="Arial"/>
                <w:color w:val="000000"/>
                <w:sz w:val="20"/>
                <w:szCs w:val="20"/>
                <w:lang w:eastAsia="en-AU"/>
              </w:rPr>
              <w:t>Weatherford</w:t>
            </w:r>
          </w:p>
        </w:tc>
        <w:tc>
          <w:tcPr>
            <w:tcW w:w="1560" w:type="dxa"/>
            <w:tcBorders>
              <w:top w:val="single" w:sz="4" w:space="0" w:color="auto"/>
              <w:left w:val="single" w:sz="18" w:space="0" w:color="auto"/>
              <w:bottom w:val="single" w:sz="4" w:space="0" w:color="auto"/>
              <w:right w:val="single" w:sz="18" w:space="0" w:color="auto"/>
            </w:tcBorders>
          </w:tcPr>
          <w:p w:rsidR="000A41BF" w:rsidRPr="00D621BB" w:rsidRDefault="000A41BF" w:rsidP="00DF02AA">
            <w:pPr>
              <w:keepNext/>
              <w:rPr>
                <w:rFonts w:ascii="Arial" w:hAnsi="Arial" w:cs="Arial"/>
                <w:color w:val="000000"/>
                <w:sz w:val="20"/>
                <w:szCs w:val="20"/>
                <w:lang w:eastAsia="en-AU"/>
              </w:rPr>
            </w:pPr>
            <w:r>
              <w:rPr>
                <w:rFonts w:ascii="Arial" w:hAnsi="Arial" w:cs="Arial"/>
                <w:color w:val="000000"/>
                <w:sz w:val="20"/>
                <w:szCs w:val="20"/>
                <w:lang w:eastAsia="en-AU"/>
              </w:rPr>
              <w:t>Yes</w:t>
            </w:r>
          </w:p>
        </w:tc>
        <w:tc>
          <w:tcPr>
            <w:tcW w:w="1208" w:type="dxa"/>
            <w:tcBorders>
              <w:top w:val="single" w:sz="4" w:space="0" w:color="auto"/>
              <w:left w:val="single" w:sz="18" w:space="0" w:color="auto"/>
              <w:bottom w:val="single" w:sz="4" w:space="0" w:color="auto"/>
              <w:right w:val="single" w:sz="18" w:space="0" w:color="auto"/>
            </w:tcBorders>
          </w:tcPr>
          <w:p w:rsidR="000A41BF" w:rsidRPr="00D621BB" w:rsidRDefault="000A41BF" w:rsidP="00DF02AA">
            <w:pPr>
              <w:keepNext/>
              <w:rPr>
                <w:rFonts w:ascii="Arial" w:hAnsi="Arial" w:cs="Arial"/>
                <w:color w:val="000000"/>
                <w:sz w:val="20"/>
                <w:szCs w:val="20"/>
                <w:lang w:eastAsia="en-AU"/>
              </w:rPr>
            </w:pPr>
            <w:r>
              <w:rPr>
                <w:rFonts w:ascii="Arial" w:hAnsi="Arial" w:cs="Arial"/>
                <w:color w:val="000000"/>
                <w:sz w:val="20"/>
                <w:szCs w:val="20"/>
                <w:lang w:eastAsia="en-AU"/>
              </w:rPr>
              <w:t>No</w:t>
            </w:r>
          </w:p>
        </w:tc>
        <w:tc>
          <w:tcPr>
            <w:tcW w:w="5671" w:type="dxa"/>
            <w:tcBorders>
              <w:top w:val="single" w:sz="4" w:space="0" w:color="auto"/>
              <w:left w:val="single" w:sz="18" w:space="0" w:color="auto"/>
              <w:bottom w:val="single" w:sz="4" w:space="0" w:color="auto"/>
              <w:right w:val="single" w:sz="18" w:space="0" w:color="auto"/>
            </w:tcBorders>
            <w:shd w:val="clear" w:color="auto" w:fill="auto"/>
            <w:noWrap/>
          </w:tcPr>
          <w:p w:rsidR="000A41BF" w:rsidRPr="00D621BB" w:rsidRDefault="000A41BF" w:rsidP="00DF02AA">
            <w:pPr>
              <w:keepNext/>
              <w:rPr>
                <w:rFonts w:ascii="Arial" w:hAnsi="Arial" w:cs="Arial"/>
                <w:color w:val="000000"/>
                <w:sz w:val="20"/>
                <w:szCs w:val="20"/>
                <w:lang w:eastAsia="en-AU"/>
              </w:rPr>
            </w:pPr>
          </w:p>
        </w:tc>
      </w:tr>
      <w:tr w:rsidR="000A41BF" w:rsidRPr="00D621BB" w:rsidTr="00DF02AA">
        <w:trPr>
          <w:cantSplit/>
          <w:trHeight w:val="300"/>
        </w:trPr>
        <w:tc>
          <w:tcPr>
            <w:tcW w:w="2425" w:type="dxa"/>
            <w:vMerge/>
            <w:tcBorders>
              <w:left w:val="single" w:sz="18" w:space="0" w:color="auto"/>
              <w:right w:val="single" w:sz="18" w:space="0" w:color="auto"/>
            </w:tcBorders>
            <w:vAlign w:val="center"/>
          </w:tcPr>
          <w:p w:rsidR="000A41BF" w:rsidRPr="00D621BB" w:rsidRDefault="000A41BF" w:rsidP="00DF02AA">
            <w:pPr>
              <w:keepNext/>
              <w:rPr>
                <w:rFonts w:ascii="Arial" w:hAnsi="Arial" w:cs="Arial"/>
                <w:color w:val="000000"/>
                <w:sz w:val="20"/>
                <w:szCs w:val="20"/>
                <w:lang w:eastAsia="en-AU"/>
              </w:rPr>
            </w:pPr>
          </w:p>
        </w:tc>
        <w:tc>
          <w:tcPr>
            <w:tcW w:w="2976" w:type="dxa"/>
            <w:tcBorders>
              <w:top w:val="single" w:sz="4" w:space="0" w:color="auto"/>
              <w:left w:val="single" w:sz="18" w:space="0" w:color="auto"/>
              <w:bottom w:val="single" w:sz="4" w:space="0" w:color="auto"/>
              <w:right w:val="single" w:sz="18" w:space="0" w:color="auto"/>
            </w:tcBorders>
            <w:shd w:val="clear" w:color="auto" w:fill="auto"/>
            <w:noWrap/>
          </w:tcPr>
          <w:p w:rsidR="000A41BF" w:rsidRPr="00D621BB" w:rsidRDefault="000A41BF" w:rsidP="00DF02AA">
            <w:pPr>
              <w:keepNext/>
              <w:rPr>
                <w:rFonts w:ascii="Arial" w:eastAsia="Arial" w:hAnsi="Arial" w:cs="Arial"/>
                <w:color w:val="000000"/>
                <w:sz w:val="20"/>
                <w:szCs w:val="20"/>
                <w:lang w:eastAsia="en-AU"/>
              </w:rPr>
            </w:pPr>
            <w:r w:rsidRPr="00D621BB">
              <w:rPr>
                <w:rFonts w:ascii="Arial" w:eastAsia="Arial" w:hAnsi="Arial" w:cs="Arial"/>
                <w:color w:val="000000"/>
                <w:sz w:val="20"/>
                <w:szCs w:val="20"/>
                <w:lang w:eastAsia="en-AU"/>
              </w:rPr>
              <w:t>SGS</w:t>
            </w:r>
          </w:p>
        </w:tc>
        <w:tc>
          <w:tcPr>
            <w:tcW w:w="1560" w:type="dxa"/>
            <w:tcBorders>
              <w:top w:val="single" w:sz="4" w:space="0" w:color="auto"/>
              <w:left w:val="single" w:sz="18" w:space="0" w:color="auto"/>
              <w:bottom w:val="single" w:sz="4" w:space="0" w:color="auto"/>
              <w:right w:val="single" w:sz="18" w:space="0" w:color="auto"/>
            </w:tcBorders>
          </w:tcPr>
          <w:p w:rsidR="000A41BF" w:rsidRPr="00D621BB" w:rsidRDefault="000A41BF" w:rsidP="00DF02AA">
            <w:pPr>
              <w:keepNext/>
              <w:rPr>
                <w:rFonts w:ascii="Arial" w:hAnsi="Arial" w:cs="Arial"/>
                <w:color w:val="000000"/>
                <w:sz w:val="20"/>
                <w:szCs w:val="20"/>
                <w:lang w:eastAsia="en-AU"/>
              </w:rPr>
            </w:pPr>
            <w:r>
              <w:rPr>
                <w:rFonts w:ascii="Arial" w:hAnsi="Arial" w:cs="Arial"/>
                <w:color w:val="000000"/>
                <w:sz w:val="20"/>
                <w:szCs w:val="20"/>
                <w:lang w:eastAsia="en-AU"/>
              </w:rPr>
              <w:t>Yes</w:t>
            </w:r>
          </w:p>
        </w:tc>
        <w:tc>
          <w:tcPr>
            <w:tcW w:w="1208" w:type="dxa"/>
            <w:tcBorders>
              <w:top w:val="single" w:sz="4" w:space="0" w:color="auto"/>
              <w:left w:val="single" w:sz="18" w:space="0" w:color="auto"/>
              <w:bottom w:val="single" w:sz="4" w:space="0" w:color="auto"/>
              <w:right w:val="single" w:sz="18" w:space="0" w:color="auto"/>
            </w:tcBorders>
          </w:tcPr>
          <w:p w:rsidR="000A41BF" w:rsidRPr="00D621BB" w:rsidRDefault="000A41BF" w:rsidP="00DF02AA">
            <w:pPr>
              <w:keepNext/>
              <w:rPr>
                <w:rFonts w:ascii="Arial" w:hAnsi="Arial" w:cs="Arial"/>
                <w:color w:val="000000"/>
                <w:sz w:val="20"/>
                <w:szCs w:val="20"/>
                <w:lang w:eastAsia="en-AU"/>
              </w:rPr>
            </w:pPr>
            <w:r>
              <w:rPr>
                <w:rFonts w:ascii="Arial" w:hAnsi="Arial" w:cs="Arial"/>
                <w:color w:val="000000"/>
                <w:sz w:val="20"/>
                <w:szCs w:val="20"/>
                <w:lang w:eastAsia="en-AU"/>
              </w:rPr>
              <w:t>Yes</w:t>
            </w:r>
          </w:p>
        </w:tc>
        <w:tc>
          <w:tcPr>
            <w:tcW w:w="5671" w:type="dxa"/>
            <w:tcBorders>
              <w:top w:val="single" w:sz="4" w:space="0" w:color="auto"/>
              <w:left w:val="single" w:sz="18" w:space="0" w:color="auto"/>
              <w:bottom w:val="single" w:sz="4" w:space="0" w:color="auto"/>
              <w:right w:val="single" w:sz="18" w:space="0" w:color="auto"/>
            </w:tcBorders>
            <w:shd w:val="clear" w:color="auto" w:fill="auto"/>
            <w:noWrap/>
          </w:tcPr>
          <w:p w:rsidR="000A41BF" w:rsidRPr="00D621BB" w:rsidRDefault="000A41BF" w:rsidP="00DF02AA">
            <w:pPr>
              <w:keepNext/>
              <w:rPr>
                <w:rFonts w:ascii="Arial" w:hAnsi="Arial" w:cs="Arial"/>
                <w:color w:val="000000"/>
                <w:sz w:val="20"/>
                <w:szCs w:val="20"/>
                <w:lang w:eastAsia="en-AU"/>
              </w:rPr>
            </w:pPr>
          </w:p>
        </w:tc>
      </w:tr>
      <w:tr w:rsidR="000A41BF" w:rsidRPr="00D621BB" w:rsidTr="00DF02AA">
        <w:trPr>
          <w:cantSplit/>
          <w:trHeight w:val="300"/>
        </w:trPr>
        <w:tc>
          <w:tcPr>
            <w:tcW w:w="2425" w:type="dxa"/>
            <w:vMerge/>
            <w:tcBorders>
              <w:left w:val="single" w:sz="18" w:space="0" w:color="auto"/>
              <w:right w:val="single" w:sz="18" w:space="0" w:color="auto"/>
            </w:tcBorders>
            <w:vAlign w:val="center"/>
          </w:tcPr>
          <w:p w:rsidR="000A41BF" w:rsidRPr="00D621BB" w:rsidRDefault="000A41BF" w:rsidP="00DF02AA">
            <w:pPr>
              <w:rPr>
                <w:rFonts w:ascii="Arial" w:hAnsi="Arial" w:cs="Arial"/>
                <w:color w:val="000000"/>
                <w:sz w:val="20"/>
                <w:szCs w:val="20"/>
                <w:lang w:eastAsia="en-AU"/>
              </w:rPr>
            </w:pPr>
          </w:p>
        </w:tc>
        <w:tc>
          <w:tcPr>
            <w:tcW w:w="2976" w:type="dxa"/>
            <w:tcBorders>
              <w:top w:val="single" w:sz="4" w:space="0" w:color="auto"/>
              <w:left w:val="single" w:sz="18" w:space="0" w:color="auto"/>
              <w:bottom w:val="single" w:sz="4" w:space="0" w:color="auto"/>
              <w:right w:val="single" w:sz="18" w:space="0" w:color="auto"/>
            </w:tcBorders>
            <w:shd w:val="clear" w:color="auto" w:fill="auto"/>
            <w:noWrap/>
          </w:tcPr>
          <w:p w:rsidR="000A41BF" w:rsidRPr="00D621BB" w:rsidRDefault="000A41BF" w:rsidP="00DF02AA">
            <w:pPr>
              <w:rPr>
                <w:rFonts w:ascii="Arial" w:eastAsia="Arial" w:hAnsi="Arial" w:cs="Arial"/>
                <w:color w:val="000000"/>
                <w:sz w:val="20"/>
                <w:szCs w:val="20"/>
                <w:lang w:eastAsia="en-AU"/>
              </w:rPr>
            </w:pPr>
            <w:proofErr w:type="spellStart"/>
            <w:r w:rsidRPr="00D621BB">
              <w:rPr>
                <w:rFonts w:ascii="Arial" w:eastAsia="Arial" w:hAnsi="Arial" w:cs="Arial"/>
                <w:color w:val="000000"/>
                <w:sz w:val="20"/>
                <w:szCs w:val="20"/>
                <w:lang w:eastAsia="en-AU"/>
              </w:rPr>
              <w:t>Expro</w:t>
            </w:r>
            <w:proofErr w:type="spellEnd"/>
          </w:p>
        </w:tc>
        <w:tc>
          <w:tcPr>
            <w:tcW w:w="1560" w:type="dxa"/>
            <w:tcBorders>
              <w:top w:val="single" w:sz="4" w:space="0" w:color="auto"/>
              <w:left w:val="single" w:sz="18" w:space="0" w:color="auto"/>
              <w:bottom w:val="single" w:sz="4" w:space="0" w:color="auto"/>
              <w:right w:val="single" w:sz="18" w:space="0" w:color="auto"/>
            </w:tcBorders>
          </w:tcPr>
          <w:p w:rsidR="000A41BF" w:rsidRPr="00D621BB" w:rsidRDefault="000A41BF" w:rsidP="00DF02AA">
            <w:pPr>
              <w:rPr>
                <w:rFonts w:ascii="Arial" w:hAnsi="Arial" w:cs="Arial"/>
                <w:color w:val="000000"/>
                <w:sz w:val="20"/>
                <w:szCs w:val="20"/>
                <w:lang w:eastAsia="en-AU"/>
              </w:rPr>
            </w:pPr>
            <w:r>
              <w:rPr>
                <w:rFonts w:ascii="Arial" w:hAnsi="Arial" w:cs="Arial"/>
                <w:color w:val="000000"/>
                <w:sz w:val="20"/>
                <w:szCs w:val="20"/>
                <w:lang w:eastAsia="en-AU"/>
              </w:rPr>
              <w:t>Yes</w:t>
            </w:r>
          </w:p>
        </w:tc>
        <w:tc>
          <w:tcPr>
            <w:tcW w:w="1208" w:type="dxa"/>
            <w:tcBorders>
              <w:top w:val="single" w:sz="4" w:space="0" w:color="auto"/>
              <w:left w:val="single" w:sz="18" w:space="0" w:color="auto"/>
              <w:bottom w:val="single" w:sz="4" w:space="0" w:color="auto"/>
              <w:right w:val="single" w:sz="18" w:space="0" w:color="auto"/>
            </w:tcBorders>
          </w:tcPr>
          <w:p w:rsidR="000A41BF" w:rsidRPr="00D621BB" w:rsidRDefault="000A41BF" w:rsidP="00DF02AA">
            <w:pPr>
              <w:rPr>
                <w:rFonts w:ascii="Arial" w:hAnsi="Arial" w:cs="Arial"/>
                <w:color w:val="000000"/>
                <w:sz w:val="20"/>
                <w:szCs w:val="20"/>
                <w:lang w:eastAsia="en-AU"/>
              </w:rPr>
            </w:pPr>
            <w:r>
              <w:rPr>
                <w:rFonts w:ascii="Arial" w:hAnsi="Arial" w:cs="Arial"/>
                <w:color w:val="000000"/>
                <w:sz w:val="20"/>
                <w:szCs w:val="20"/>
                <w:lang w:eastAsia="en-AU"/>
              </w:rPr>
              <w:t>Yes</w:t>
            </w:r>
          </w:p>
        </w:tc>
        <w:tc>
          <w:tcPr>
            <w:tcW w:w="5671" w:type="dxa"/>
            <w:tcBorders>
              <w:top w:val="single" w:sz="4" w:space="0" w:color="auto"/>
              <w:left w:val="single" w:sz="18" w:space="0" w:color="auto"/>
              <w:bottom w:val="single" w:sz="4" w:space="0" w:color="auto"/>
              <w:right w:val="single" w:sz="18" w:space="0" w:color="auto"/>
            </w:tcBorders>
            <w:shd w:val="clear" w:color="auto" w:fill="auto"/>
            <w:noWrap/>
          </w:tcPr>
          <w:p w:rsidR="000A41BF" w:rsidRPr="00D621BB" w:rsidRDefault="000A41BF" w:rsidP="00DF02AA">
            <w:pPr>
              <w:rPr>
                <w:rFonts w:ascii="Arial" w:hAnsi="Arial" w:cs="Arial"/>
                <w:color w:val="000000"/>
                <w:sz w:val="20"/>
                <w:szCs w:val="20"/>
                <w:lang w:eastAsia="en-AU"/>
              </w:rPr>
            </w:pPr>
          </w:p>
        </w:tc>
      </w:tr>
      <w:tr w:rsidR="000A41BF" w:rsidRPr="00D621BB" w:rsidTr="00DF02AA">
        <w:trPr>
          <w:cantSplit/>
          <w:trHeight w:val="300"/>
        </w:trPr>
        <w:tc>
          <w:tcPr>
            <w:tcW w:w="2425" w:type="dxa"/>
            <w:vMerge/>
            <w:tcBorders>
              <w:left w:val="single" w:sz="18" w:space="0" w:color="auto"/>
              <w:right w:val="single" w:sz="18" w:space="0" w:color="auto"/>
            </w:tcBorders>
            <w:vAlign w:val="center"/>
          </w:tcPr>
          <w:p w:rsidR="000A41BF" w:rsidRPr="00D621BB" w:rsidRDefault="000A41BF" w:rsidP="00DF02AA">
            <w:pPr>
              <w:rPr>
                <w:rFonts w:ascii="Arial" w:hAnsi="Arial" w:cs="Arial"/>
                <w:color w:val="000000"/>
                <w:sz w:val="20"/>
                <w:szCs w:val="20"/>
                <w:lang w:eastAsia="en-AU"/>
              </w:rPr>
            </w:pPr>
          </w:p>
        </w:tc>
        <w:tc>
          <w:tcPr>
            <w:tcW w:w="2976" w:type="dxa"/>
            <w:tcBorders>
              <w:top w:val="single" w:sz="4" w:space="0" w:color="auto"/>
              <w:left w:val="single" w:sz="18" w:space="0" w:color="auto"/>
              <w:bottom w:val="single" w:sz="4" w:space="0" w:color="auto"/>
              <w:right w:val="single" w:sz="18" w:space="0" w:color="auto"/>
            </w:tcBorders>
            <w:shd w:val="clear" w:color="auto" w:fill="auto"/>
            <w:noWrap/>
          </w:tcPr>
          <w:p w:rsidR="000A41BF" w:rsidRPr="00D621BB" w:rsidRDefault="000A41BF" w:rsidP="00DF02AA">
            <w:pPr>
              <w:rPr>
                <w:rFonts w:ascii="Arial" w:eastAsia="Arial" w:hAnsi="Arial" w:cs="Arial"/>
                <w:color w:val="000000"/>
                <w:sz w:val="20"/>
                <w:szCs w:val="20"/>
                <w:lang w:eastAsia="en-AU"/>
              </w:rPr>
            </w:pPr>
            <w:r w:rsidRPr="00D621BB">
              <w:rPr>
                <w:rFonts w:ascii="Arial" w:eastAsia="Arial" w:hAnsi="Arial" w:cs="Arial"/>
                <w:color w:val="000000"/>
                <w:sz w:val="20"/>
                <w:szCs w:val="20"/>
                <w:lang w:eastAsia="en-AU"/>
              </w:rPr>
              <w:t>Owen Oil Tools</w:t>
            </w:r>
          </w:p>
        </w:tc>
        <w:tc>
          <w:tcPr>
            <w:tcW w:w="1560" w:type="dxa"/>
            <w:tcBorders>
              <w:top w:val="single" w:sz="4" w:space="0" w:color="auto"/>
              <w:left w:val="single" w:sz="18" w:space="0" w:color="auto"/>
              <w:bottom w:val="single" w:sz="4" w:space="0" w:color="auto"/>
              <w:right w:val="single" w:sz="18" w:space="0" w:color="auto"/>
            </w:tcBorders>
          </w:tcPr>
          <w:p w:rsidR="000A41BF" w:rsidRPr="00D621BB" w:rsidRDefault="000A41BF" w:rsidP="00DF02AA">
            <w:pPr>
              <w:rPr>
                <w:rFonts w:ascii="Arial" w:hAnsi="Arial" w:cs="Arial"/>
                <w:color w:val="000000"/>
                <w:sz w:val="20"/>
                <w:szCs w:val="20"/>
                <w:lang w:eastAsia="en-AU"/>
              </w:rPr>
            </w:pPr>
            <w:r>
              <w:rPr>
                <w:rFonts w:ascii="Arial" w:hAnsi="Arial" w:cs="Arial"/>
                <w:color w:val="000000"/>
                <w:sz w:val="20"/>
                <w:szCs w:val="20"/>
                <w:lang w:eastAsia="en-AU"/>
              </w:rPr>
              <w:t>Yes</w:t>
            </w:r>
          </w:p>
        </w:tc>
        <w:tc>
          <w:tcPr>
            <w:tcW w:w="1208" w:type="dxa"/>
            <w:tcBorders>
              <w:top w:val="single" w:sz="4" w:space="0" w:color="auto"/>
              <w:left w:val="single" w:sz="18" w:space="0" w:color="auto"/>
              <w:bottom w:val="single" w:sz="4" w:space="0" w:color="auto"/>
              <w:right w:val="single" w:sz="18" w:space="0" w:color="auto"/>
            </w:tcBorders>
          </w:tcPr>
          <w:p w:rsidR="000A41BF" w:rsidRPr="00D621BB" w:rsidRDefault="000A41BF" w:rsidP="00DF02AA">
            <w:pPr>
              <w:rPr>
                <w:rFonts w:ascii="Arial" w:hAnsi="Arial" w:cs="Arial"/>
                <w:color w:val="000000"/>
                <w:sz w:val="20"/>
                <w:szCs w:val="20"/>
                <w:lang w:eastAsia="en-AU"/>
              </w:rPr>
            </w:pPr>
            <w:r>
              <w:rPr>
                <w:rFonts w:ascii="Arial" w:hAnsi="Arial" w:cs="Arial"/>
                <w:color w:val="000000"/>
                <w:sz w:val="20"/>
                <w:szCs w:val="20"/>
                <w:lang w:eastAsia="en-AU"/>
              </w:rPr>
              <w:t>No</w:t>
            </w:r>
          </w:p>
        </w:tc>
        <w:tc>
          <w:tcPr>
            <w:tcW w:w="5671" w:type="dxa"/>
            <w:tcBorders>
              <w:top w:val="single" w:sz="4" w:space="0" w:color="auto"/>
              <w:left w:val="single" w:sz="18" w:space="0" w:color="auto"/>
              <w:bottom w:val="single" w:sz="4" w:space="0" w:color="auto"/>
              <w:right w:val="single" w:sz="18" w:space="0" w:color="auto"/>
            </w:tcBorders>
            <w:shd w:val="clear" w:color="auto" w:fill="auto"/>
            <w:noWrap/>
          </w:tcPr>
          <w:p w:rsidR="000A41BF" w:rsidRPr="00D621BB" w:rsidRDefault="000A41BF" w:rsidP="00DF02AA">
            <w:pPr>
              <w:rPr>
                <w:rFonts w:ascii="Arial" w:hAnsi="Arial" w:cs="Arial"/>
                <w:color w:val="000000"/>
                <w:sz w:val="20"/>
                <w:szCs w:val="20"/>
                <w:lang w:eastAsia="en-AU"/>
              </w:rPr>
            </w:pPr>
          </w:p>
        </w:tc>
      </w:tr>
      <w:tr w:rsidR="000A41BF" w:rsidRPr="00D621BB" w:rsidTr="00DF02AA">
        <w:trPr>
          <w:cantSplit/>
          <w:trHeight w:val="300"/>
        </w:trPr>
        <w:tc>
          <w:tcPr>
            <w:tcW w:w="2425" w:type="dxa"/>
            <w:vMerge/>
            <w:tcBorders>
              <w:left w:val="single" w:sz="18" w:space="0" w:color="auto"/>
              <w:bottom w:val="single" w:sz="18" w:space="0" w:color="auto"/>
              <w:right w:val="single" w:sz="18" w:space="0" w:color="auto"/>
            </w:tcBorders>
            <w:vAlign w:val="center"/>
          </w:tcPr>
          <w:p w:rsidR="000A41BF" w:rsidRPr="00D621BB" w:rsidRDefault="000A41BF" w:rsidP="00DF02AA">
            <w:pPr>
              <w:rPr>
                <w:rFonts w:ascii="Arial" w:hAnsi="Arial" w:cs="Arial"/>
                <w:color w:val="000000"/>
                <w:sz w:val="20"/>
                <w:szCs w:val="20"/>
                <w:lang w:eastAsia="en-AU"/>
              </w:rPr>
            </w:pPr>
          </w:p>
        </w:tc>
        <w:tc>
          <w:tcPr>
            <w:tcW w:w="2976" w:type="dxa"/>
            <w:tcBorders>
              <w:top w:val="single" w:sz="4" w:space="0" w:color="auto"/>
              <w:left w:val="single" w:sz="18" w:space="0" w:color="auto"/>
              <w:bottom w:val="single" w:sz="18" w:space="0" w:color="auto"/>
              <w:right w:val="single" w:sz="18" w:space="0" w:color="auto"/>
            </w:tcBorders>
            <w:shd w:val="clear" w:color="auto" w:fill="auto"/>
            <w:noWrap/>
          </w:tcPr>
          <w:p w:rsidR="000A41BF" w:rsidRPr="00D621BB" w:rsidRDefault="000A41BF" w:rsidP="00DF02AA">
            <w:pPr>
              <w:rPr>
                <w:rFonts w:ascii="Arial" w:eastAsia="Arial" w:hAnsi="Arial" w:cs="Arial"/>
                <w:color w:val="000000"/>
                <w:sz w:val="20"/>
                <w:szCs w:val="20"/>
                <w:lang w:eastAsia="en-AU"/>
              </w:rPr>
            </w:pPr>
            <w:r w:rsidRPr="00D621BB">
              <w:rPr>
                <w:rFonts w:ascii="Arial" w:eastAsia="Arial" w:hAnsi="Arial" w:cs="Arial"/>
                <w:color w:val="000000"/>
                <w:sz w:val="20"/>
                <w:szCs w:val="20"/>
                <w:lang w:eastAsia="en-AU"/>
              </w:rPr>
              <w:t>READ Cased Hole</w:t>
            </w:r>
          </w:p>
        </w:tc>
        <w:tc>
          <w:tcPr>
            <w:tcW w:w="1560" w:type="dxa"/>
            <w:tcBorders>
              <w:top w:val="single" w:sz="4" w:space="0" w:color="auto"/>
              <w:left w:val="single" w:sz="18" w:space="0" w:color="auto"/>
              <w:bottom w:val="single" w:sz="18" w:space="0" w:color="auto"/>
              <w:right w:val="single" w:sz="18" w:space="0" w:color="auto"/>
            </w:tcBorders>
          </w:tcPr>
          <w:p w:rsidR="000A41BF" w:rsidRPr="00D621BB" w:rsidRDefault="000A41BF" w:rsidP="00DF02AA">
            <w:pPr>
              <w:rPr>
                <w:rFonts w:ascii="Arial" w:hAnsi="Arial" w:cs="Arial"/>
                <w:color w:val="000000"/>
                <w:sz w:val="20"/>
                <w:szCs w:val="20"/>
                <w:lang w:eastAsia="en-AU"/>
              </w:rPr>
            </w:pPr>
            <w:r>
              <w:rPr>
                <w:rFonts w:ascii="Arial" w:hAnsi="Arial" w:cs="Arial"/>
                <w:color w:val="000000"/>
                <w:sz w:val="20"/>
                <w:szCs w:val="20"/>
                <w:lang w:eastAsia="en-AU"/>
              </w:rPr>
              <w:t>Yes</w:t>
            </w:r>
          </w:p>
        </w:tc>
        <w:tc>
          <w:tcPr>
            <w:tcW w:w="1208" w:type="dxa"/>
            <w:tcBorders>
              <w:top w:val="single" w:sz="4" w:space="0" w:color="auto"/>
              <w:left w:val="single" w:sz="18" w:space="0" w:color="auto"/>
              <w:bottom w:val="single" w:sz="18" w:space="0" w:color="auto"/>
              <w:right w:val="single" w:sz="18" w:space="0" w:color="auto"/>
            </w:tcBorders>
          </w:tcPr>
          <w:p w:rsidR="000A41BF" w:rsidRPr="00D621BB" w:rsidRDefault="000A41BF" w:rsidP="00DF02AA">
            <w:pPr>
              <w:rPr>
                <w:rFonts w:ascii="Arial" w:hAnsi="Arial" w:cs="Arial"/>
                <w:color w:val="000000"/>
                <w:sz w:val="20"/>
                <w:szCs w:val="20"/>
                <w:lang w:eastAsia="en-AU"/>
              </w:rPr>
            </w:pPr>
            <w:r>
              <w:rPr>
                <w:rFonts w:ascii="Arial" w:hAnsi="Arial" w:cs="Arial"/>
                <w:color w:val="000000"/>
                <w:sz w:val="20"/>
                <w:szCs w:val="20"/>
                <w:lang w:eastAsia="en-AU"/>
              </w:rPr>
              <w:t>No</w:t>
            </w:r>
          </w:p>
        </w:tc>
        <w:tc>
          <w:tcPr>
            <w:tcW w:w="5671" w:type="dxa"/>
            <w:tcBorders>
              <w:top w:val="single" w:sz="4" w:space="0" w:color="auto"/>
              <w:left w:val="single" w:sz="18" w:space="0" w:color="auto"/>
              <w:bottom w:val="single" w:sz="18" w:space="0" w:color="auto"/>
              <w:right w:val="single" w:sz="18" w:space="0" w:color="auto"/>
            </w:tcBorders>
            <w:shd w:val="clear" w:color="auto" w:fill="auto"/>
            <w:noWrap/>
          </w:tcPr>
          <w:p w:rsidR="000A41BF" w:rsidRPr="00D621BB" w:rsidRDefault="000A41BF" w:rsidP="00DF02AA">
            <w:pPr>
              <w:rPr>
                <w:rFonts w:ascii="Arial" w:hAnsi="Arial" w:cs="Arial"/>
                <w:color w:val="000000"/>
                <w:sz w:val="20"/>
                <w:szCs w:val="20"/>
                <w:lang w:eastAsia="en-AU"/>
              </w:rPr>
            </w:pPr>
          </w:p>
        </w:tc>
      </w:tr>
      <w:tr w:rsidR="000A41BF" w:rsidRPr="00D621BB" w:rsidTr="00DF02AA">
        <w:trPr>
          <w:cantSplit/>
          <w:trHeight w:val="300"/>
        </w:trPr>
        <w:tc>
          <w:tcPr>
            <w:tcW w:w="2425" w:type="dxa"/>
            <w:vMerge w:val="restart"/>
            <w:tcBorders>
              <w:top w:val="single" w:sz="18" w:space="0" w:color="auto"/>
              <w:left w:val="single" w:sz="18" w:space="0" w:color="auto"/>
              <w:right w:val="single" w:sz="18" w:space="0" w:color="auto"/>
            </w:tcBorders>
          </w:tcPr>
          <w:p w:rsidR="000A41BF" w:rsidRPr="00D621BB" w:rsidRDefault="000A41BF" w:rsidP="00DF02AA">
            <w:pPr>
              <w:rPr>
                <w:rFonts w:ascii="Arial" w:hAnsi="Arial" w:cs="Arial"/>
                <w:color w:val="000000"/>
                <w:sz w:val="20"/>
                <w:szCs w:val="20"/>
                <w:lang w:eastAsia="en-AU"/>
              </w:rPr>
            </w:pPr>
            <w:r w:rsidRPr="00D621BB">
              <w:rPr>
                <w:rFonts w:ascii="Arial" w:hAnsi="Arial" w:cs="Arial"/>
                <w:color w:val="000000"/>
                <w:sz w:val="20"/>
                <w:szCs w:val="20"/>
                <w:lang w:eastAsia="en-AU"/>
              </w:rPr>
              <w:t>Solids Control and Waste Management</w:t>
            </w:r>
          </w:p>
        </w:tc>
        <w:tc>
          <w:tcPr>
            <w:tcW w:w="2976" w:type="dxa"/>
            <w:tcBorders>
              <w:top w:val="single" w:sz="18" w:space="0" w:color="auto"/>
              <w:left w:val="single" w:sz="18" w:space="0" w:color="auto"/>
              <w:bottom w:val="single" w:sz="8" w:space="0" w:color="auto"/>
              <w:right w:val="single" w:sz="18" w:space="0" w:color="auto"/>
            </w:tcBorders>
            <w:shd w:val="clear" w:color="auto" w:fill="auto"/>
            <w:noWrap/>
          </w:tcPr>
          <w:p w:rsidR="000A41BF" w:rsidRPr="00D621BB" w:rsidRDefault="000A41BF" w:rsidP="00DF02AA">
            <w:pPr>
              <w:rPr>
                <w:rFonts w:ascii="Arial" w:eastAsia="Arial" w:hAnsi="Arial" w:cs="Arial"/>
                <w:color w:val="000000"/>
                <w:sz w:val="20"/>
                <w:szCs w:val="20"/>
                <w:lang w:eastAsia="en-AU"/>
              </w:rPr>
            </w:pPr>
            <w:r>
              <w:rPr>
                <w:rFonts w:ascii="Arial" w:eastAsia="Arial" w:hAnsi="Arial" w:cs="Arial"/>
                <w:color w:val="000000"/>
                <w:sz w:val="20"/>
                <w:szCs w:val="20"/>
                <w:lang w:eastAsia="en-AU"/>
              </w:rPr>
              <w:t xml:space="preserve">Halliburton </w:t>
            </w:r>
          </w:p>
        </w:tc>
        <w:tc>
          <w:tcPr>
            <w:tcW w:w="1560" w:type="dxa"/>
            <w:tcBorders>
              <w:top w:val="single" w:sz="18" w:space="0" w:color="auto"/>
              <w:left w:val="single" w:sz="18" w:space="0" w:color="auto"/>
              <w:bottom w:val="single" w:sz="8" w:space="0" w:color="auto"/>
              <w:right w:val="single" w:sz="18" w:space="0" w:color="auto"/>
            </w:tcBorders>
          </w:tcPr>
          <w:p w:rsidR="000A41BF" w:rsidRPr="00D621BB" w:rsidRDefault="000A41BF" w:rsidP="00DF02AA">
            <w:pPr>
              <w:rPr>
                <w:rFonts w:ascii="Arial" w:hAnsi="Arial" w:cs="Arial"/>
                <w:color w:val="000000"/>
                <w:sz w:val="20"/>
                <w:szCs w:val="20"/>
                <w:lang w:eastAsia="en-AU"/>
              </w:rPr>
            </w:pPr>
            <w:r>
              <w:rPr>
                <w:rFonts w:ascii="Arial" w:hAnsi="Arial" w:cs="Arial"/>
                <w:color w:val="000000"/>
                <w:sz w:val="20"/>
                <w:szCs w:val="20"/>
                <w:lang w:eastAsia="en-AU"/>
              </w:rPr>
              <w:t>Yes</w:t>
            </w:r>
          </w:p>
        </w:tc>
        <w:tc>
          <w:tcPr>
            <w:tcW w:w="1208" w:type="dxa"/>
            <w:tcBorders>
              <w:top w:val="single" w:sz="18" w:space="0" w:color="auto"/>
              <w:left w:val="single" w:sz="18" w:space="0" w:color="auto"/>
              <w:bottom w:val="single" w:sz="8" w:space="0" w:color="auto"/>
              <w:right w:val="single" w:sz="18" w:space="0" w:color="auto"/>
            </w:tcBorders>
          </w:tcPr>
          <w:p w:rsidR="000A41BF" w:rsidRPr="00D621BB" w:rsidRDefault="000A41BF" w:rsidP="00DF02AA">
            <w:pPr>
              <w:rPr>
                <w:rFonts w:ascii="Arial" w:hAnsi="Arial" w:cs="Arial"/>
                <w:color w:val="000000"/>
                <w:sz w:val="20"/>
                <w:szCs w:val="20"/>
                <w:lang w:eastAsia="en-AU"/>
              </w:rPr>
            </w:pPr>
            <w:r>
              <w:rPr>
                <w:rFonts w:ascii="Arial" w:hAnsi="Arial" w:cs="Arial"/>
                <w:color w:val="000000"/>
                <w:sz w:val="20"/>
                <w:szCs w:val="20"/>
                <w:lang w:eastAsia="en-AU"/>
              </w:rPr>
              <w:t>Yes</w:t>
            </w:r>
          </w:p>
        </w:tc>
        <w:tc>
          <w:tcPr>
            <w:tcW w:w="5671" w:type="dxa"/>
            <w:tcBorders>
              <w:top w:val="single" w:sz="18" w:space="0" w:color="auto"/>
              <w:left w:val="single" w:sz="18" w:space="0" w:color="auto"/>
              <w:bottom w:val="single" w:sz="8" w:space="0" w:color="auto"/>
              <w:right w:val="single" w:sz="18" w:space="0" w:color="auto"/>
            </w:tcBorders>
            <w:shd w:val="clear" w:color="auto" w:fill="auto"/>
            <w:noWrap/>
          </w:tcPr>
          <w:p w:rsidR="000A41BF" w:rsidRPr="00D621BB" w:rsidRDefault="000A41BF" w:rsidP="00DF02AA">
            <w:pPr>
              <w:rPr>
                <w:rFonts w:ascii="Arial" w:hAnsi="Arial" w:cs="Arial"/>
                <w:color w:val="000000"/>
                <w:sz w:val="20"/>
                <w:szCs w:val="20"/>
                <w:lang w:eastAsia="en-AU"/>
              </w:rPr>
            </w:pPr>
          </w:p>
        </w:tc>
      </w:tr>
      <w:tr w:rsidR="000A41BF" w:rsidRPr="00D621BB" w:rsidTr="00DF02AA">
        <w:trPr>
          <w:cantSplit/>
          <w:trHeight w:val="300"/>
        </w:trPr>
        <w:tc>
          <w:tcPr>
            <w:tcW w:w="2425" w:type="dxa"/>
            <w:vMerge/>
            <w:tcBorders>
              <w:left w:val="single" w:sz="18" w:space="0" w:color="auto"/>
              <w:right w:val="single" w:sz="18" w:space="0" w:color="auto"/>
            </w:tcBorders>
          </w:tcPr>
          <w:p w:rsidR="000A41BF" w:rsidRPr="00D621BB" w:rsidRDefault="000A41BF" w:rsidP="00DF02AA">
            <w:pPr>
              <w:rPr>
                <w:rFonts w:ascii="Arial" w:hAnsi="Arial" w:cs="Arial"/>
                <w:color w:val="000000"/>
                <w:sz w:val="20"/>
                <w:szCs w:val="20"/>
                <w:lang w:eastAsia="en-AU"/>
              </w:rPr>
            </w:pPr>
          </w:p>
        </w:tc>
        <w:tc>
          <w:tcPr>
            <w:tcW w:w="2976" w:type="dxa"/>
            <w:tcBorders>
              <w:top w:val="single" w:sz="8" w:space="0" w:color="auto"/>
              <w:left w:val="single" w:sz="18" w:space="0" w:color="auto"/>
              <w:bottom w:val="single" w:sz="8" w:space="0" w:color="auto"/>
              <w:right w:val="single" w:sz="18" w:space="0" w:color="auto"/>
            </w:tcBorders>
            <w:shd w:val="clear" w:color="auto" w:fill="auto"/>
            <w:noWrap/>
          </w:tcPr>
          <w:p w:rsidR="000A41BF" w:rsidRPr="00D621BB" w:rsidRDefault="000A41BF" w:rsidP="00DF02AA">
            <w:pPr>
              <w:rPr>
                <w:rFonts w:ascii="Arial" w:eastAsia="Arial" w:hAnsi="Arial" w:cs="Arial"/>
                <w:color w:val="000000"/>
                <w:sz w:val="20"/>
                <w:szCs w:val="20"/>
                <w:lang w:eastAsia="en-AU"/>
              </w:rPr>
            </w:pPr>
            <w:r>
              <w:rPr>
                <w:rFonts w:ascii="Arial" w:eastAsia="Arial" w:hAnsi="Arial" w:cs="Arial"/>
                <w:color w:val="000000"/>
                <w:sz w:val="20"/>
                <w:szCs w:val="20"/>
                <w:lang w:eastAsia="en-AU"/>
              </w:rPr>
              <w:t>Baker Hughes</w:t>
            </w:r>
          </w:p>
        </w:tc>
        <w:tc>
          <w:tcPr>
            <w:tcW w:w="1560" w:type="dxa"/>
            <w:tcBorders>
              <w:top w:val="single" w:sz="8" w:space="0" w:color="auto"/>
              <w:left w:val="single" w:sz="18" w:space="0" w:color="auto"/>
              <w:bottom w:val="single" w:sz="8" w:space="0" w:color="auto"/>
              <w:right w:val="single" w:sz="18" w:space="0" w:color="auto"/>
            </w:tcBorders>
          </w:tcPr>
          <w:p w:rsidR="000A41BF" w:rsidRPr="00D621BB" w:rsidRDefault="000A41BF" w:rsidP="00DF02AA">
            <w:pPr>
              <w:rPr>
                <w:rFonts w:ascii="Arial" w:hAnsi="Arial" w:cs="Arial"/>
                <w:color w:val="000000"/>
                <w:sz w:val="20"/>
                <w:szCs w:val="20"/>
                <w:lang w:eastAsia="en-AU"/>
              </w:rPr>
            </w:pPr>
            <w:r>
              <w:rPr>
                <w:rFonts w:ascii="Arial" w:hAnsi="Arial" w:cs="Arial"/>
                <w:color w:val="000000"/>
                <w:sz w:val="20"/>
                <w:szCs w:val="20"/>
                <w:lang w:eastAsia="en-AU"/>
              </w:rPr>
              <w:t>Yes</w:t>
            </w:r>
          </w:p>
        </w:tc>
        <w:tc>
          <w:tcPr>
            <w:tcW w:w="1208" w:type="dxa"/>
            <w:tcBorders>
              <w:top w:val="single" w:sz="8" w:space="0" w:color="auto"/>
              <w:left w:val="single" w:sz="18" w:space="0" w:color="auto"/>
              <w:bottom w:val="single" w:sz="8" w:space="0" w:color="auto"/>
              <w:right w:val="single" w:sz="18" w:space="0" w:color="auto"/>
            </w:tcBorders>
          </w:tcPr>
          <w:p w:rsidR="000A41BF" w:rsidRPr="00D621BB" w:rsidRDefault="000A41BF" w:rsidP="00DF02AA">
            <w:pPr>
              <w:rPr>
                <w:rFonts w:ascii="Arial" w:hAnsi="Arial" w:cs="Arial"/>
                <w:color w:val="000000"/>
                <w:sz w:val="20"/>
                <w:szCs w:val="20"/>
                <w:lang w:eastAsia="en-AU"/>
              </w:rPr>
            </w:pPr>
            <w:r>
              <w:rPr>
                <w:rFonts w:ascii="Arial" w:hAnsi="Arial" w:cs="Arial"/>
                <w:color w:val="000000"/>
                <w:sz w:val="20"/>
                <w:szCs w:val="20"/>
                <w:lang w:eastAsia="en-AU"/>
              </w:rPr>
              <w:t>Yes</w:t>
            </w:r>
          </w:p>
        </w:tc>
        <w:tc>
          <w:tcPr>
            <w:tcW w:w="5671" w:type="dxa"/>
            <w:tcBorders>
              <w:top w:val="single" w:sz="8" w:space="0" w:color="auto"/>
              <w:left w:val="single" w:sz="18" w:space="0" w:color="auto"/>
              <w:bottom w:val="single" w:sz="8" w:space="0" w:color="auto"/>
              <w:right w:val="single" w:sz="18" w:space="0" w:color="auto"/>
            </w:tcBorders>
            <w:shd w:val="clear" w:color="auto" w:fill="auto"/>
            <w:noWrap/>
          </w:tcPr>
          <w:p w:rsidR="000A41BF" w:rsidRPr="00D621BB" w:rsidRDefault="000A41BF" w:rsidP="00DF02AA">
            <w:pPr>
              <w:rPr>
                <w:rFonts w:ascii="Arial" w:hAnsi="Arial" w:cs="Arial"/>
                <w:color w:val="000000"/>
                <w:sz w:val="20"/>
                <w:szCs w:val="20"/>
                <w:lang w:eastAsia="en-AU"/>
              </w:rPr>
            </w:pPr>
            <w:r>
              <w:rPr>
                <w:rFonts w:ascii="Arial" w:hAnsi="Arial" w:cs="Arial"/>
                <w:color w:val="000000"/>
                <w:sz w:val="20"/>
                <w:szCs w:val="20"/>
                <w:lang w:eastAsia="en-AU"/>
              </w:rPr>
              <w:t xml:space="preserve">Baker Hughes has a small presence in Australia. </w:t>
            </w:r>
          </w:p>
        </w:tc>
      </w:tr>
      <w:tr w:rsidR="000A41BF" w:rsidRPr="00D621BB" w:rsidTr="00DF02AA">
        <w:trPr>
          <w:cantSplit/>
          <w:trHeight w:val="300"/>
        </w:trPr>
        <w:tc>
          <w:tcPr>
            <w:tcW w:w="2425" w:type="dxa"/>
            <w:vMerge/>
            <w:tcBorders>
              <w:left w:val="single" w:sz="18" w:space="0" w:color="auto"/>
              <w:right w:val="single" w:sz="18" w:space="0" w:color="auto"/>
            </w:tcBorders>
          </w:tcPr>
          <w:p w:rsidR="000A41BF" w:rsidRPr="00D621BB" w:rsidRDefault="000A41BF" w:rsidP="00DF02AA">
            <w:pPr>
              <w:rPr>
                <w:rFonts w:ascii="Arial" w:hAnsi="Arial" w:cs="Arial"/>
                <w:color w:val="000000"/>
                <w:sz w:val="20"/>
                <w:szCs w:val="20"/>
                <w:lang w:eastAsia="en-AU"/>
              </w:rPr>
            </w:pPr>
          </w:p>
        </w:tc>
        <w:tc>
          <w:tcPr>
            <w:tcW w:w="2976" w:type="dxa"/>
            <w:tcBorders>
              <w:top w:val="single" w:sz="8" w:space="0" w:color="auto"/>
              <w:left w:val="single" w:sz="18" w:space="0" w:color="auto"/>
              <w:bottom w:val="single" w:sz="4" w:space="0" w:color="auto"/>
              <w:right w:val="single" w:sz="18" w:space="0" w:color="auto"/>
            </w:tcBorders>
            <w:shd w:val="clear" w:color="auto" w:fill="auto"/>
            <w:noWrap/>
          </w:tcPr>
          <w:p w:rsidR="000A41BF" w:rsidRPr="00D621BB" w:rsidRDefault="000A41BF" w:rsidP="00DF02AA">
            <w:pPr>
              <w:rPr>
                <w:rFonts w:ascii="Arial" w:eastAsia="Arial" w:hAnsi="Arial" w:cs="Arial"/>
                <w:color w:val="000000"/>
                <w:sz w:val="20"/>
                <w:szCs w:val="20"/>
                <w:lang w:eastAsia="en-AU"/>
              </w:rPr>
            </w:pPr>
            <w:r w:rsidRPr="00D621BB">
              <w:rPr>
                <w:rFonts w:ascii="Arial" w:eastAsia="Arial" w:hAnsi="Arial" w:cs="Arial"/>
                <w:color w:val="000000"/>
                <w:sz w:val="20"/>
                <w:szCs w:val="20"/>
                <w:lang w:eastAsia="en-AU"/>
              </w:rPr>
              <w:t>Schlumberger</w:t>
            </w:r>
          </w:p>
        </w:tc>
        <w:tc>
          <w:tcPr>
            <w:tcW w:w="1560" w:type="dxa"/>
            <w:tcBorders>
              <w:top w:val="single" w:sz="8" w:space="0" w:color="auto"/>
              <w:left w:val="single" w:sz="18" w:space="0" w:color="auto"/>
              <w:bottom w:val="single" w:sz="4" w:space="0" w:color="auto"/>
              <w:right w:val="single" w:sz="18" w:space="0" w:color="auto"/>
            </w:tcBorders>
          </w:tcPr>
          <w:p w:rsidR="000A41BF" w:rsidRPr="00D621BB" w:rsidRDefault="000A41BF" w:rsidP="00DF02AA">
            <w:pPr>
              <w:rPr>
                <w:rFonts w:ascii="Arial" w:hAnsi="Arial" w:cs="Arial"/>
                <w:color w:val="000000"/>
                <w:sz w:val="20"/>
                <w:szCs w:val="20"/>
                <w:lang w:eastAsia="en-AU"/>
              </w:rPr>
            </w:pPr>
            <w:r>
              <w:rPr>
                <w:rFonts w:ascii="Arial" w:hAnsi="Arial" w:cs="Arial"/>
                <w:color w:val="000000"/>
                <w:sz w:val="20"/>
                <w:szCs w:val="20"/>
                <w:lang w:eastAsia="en-AU"/>
              </w:rPr>
              <w:t>Yes</w:t>
            </w:r>
          </w:p>
        </w:tc>
        <w:tc>
          <w:tcPr>
            <w:tcW w:w="1208" w:type="dxa"/>
            <w:tcBorders>
              <w:top w:val="single" w:sz="8" w:space="0" w:color="auto"/>
              <w:left w:val="single" w:sz="18" w:space="0" w:color="auto"/>
              <w:bottom w:val="single" w:sz="4" w:space="0" w:color="auto"/>
              <w:right w:val="single" w:sz="18" w:space="0" w:color="auto"/>
            </w:tcBorders>
          </w:tcPr>
          <w:p w:rsidR="000A41BF" w:rsidRPr="00D621BB" w:rsidRDefault="000A41BF" w:rsidP="00DF02AA">
            <w:pPr>
              <w:rPr>
                <w:rFonts w:ascii="Arial" w:hAnsi="Arial" w:cs="Arial"/>
                <w:color w:val="000000"/>
                <w:sz w:val="20"/>
                <w:szCs w:val="20"/>
                <w:lang w:eastAsia="en-AU"/>
              </w:rPr>
            </w:pPr>
            <w:r>
              <w:rPr>
                <w:rFonts w:ascii="Arial" w:hAnsi="Arial" w:cs="Arial"/>
                <w:color w:val="000000"/>
                <w:sz w:val="20"/>
                <w:szCs w:val="20"/>
                <w:lang w:eastAsia="en-AU"/>
              </w:rPr>
              <w:t>Yes</w:t>
            </w:r>
          </w:p>
        </w:tc>
        <w:tc>
          <w:tcPr>
            <w:tcW w:w="5671" w:type="dxa"/>
            <w:tcBorders>
              <w:top w:val="single" w:sz="8" w:space="0" w:color="auto"/>
              <w:left w:val="single" w:sz="18" w:space="0" w:color="auto"/>
              <w:bottom w:val="single" w:sz="4" w:space="0" w:color="auto"/>
              <w:right w:val="single" w:sz="18" w:space="0" w:color="auto"/>
            </w:tcBorders>
            <w:shd w:val="clear" w:color="auto" w:fill="auto"/>
            <w:noWrap/>
          </w:tcPr>
          <w:p w:rsidR="000A41BF" w:rsidRPr="00D621BB" w:rsidRDefault="000A41BF" w:rsidP="00DF02AA">
            <w:pPr>
              <w:rPr>
                <w:rFonts w:ascii="Arial" w:hAnsi="Arial" w:cs="Arial"/>
                <w:color w:val="000000"/>
                <w:sz w:val="20"/>
                <w:szCs w:val="20"/>
                <w:lang w:eastAsia="en-AU"/>
              </w:rPr>
            </w:pPr>
          </w:p>
        </w:tc>
      </w:tr>
      <w:tr w:rsidR="000A41BF" w:rsidRPr="00D621BB" w:rsidTr="00DF02AA">
        <w:trPr>
          <w:cantSplit/>
          <w:trHeight w:val="300"/>
        </w:trPr>
        <w:tc>
          <w:tcPr>
            <w:tcW w:w="2425" w:type="dxa"/>
            <w:vMerge/>
            <w:tcBorders>
              <w:left w:val="single" w:sz="18" w:space="0" w:color="auto"/>
              <w:right w:val="single" w:sz="18" w:space="0" w:color="auto"/>
            </w:tcBorders>
            <w:vAlign w:val="center"/>
          </w:tcPr>
          <w:p w:rsidR="000A41BF" w:rsidRPr="00D621BB" w:rsidRDefault="000A41BF" w:rsidP="00DF02AA">
            <w:pPr>
              <w:rPr>
                <w:rFonts w:ascii="Arial" w:hAnsi="Arial" w:cs="Arial"/>
                <w:color w:val="000000"/>
                <w:sz w:val="20"/>
                <w:szCs w:val="20"/>
                <w:lang w:eastAsia="en-AU"/>
              </w:rPr>
            </w:pPr>
          </w:p>
        </w:tc>
        <w:tc>
          <w:tcPr>
            <w:tcW w:w="2976" w:type="dxa"/>
            <w:tcBorders>
              <w:top w:val="single" w:sz="4" w:space="0" w:color="auto"/>
              <w:left w:val="single" w:sz="18" w:space="0" w:color="auto"/>
              <w:bottom w:val="single" w:sz="4" w:space="0" w:color="auto"/>
              <w:right w:val="single" w:sz="18" w:space="0" w:color="auto"/>
            </w:tcBorders>
            <w:shd w:val="clear" w:color="auto" w:fill="auto"/>
            <w:noWrap/>
          </w:tcPr>
          <w:p w:rsidR="000A41BF" w:rsidRPr="00D621BB" w:rsidRDefault="000A41BF" w:rsidP="00DF02AA">
            <w:pPr>
              <w:rPr>
                <w:rFonts w:ascii="Arial" w:eastAsia="Arial" w:hAnsi="Arial" w:cs="Arial"/>
                <w:color w:val="000000"/>
                <w:sz w:val="20"/>
                <w:szCs w:val="20"/>
                <w:lang w:eastAsia="en-AU"/>
              </w:rPr>
            </w:pPr>
            <w:r w:rsidRPr="00D621BB">
              <w:rPr>
                <w:rFonts w:ascii="Arial" w:eastAsia="Arial" w:hAnsi="Arial" w:cs="Arial"/>
                <w:color w:val="000000"/>
                <w:sz w:val="20"/>
                <w:szCs w:val="20"/>
                <w:lang w:eastAsia="en-AU"/>
              </w:rPr>
              <w:t>Kayden Industries</w:t>
            </w:r>
          </w:p>
        </w:tc>
        <w:tc>
          <w:tcPr>
            <w:tcW w:w="1560" w:type="dxa"/>
            <w:tcBorders>
              <w:top w:val="single" w:sz="4" w:space="0" w:color="auto"/>
              <w:left w:val="single" w:sz="18" w:space="0" w:color="auto"/>
              <w:bottom w:val="single" w:sz="4" w:space="0" w:color="auto"/>
              <w:right w:val="single" w:sz="18" w:space="0" w:color="auto"/>
            </w:tcBorders>
          </w:tcPr>
          <w:p w:rsidR="000A41BF" w:rsidRPr="00D621BB" w:rsidRDefault="000A41BF" w:rsidP="00DF02AA">
            <w:pPr>
              <w:rPr>
                <w:rFonts w:ascii="Arial" w:hAnsi="Arial" w:cs="Arial"/>
                <w:color w:val="000000"/>
                <w:sz w:val="20"/>
                <w:szCs w:val="20"/>
                <w:lang w:eastAsia="en-AU"/>
              </w:rPr>
            </w:pPr>
            <w:r>
              <w:rPr>
                <w:rFonts w:ascii="Arial" w:hAnsi="Arial" w:cs="Arial"/>
                <w:color w:val="000000"/>
                <w:sz w:val="20"/>
                <w:szCs w:val="20"/>
                <w:lang w:eastAsia="en-AU"/>
              </w:rPr>
              <w:t>Yes</w:t>
            </w:r>
          </w:p>
        </w:tc>
        <w:tc>
          <w:tcPr>
            <w:tcW w:w="1208" w:type="dxa"/>
            <w:tcBorders>
              <w:top w:val="single" w:sz="4" w:space="0" w:color="auto"/>
              <w:left w:val="single" w:sz="18" w:space="0" w:color="auto"/>
              <w:bottom w:val="single" w:sz="4" w:space="0" w:color="auto"/>
              <w:right w:val="single" w:sz="18" w:space="0" w:color="auto"/>
            </w:tcBorders>
          </w:tcPr>
          <w:p w:rsidR="000A41BF" w:rsidRPr="00D621BB" w:rsidRDefault="000A41BF" w:rsidP="00DF02AA">
            <w:pPr>
              <w:rPr>
                <w:rFonts w:ascii="Arial" w:hAnsi="Arial" w:cs="Arial"/>
                <w:color w:val="000000"/>
                <w:sz w:val="20"/>
                <w:szCs w:val="20"/>
                <w:lang w:eastAsia="en-AU"/>
              </w:rPr>
            </w:pPr>
            <w:r>
              <w:rPr>
                <w:rFonts w:ascii="Arial" w:hAnsi="Arial" w:cs="Arial"/>
                <w:color w:val="000000"/>
                <w:sz w:val="20"/>
                <w:szCs w:val="20"/>
                <w:lang w:eastAsia="en-AU"/>
              </w:rPr>
              <w:t>No</w:t>
            </w:r>
          </w:p>
        </w:tc>
        <w:tc>
          <w:tcPr>
            <w:tcW w:w="5671" w:type="dxa"/>
            <w:tcBorders>
              <w:top w:val="single" w:sz="4" w:space="0" w:color="auto"/>
              <w:left w:val="single" w:sz="18" w:space="0" w:color="auto"/>
              <w:bottom w:val="single" w:sz="4" w:space="0" w:color="auto"/>
              <w:right w:val="single" w:sz="18" w:space="0" w:color="auto"/>
            </w:tcBorders>
            <w:shd w:val="clear" w:color="auto" w:fill="auto"/>
            <w:noWrap/>
          </w:tcPr>
          <w:p w:rsidR="000A41BF" w:rsidRPr="00D621BB" w:rsidRDefault="000A41BF" w:rsidP="00DF02AA">
            <w:pPr>
              <w:rPr>
                <w:rFonts w:ascii="Arial" w:hAnsi="Arial" w:cs="Arial"/>
                <w:color w:val="000000"/>
                <w:sz w:val="20"/>
                <w:szCs w:val="20"/>
                <w:lang w:eastAsia="en-AU"/>
              </w:rPr>
            </w:pPr>
          </w:p>
        </w:tc>
      </w:tr>
      <w:tr w:rsidR="000A41BF" w:rsidRPr="00D621BB" w:rsidTr="00DF02AA">
        <w:trPr>
          <w:cantSplit/>
          <w:trHeight w:val="300"/>
        </w:trPr>
        <w:tc>
          <w:tcPr>
            <w:tcW w:w="2425" w:type="dxa"/>
            <w:vMerge/>
            <w:tcBorders>
              <w:left w:val="single" w:sz="18" w:space="0" w:color="auto"/>
              <w:right w:val="single" w:sz="18" w:space="0" w:color="auto"/>
            </w:tcBorders>
            <w:vAlign w:val="center"/>
          </w:tcPr>
          <w:p w:rsidR="000A41BF" w:rsidRPr="00D621BB" w:rsidRDefault="000A41BF" w:rsidP="00DF02AA">
            <w:pPr>
              <w:rPr>
                <w:rFonts w:ascii="Arial" w:hAnsi="Arial" w:cs="Arial"/>
                <w:color w:val="000000"/>
                <w:sz w:val="20"/>
                <w:szCs w:val="20"/>
                <w:lang w:eastAsia="en-AU"/>
              </w:rPr>
            </w:pPr>
          </w:p>
        </w:tc>
        <w:tc>
          <w:tcPr>
            <w:tcW w:w="2976" w:type="dxa"/>
            <w:tcBorders>
              <w:top w:val="single" w:sz="4" w:space="0" w:color="auto"/>
              <w:left w:val="single" w:sz="18" w:space="0" w:color="auto"/>
              <w:bottom w:val="single" w:sz="4" w:space="0" w:color="auto"/>
              <w:right w:val="single" w:sz="18" w:space="0" w:color="auto"/>
            </w:tcBorders>
            <w:shd w:val="clear" w:color="auto" w:fill="auto"/>
            <w:noWrap/>
          </w:tcPr>
          <w:p w:rsidR="000A41BF" w:rsidRPr="00D621BB" w:rsidRDefault="000A41BF" w:rsidP="00DF02AA">
            <w:pPr>
              <w:rPr>
                <w:rFonts w:ascii="Arial" w:eastAsia="Arial" w:hAnsi="Arial" w:cs="Arial"/>
                <w:color w:val="000000"/>
                <w:sz w:val="20"/>
                <w:szCs w:val="20"/>
                <w:lang w:eastAsia="en-AU"/>
              </w:rPr>
            </w:pPr>
            <w:proofErr w:type="spellStart"/>
            <w:r w:rsidRPr="00D621BB">
              <w:rPr>
                <w:rFonts w:ascii="Arial" w:eastAsia="Arial" w:hAnsi="Arial" w:cs="Arial"/>
                <w:color w:val="000000"/>
                <w:sz w:val="20"/>
                <w:szCs w:val="20"/>
                <w:lang w:eastAsia="en-AU"/>
              </w:rPr>
              <w:t>Scomi</w:t>
            </w:r>
            <w:proofErr w:type="spellEnd"/>
            <w:r w:rsidRPr="00D621BB">
              <w:rPr>
                <w:rFonts w:ascii="Arial" w:eastAsia="Arial" w:hAnsi="Arial" w:cs="Arial"/>
                <w:color w:val="000000"/>
                <w:sz w:val="20"/>
                <w:szCs w:val="20"/>
                <w:lang w:eastAsia="en-AU"/>
              </w:rPr>
              <w:t xml:space="preserve"> Oilfield Services</w:t>
            </w:r>
          </w:p>
        </w:tc>
        <w:tc>
          <w:tcPr>
            <w:tcW w:w="1560" w:type="dxa"/>
            <w:tcBorders>
              <w:top w:val="single" w:sz="4" w:space="0" w:color="auto"/>
              <w:left w:val="single" w:sz="18" w:space="0" w:color="auto"/>
              <w:bottom w:val="single" w:sz="4" w:space="0" w:color="auto"/>
              <w:right w:val="single" w:sz="18" w:space="0" w:color="auto"/>
            </w:tcBorders>
          </w:tcPr>
          <w:p w:rsidR="000A41BF" w:rsidRPr="00D621BB" w:rsidRDefault="000A41BF" w:rsidP="00DF02AA">
            <w:pPr>
              <w:rPr>
                <w:rFonts w:ascii="Arial" w:hAnsi="Arial" w:cs="Arial"/>
                <w:color w:val="000000"/>
                <w:sz w:val="20"/>
                <w:szCs w:val="20"/>
                <w:lang w:eastAsia="en-AU"/>
              </w:rPr>
            </w:pPr>
            <w:r>
              <w:rPr>
                <w:rFonts w:ascii="Arial" w:hAnsi="Arial" w:cs="Arial"/>
                <w:color w:val="000000"/>
                <w:sz w:val="20"/>
                <w:szCs w:val="20"/>
                <w:lang w:eastAsia="en-AU"/>
              </w:rPr>
              <w:t>Yes</w:t>
            </w:r>
          </w:p>
        </w:tc>
        <w:tc>
          <w:tcPr>
            <w:tcW w:w="1208" w:type="dxa"/>
            <w:tcBorders>
              <w:top w:val="single" w:sz="4" w:space="0" w:color="auto"/>
              <w:left w:val="single" w:sz="18" w:space="0" w:color="auto"/>
              <w:bottom w:val="single" w:sz="4" w:space="0" w:color="auto"/>
              <w:right w:val="single" w:sz="18" w:space="0" w:color="auto"/>
            </w:tcBorders>
          </w:tcPr>
          <w:p w:rsidR="000A41BF" w:rsidRPr="00D621BB" w:rsidRDefault="000A41BF" w:rsidP="00DF02AA">
            <w:pPr>
              <w:rPr>
                <w:rFonts w:ascii="Arial" w:hAnsi="Arial" w:cs="Arial"/>
                <w:color w:val="000000"/>
                <w:sz w:val="20"/>
                <w:szCs w:val="20"/>
                <w:lang w:eastAsia="en-AU"/>
              </w:rPr>
            </w:pPr>
            <w:r>
              <w:rPr>
                <w:rFonts w:ascii="Arial" w:hAnsi="Arial" w:cs="Arial"/>
                <w:color w:val="000000"/>
                <w:sz w:val="20"/>
                <w:szCs w:val="20"/>
                <w:lang w:eastAsia="en-AU"/>
              </w:rPr>
              <w:t>No</w:t>
            </w:r>
          </w:p>
        </w:tc>
        <w:tc>
          <w:tcPr>
            <w:tcW w:w="5671" w:type="dxa"/>
            <w:tcBorders>
              <w:top w:val="single" w:sz="4" w:space="0" w:color="auto"/>
              <w:left w:val="single" w:sz="18" w:space="0" w:color="auto"/>
              <w:bottom w:val="single" w:sz="4" w:space="0" w:color="auto"/>
              <w:right w:val="single" w:sz="18" w:space="0" w:color="auto"/>
            </w:tcBorders>
            <w:shd w:val="clear" w:color="auto" w:fill="auto"/>
            <w:noWrap/>
          </w:tcPr>
          <w:p w:rsidR="000A41BF" w:rsidRPr="00D621BB" w:rsidRDefault="000A41BF" w:rsidP="00DF02AA">
            <w:pPr>
              <w:rPr>
                <w:rFonts w:ascii="Arial" w:hAnsi="Arial" w:cs="Arial"/>
                <w:color w:val="000000"/>
                <w:sz w:val="20"/>
                <w:szCs w:val="20"/>
                <w:lang w:eastAsia="en-AU"/>
              </w:rPr>
            </w:pPr>
          </w:p>
        </w:tc>
      </w:tr>
      <w:tr w:rsidR="000A41BF" w:rsidRPr="00D621BB" w:rsidTr="00DF02AA">
        <w:trPr>
          <w:cantSplit/>
          <w:trHeight w:val="300"/>
        </w:trPr>
        <w:tc>
          <w:tcPr>
            <w:tcW w:w="2425" w:type="dxa"/>
            <w:vMerge/>
            <w:tcBorders>
              <w:left w:val="single" w:sz="18" w:space="0" w:color="auto"/>
              <w:right w:val="single" w:sz="18" w:space="0" w:color="auto"/>
            </w:tcBorders>
            <w:vAlign w:val="center"/>
          </w:tcPr>
          <w:p w:rsidR="000A41BF" w:rsidRPr="00D621BB" w:rsidRDefault="000A41BF" w:rsidP="00DF02AA">
            <w:pPr>
              <w:rPr>
                <w:rFonts w:ascii="Arial" w:hAnsi="Arial" w:cs="Arial"/>
                <w:color w:val="000000"/>
                <w:sz w:val="20"/>
                <w:szCs w:val="20"/>
                <w:lang w:eastAsia="en-AU"/>
              </w:rPr>
            </w:pPr>
          </w:p>
        </w:tc>
        <w:tc>
          <w:tcPr>
            <w:tcW w:w="2976" w:type="dxa"/>
            <w:tcBorders>
              <w:top w:val="single" w:sz="4" w:space="0" w:color="auto"/>
              <w:left w:val="single" w:sz="18" w:space="0" w:color="auto"/>
              <w:bottom w:val="single" w:sz="4" w:space="0" w:color="auto"/>
              <w:right w:val="single" w:sz="18" w:space="0" w:color="auto"/>
            </w:tcBorders>
            <w:shd w:val="clear" w:color="auto" w:fill="auto"/>
            <w:noWrap/>
          </w:tcPr>
          <w:p w:rsidR="000A41BF" w:rsidRPr="00D621BB" w:rsidRDefault="000A41BF" w:rsidP="00DF02AA">
            <w:pPr>
              <w:rPr>
                <w:rFonts w:ascii="Arial" w:eastAsia="Arial" w:hAnsi="Arial" w:cs="Arial"/>
                <w:color w:val="000000"/>
                <w:sz w:val="20"/>
                <w:szCs w:val="20"/>
                <w:lang w:eastAsia="en-AU"/>
              </w:rPr>
            </w:pPr>
            <w:r>
              <w:rPr>
                <w:rFonts w:ascii="Arial" w:eastAsia="Arial" w:hAnsi="Arial" w:cs="Arial"/>
                <w:color w:val="000000"/>
                <w:sz w:val="20"/>
                <w:szCs w:val="20"/>
                <w:lang w:eastAsia="en-AU"/>
              </w:rPr>
              <w:t>NOV</w:t>
            </w:r>
          </w:p>
        </w:tc>
        <w:tc>
          <w:tcPr>
            <w:tcW w:w="1560" w:type="dxa"/>
            <w:tcBorders>
              <w:top w:val="single" w:sz="4" w:space="0" w:color="auto"/>
              <w:left w:val="single" w:sz="18" w:space="0" w:color="auto"/>
              <w:bottom w:val="single" w:sz="4" w:space="0" w:color="auto"/>
              <w:right w:val="single" w:sz="18" w:space="0" w:color="auto"/>
            </w:tcBorders>
          </w:tcPr>
          <w:p w:rsidR="000A41BF" w:rsidRPr="00D621BB" w:rsidRDefault="000A41BF" w:rsidP="00DF02AA">
            <w:pPr>
              <w:rPr>
                <w:rFonts w:ascii="Arial" w:hAnsi="Arial" w:cs="Arial"/>
                <w:color w:val="000000"/>
                <w:sz w:val="20"/>
                <w:szCs w:val="20"/>
                <w:lang w:eastAsia="en-AU"/>
              </w:rPr>
            </w:pPr>
            <w:r>
              <w:rPr>
                <w:rFonts w:ascii="Arial" w:hAnsi="Arial" w:cs="Arial"/>
                <w:color w:val="000000"/>
                <w:sz w:val="20"/>
                <w:szCs w:val="20"/>
                <w:lang w:eastAsia="en-AU"/>
              </w:rPr>
              <w:t>Yes</w:t>
            </w:r>
          </w:p>
        </w:tc>
        <w:tc>
          <w:tcPr>
            <w:tcW w:w="1208" w:type="dxa"/>
            <w:tcBorders>
              <w:top w:val="single" w:sz="4" w:space="0" w:color="auto"/>
              <w:left w:val="single" w:sz="18" w:space="0" w:color="auto"/>
              <w:bottom w:val="single" w:sz="4" w:space="0" w:color="auto"/>
              <w:right w:val="single" w:sz="18" w:space="0" w:color="auto"/>
            </w:tcBorders>
          </w:tcPr>
          <w:p w:rsidR="000A41BF" w:rsidRPr="00D621BB" w:rsidRDefault="000A41BF" w:rsidP="00DF02AA">
            <w:pPr>
              <w:rPr>
                <w:rFonts w:ascii="Arial" w:hAnsi="Arial" w:cs="Arial"/>
                <w:color w:val="000000"/>
                <w:sz w:val="20"/>
                <w:szCs w:val="20"/>
                <w:lang w:eastAsia="en-AU"/>
              </w:rPr>
            </w:pPr>
            <w:r>
              <w:rPr>
                <w:rFonts w:ascii="Arial" w:hAnsi="Arial" w:cs="Arial"/>
                <w:color w:val="000000"/>
                <w:sz w:val="20"/>
                <w:szCs w:val="20"/>
                <w:lang w:eastAsia="en-AU"/>
              </w:rPr>
              <w:t>No</w:t>
            </w:r>
          </w:p>
        </w:tc>
        <w:tc>
          <w:tcPr>
            <w:tcW w:w="5671" w:type="dxa"/>
            <w:tcBorders>
              <w:top w:val="single" w:sz="4" w:space="0" w:color="auto"/>
              <w:left w:val="single" w:sz="18" w:space="0" w:color="auto"/>
              <w:bottom w:val="single" w:sz="4" w:space="0" w:color="auto"/>
              <w:right w:val="single" w:sz="18" w:space="0" w:color="auto"/>
            </w:tcBorders>
            <w:shd w:val="clear" w:color="auto" w:fill="auto"/>
            <w:noWrap/>
          </w:tcPr>
          <w:p w:rsidR="000A41BF" w:rsidRPr="00D621BB" w:rsidRDefault="000A41BF" w:rsidP="00DF02AA">
            <w:pPr>
              <w:rPr>
                <w:rFonts w:ascii="Arial" w:hAnsi="Arial" w:cs="Arial"/>
                <w:color w:val="000000"/>
                <w:sz w:val="20"/>
                <w:szCs w:val="20"/>
                <w:lang w:eastAsia="en-AU"/>
              </w:rPr>
            </w:pPr>
          </w:p>
        </w:tc>
      </w:tr>
      <w:tr w:rsidR="000A41BF" w:rsidRPr="00D621BB" w:rsidTr="00DF02AA">
        <w:trPr>
          <w:cantSplit/>
          <w:trHeight w:val="300"/>
        </w:trPr>
        <w:tc>
          <w:tcPr>
            <w:tcW w:w="2425" w:type="dxa"/>
            <w:vMerge/>
            <w:tcBorders>
              <w:left w:val="single" w:sz="18" w:space="0" w:color="auto"/>
              <w:right w:val="single" w:sz="18" w:space="0" w:color="auto"/>
            </w:tcBorders>
            <w:vAlign w:val="center"/>
          </w:tcPr>
          <w:p w:rsidR="000A41BF" w:rsidRPr="00D621BB" w:rsidRDefault="000A41BF" w:rsidP="00DF02AA">
            <w:pPr>
              <w:rPr>
                <w:rFonts w:ascii="Arial" w:hAnsi="Arial" w:cs="Arial"/>
                <w:color w:val="000000"/>
                <w:sz w:val="20"/>
                <w:szCs w:val="20"/>
                <w:lang w:eastAsia="en-AU"/>
              </w:rPr>
            </w:pPr>
          </w:p>
        </w:tc>
        <w:tc>
          <w:tcPr>
            <w:tcW w:w="2976" w:type="dxa"/>
            <w:tcBorders>
              <w:top w:val="single" w:sz="4" w:space="0" w:color="auto"/>
              <w:left w:val="single" w:sz="18" w:space="0" w:color="auto"/>
              <w:bottom w:val="single" w:sz="4" w:space="0" w:color="auto"/>
              <w:right w:val="single" w:sz="18" w:space="0" w:color="auto"/>
            </w:tcBorders>
            <w:shd w:val="clear" w:color="auto" w:fill="auto"/>
            <w:noWrap/>
          </w:tcPr>
          <w:p w:rsidR="000A41BF" w:rsidRPr="00D621BB" w:rsidRDefault="000A41BF" w:rsidP="00DF02AA">
            <w:pPr>
              <w:rPr>
                <w:rFonts w:ascii="Arial" w:eastAsia="Arial" w:hAnsi="Arial" w:cs="Arial"/>
                <w:color w:val="000000"/>
                <w:sz w:val="20"/>
                <w:szCs w:val="20"/>
                <w:lang w:eastAsia="en-AU"/>
              </w:rPr>
            </w:pPr>
            <w:r w:rsidRPr="00D621BB">
              <w:rPr>
                <w:rFonts w:ascii="Arial" w:eastAsia="Arial" w:hAnsi="Arial" w:cs="Arial"/>
                <w:color w:val="000000"/>
                <w:sz w:val="20"/>
                <w:szCs w:val="20"/>
                <w:lang w:eastAsia="en-AU"/>
              </w:rPr>
              <w:t>AMC Oil and Gas</w:t>
            </w:r>
          </w:p>
        </w:tc>
        <w:tc>
          <w:tcPr>
            <w:tcW w:w="1560" w:type="dxa"/>
            <w:tcBorders>
              <w:top w:val="single" w:sz="4" w:space="0" w:color="auto"/>
              <w:left w:val="single" w:sz="18" w:space="0" w:color="auto"/>
              <w:bottom w:val="single" w:sz="4" w:space="0" w:color="auto"/>
              <w:right w:val="single" w:sz="18" w:space="0" w:color="auto"/>
            </w:tcBorders>
          </w:tcPr>
          <w:p w:rsidR="000A41BF" w:rsidRPr="00D621BB" w:rsidRDefault="000A41BF" w:rsidP="00DF02AA">
            <w:pPr>
              <w:rPr>
                <w:rFonts w:ascii="Arial" w:hAnsi="Arial" w:cs="Arial"/>
                <w:color w:val="000000"/>
                <w:sz w:val="20"/>
                <w:szCs w:val="20"/>
                <w:lang w:eastAsia="en-AU"/>
              </w:rPr>
            </w:pPr>
            <w:r>
              <w:rPr>
                <w:rFonts w:ascii="Arial" w:hAnsi="Arial" w:cs="Arial"/>
                <w:color w:val="000000"/>
                <w:sz w:val="20"/>
                <w:szCs w:val="20"/>
                <w:lang w:eastAsia="en-AU"/>
              </w:rPr>
              <w:t>Yes</w:t>
            </w:r>
          </w:p>
        </w:tc>
        <w:tc>
          <w:tcPr>
            <w:tcW w:w="1208" w:type="dxa"/>
            <w:tcBorders>
              <w:top w:val="single" w:sz="4" w:space="0" w:color="auto"/>
              <w:left w:val="single" w:sz="18" w:space="0" w:color="auto"/>
              <w:bottom w:val="single" w:sz="4" w:space="0" w:color="auto"/>
              <w:right w:val="single" w:sz="18" w:space="0" w:color="auto"/>
            </w:tcBorders>
          </w:tcPr>
          <w:p w:rsidR="000A41BF" w:rsidRPr="00D621BB" w:rsidRDefault="000A41BF" w:rsidP="00DF02AA">
            <w:pPr>
              <w:rPr>
                <w:rFonts w:ascii="Arial" w:hAnsi="Arial" w:cs="Arial"/>
                <w:color w:val="000000"/>
                <w:sz w:val="20"/>
                <w:szCs w:val="20"/>
                <w:lang w:eastAsia="en-AU"/>
              </w:rPr>
            </w:pPr>
            <w:r>
              <w:rPr>
                <w:rFonts w:ascii="Arial" w:hAnsi="Arial" w:cs="Arial"/>
                <w:color w:val="000000"/>
                <w:sz w:val="20"/>
                <w:szCs w:val="20"/>
                <w:lang w:eastAsia="en-AU"/>
              </w:rPr>
              <w:t>No</w:t>
            </w:r>
          </w:p>
        </w:tc>
        <w:tc>
          <w:tcPr>
            <w:tcW w:w="5671" w:type="dxa"/>
            <w:tcBorders>
              <w:top w:val="single" w:sz="4" w:space="0" w:color="auto"/>
              <w:left w:val="single" w:sz="18" w:space="0" w:color="auto"/>
              <w:bottom w:val="single" w:sz="4" w:space="0" w:color="auto"/>
              <w:right w:val="single" w:sz="18" w:space="0" w:color="auto"/>
            </w:tcBorders>
            <w:shd w:val="clear" w:color="auto" w:fill="auto"/>
            <w:noWrap/>
          </w:tcPr>
          <w:p w:rsidR="000A41BF" w:rsidRPr="00D621BB" w:rsidRDefault="000A41BF" w:rsidP="00DF02AA">
            <w:pPr>
              <w:rPr>
                <w:rFonts w:ascii="Arial" w:hAnsi="Arial" w:cs="Arial"/>
                <w:color w:val="000000"/>
                <w:sz w:val="20"/>
                <w:szCs w:val="20"/>
                <w:lang w:eastAsia="en-AU"/>
              </w:rPr>
            </w:pPr>
            <w:r>
              <w:rPr>
                <w:rFonts w:ascii="Arial" w:hAnsi="Arial" w:cs="Arial"/>
                <w:color w:val="000000"/>
                <w:sz w:val="20"/>
                <w:szCs w:val="20"/>
                <w:lang w:eastAsia="en-AU"/>
              </w:rPr>
              <w:t xml:space="preserve">Presence in Perth Basin only. </w:t>
            </w:r>
          </w:p>
        </w:tc>
      </w:tr>
      <w:tr w:rsidR="000A41BF" w:rsidRPr="00D621BB" w:rsidTr="00DF02AA">
        <w:trPr>
          <w:cantSplit/>
          <w:trHeight w:val="300"/>
        </w:trPr>
        <w:tc>
          <w:tcPr>
            <w:tcW w:w="2425" w:type="dxa"/>
            <w:vMerge/>
            <w:tcBorders>
              <w:left w:val="single" w:sz="18" w:space="0" w:color="auto"/>
              <w:right w:val="single" w:sz="18" w:space="0" w:color="auto"/>
            </w:tcBorders>
            <w:vAlign w:val="center"/>
          </w:tcPr>
          <w:p w:rsidR="000A41BF" w:rsidRPr="00D621BB" w:rsidRDefault="000A41BF" w:rsidP="00DF02AA">
            <w:pPr>
              <w:rPr>
                <w:rFonts w:ascii="Arial" w:hAnsi="Arial" w:cs="Arial"/>
                <w:color w:val="000000"/>
                <w:sz w:val="20"/>
                <w:szCs w:val="20"/>
                <w:lang w:eastAsia="en-AU"/>
              </w:rPr>
            </w:pPr>
          </w:p>
        </w:tc>
        <w:tc>
          <w:tcPr>
            <w:tcW w:w="2976" w:type="dxa"/>
            <w:tcBorders>
              <w:top w:val="single" w:sz="4" w:space="0" w:color="auto"/>
              <w:left w:val="single" w:sz="18" w:space="0" w:color="auto"/>
              <w:bottom w:val="single" w:sz="4" w:space="0" w:color="auto"/>
              <w:right w:val="single" w:sz="18" w:space="0" w:color="auto"/>
            </w:tcBorders>
            <w:shd w:val="clear" w:color="auto" w:fill="auto"/>
            <w:noWrap/>
          </w:tcPr>
          <w:p w:rsidR="000A41BF" w:rsidRPr="00D621BB" w:rsidRDefault="000A41BF" w:rsidP="00DF02AA">
            <w:pPr>
              <w:rPr>
                <w:rFonts w:ascii="Arial" w:eastAsia="Arial" w:hAnsi="Arial" w:cs="Arial"/>
                <w:color w:val="000000"/>
                <w:sz w:val="20"/>
                <w:szCs w:val="20"/>
                <w:lang w:eastAsia="en-AU"/>
              </w:rPr>
            </w:pPr>
            <w:r>
              <w:rPr>
                <w:rFonts w:ascii="Arial" w:eastAsia="Arial" w:hAnsi="Arial" w:cs="Arial"/>
                <w:color w:val="000000"/>
                <w:sz w:val="20"/>
                <w:szCs w:val="20"/>
                <w:lang w:eastAsia="en-AU"/>
              </w:rPr>
              <w:t>Step Oil Tools</w:t>
            </w:r>
          </w:p>
        </w:tc>
        <w:tc>
          <w:tcPr>
            <w:tcW w:w="1560" w:type="dxa"/>
            <w:tcBorders>
              <w:top w:val="single" w:sz="4" w:space="0" w:color="auto"/>
              <w:left w:val="single" w:sz="18" w:space="0" w:color="auto"/>
              <w:bottom w:val="single" w:sz="4" w:space="0" w:color="auto"/>
              <w:right w:val="single" w:sz="18" w:space="0" w:color="auto"/>
            </w:tcBorders>
          </w:tcPr>
          <w:p w:rsidR="000A41BF" w:rsidRDefault="000A41BF" w:rsidP="00DF02AA">
            <w:pPr>
              <w:rPr>
                <w:rFonts w:ascii="Arial" w:hAnsi="Arial" w:cs="Arial"/>
                <w:color w:val="000000"/>
                <w:sz w:val="20"/>
                <w:szCs w:val="20"/>
                <w:lang w:eastAsia="en-AU"/>
              </w:rPr>
            </w:pPr>
            <w:r>
              <w:rPr>
                <w:rFonts w:ascii="Arial" w:hAnsi="Arial" w:cs="Arial"/>
                <w:color w:val="000000"/>
                <w:sz w:val="20"/>
                <w:szCs w:val="20"/>
                <w:lang w:eastAsia="en-AU"/>
              </w:rPr>
              <w:t>Yes</w:t>
            </w:r>
          </w:p>
        </w:tc>
        <w:tc>
          <w:tcPr>
            <w:tcW w:w="1208" w:type="dxa"/>
            <w:tcBorders>
              <w:top w:val="single" w:sz="4" w:space="0" w:color="auto"/>
              <w:left w:val="single" w:sz="18" w:space="0" w:color="auto"/>
              <w:bottom w:val="single" w:sz="4" w:space="0" w:color="auto"/>
              <w:right w:val="single" w:sz="18" w:space="0" w:color="auto"/>
            </w:tcBorders>
          </w:tcPr>
          <w:p w:rsidR="000A41BF" w:rsidRPr="00D621BB" w:rsidRDefault="000A41BF" w:rsidP="00DF02AA">
            <w:pPr>
              <w:rPr>
                <w:rFonts w:ascii="Arial" w:hAnsi="Arial" w:cs="Arial"/>
                <w:color w:val="000000"/>
                <w:sz w:val="20"/>
                <w:szCs w:val="20"/>
                <w:lang w:eastAsia="en-AU"/>
              </w:rPr>
            </w:pPr>
            <w:r>
              <w:rPr>
                <w:rFonts w:ascii="Arial" w:hAnsi="Arial" w:cs="Arial"/>
                <w:color w:val="000000"/>
                <w:sz w:val="20"/>
                <w:szCs w:val="20"/>
                <w:lang w:eastAsia="en-AU"/>
              </w:rPr>
              <w:t>No</w:t>
            </w:r>
          </w:p>
        </w:tc>
        <w:tc>
          <w:tcPr>
            <w:tcW w:w="5671" w:type="dxa"/>
            <w:tcBorders>
              <w:top w:val="single" w:sz="4" w:space="0" w:color="auto"/>
              <w:left w:val="single" w:sz="18" w:space="0" w:color="auto"/>
              <w:bottom w:val="single" w:sz="4" w:space="0" w:color="auto"/>
              <w:right w:val="single" w:sz="18" w:space="0" w:color="auto"/>
            </w:tcBorders>
            <w:shd w:val="clear" w:color="auto" w:fill="auto"/>
            <w:noWrap/>
          </w:tcPr>
          <w:p w:rsidR="000A41BF" w:rsidRPr="00D621BB" w:rsidRDefault="000A41BF" w:rsidP="00DF02AA">
            <w:pPr>
              <w:rPr>
                <w:rFonts w:ascii="Arial" w:hAnsi="Arial" w:cs="Arial"/>
                <w:color w:val="000000"/>
                <w:sz w:val="20"/>
                <w:szCs w:val="20"/>
                <w:lang w:eastAsia="en-AU"/>
              </w:rPr>
            </w:pPr>
          </w:p>
        </w:tc>
      </w:tr>
      <w:tr w:rsidR="000A41BF" w:rsidRPr="00D621BB" w:rsidTr="00DF02AA">
        <w:trPr>
          <w:cantSplit/>
          <w:trHeight w:val="300"/>
        </w:trPr>
        <w:tc>
          <w:tcPr>
            <w:tcW w:w="2425" w:type="dxa"/>
            <w:vMerge/>
            <w:tcBorders>
              <w:left w:val="single" w:sz="18" w:space="0" w:color="auto"/>
              <w:right w:val="single" w:sz="18" w:space="0" w:color="auto"/>
            </w:tcBorders>
            <w:vAlign w:val="center"/>
          </w:tcPr>
          <w:p w:rsidR="000A41BF" w:rsidRPr="00D621BB" w:rsidRDefault="000A41BF" w:rsidP="00DF02AA">
            <w:pPr>
              <w:rPr>
                <w:rFonts w:ascii="Arial" w:hAnsi="Arial" w:cs="Arial"/>
                <w:color w:val="000000"/>
                <w:sz w:val="20"/>
                <w:szCs w:val="20"/>
                <w:lang w:eastAsia="en-AU"/>
              </w:rPr>
            </w:pPr>
          </w:p>
        </w:tc>
        <w:tc>
          <w:tcPr>
            <w:tcW w:w="2976" w:type="dxa"/>
            <w:tcBorders>
              <w:top w:val="single" w:sz="4" w:space="0" w:color="auto"/>
              <w:left w:val="single" w:sz="18" w:space="0" w:color="auto"/>
              <w:bottom w:val="single" w:sz="4" w:space="0" w:color="auto"/>
              <w:right w:val="single" w:sz="18" w:space="0" w:color="auto"/>
            </w:tcBorders>
            <w:shd w:val="clear" w:color="auto" w:fill="auto"/>
            <w:noWrap/>
          </w:tcPr>
          <w:p w:rsidR="000A41BF" w:rsidRPr="00D621BB" w:rsidRDefault="000A41BF" w:rsidP="00DF02AA">
            <w:pPr>
              <w:rPr>
                <w:rFonts w:ascii="Arial" w:eastAsia="Arial" w:hAnsi="Arial" w:cs="Arial"/>
                <w:color w:val="000000"/>
                <w:sz w:val="20"/>
                <w:szCs w:val="20"/>
                <w:lang w:eastAsia="en-AU"/>
              </w:rPr>
            </w:pPr>
            <w:r>
              <w:rPr>
                <w:rFonts w:ascii="Arial" w:eastAsia="Arial" w:hAnsi="Arial" w:cs="Arial"/>
                <w:color w:val="000000"/>
                <w:sz w:val="20"/>
                <w:szCs w:val="20"/>
                <w:lang w:eastAsia="en-AU"/>
              </w:rPr>
              <w:t xml:space="preserve">Axiom </w:t>
            </w:r>
          </w:p>
        </w:tc>
        <w:tc>
          <w:tcPr>
            <w:tcW w:w="1560" w:type="dxa"/>
            <w:tcBorders>
              <w:top w:val="single" w:sz="4" w:space="0" w:color="auto"/>
              <w:left w:val="single" w:sz="18" w:space="0" w:color="auto"/>
              <w:bottom w:val="single" w:sz="4" w:space="0" w:color="auto"/>
              <w:right w:val="single" w:sz="18" w:space="0" w:color="auto"/>
            </w:tcBorders>
          </w:tcPr>
          <w:p w:rsidR="000A41BF" w:rsidRDefault="000A41BF" w:rsidP="00DF02AA">
            <w:pPr>
              <w:rPr>
                <w:rFonts w:ascii="Arial" w:hAnsi="Arial" w:cs="Arial"/>
                <w:color w:val="000000"/>
                <w:sz w:val="20"/>
                <w:szCs w:val="20"/>
                <w:lang w:eastAsia="en-AU"/>
              </w:rPr>
            </w:pPr>
            <w:r>
              <w:rPr>
                <w:rFonts w:ascii="Arial" w:hAnsi="Arial" w:cs="Arial"/>
                <w:color w:val="000000"/>
                <w:sz w:val="20"/>
                <w:szCs w:val="20"/>
                <w:lang w:eastAsia="en-AU"/>
              </w:rPr>
              <w:t>Yes</w:t>
            </w:r>
          </w:p>
        </w:tc>
        <w:tc>
          <w:tcPr>
            <w:tcW w:w="1208" w:type="dxa"/>
            <w:tcBorders>
              <w:top w:val="single" w:sz="4" w:space="0" w:color="auto"/>
              <w:left w:val="single" w:sz="18" w:space="0" w:color="auto"/>
              <w:bottom w:val="single" w:sz="4" w:space="0" w:color="auto"/>
              <w:right w:val="single" w:sz="18" w:space="0" w:color="auto"/>
            </w:tcBorders>
          </w:tcPr>
          <w:p w:rsidR="000A41BF" w:rsidRPr="00D621BB" w:rsidRDefault="000A41BF" w:rsidP="00DF02AA">
            <w:pPr>
              <w:rPr>
                <w:rFonts w:ascii="Arial" w:hAnsi="Arial" w:cs="Arial"/>
                <w:color w:val="000000"/>
                <w:sz w:val="20"/>
                <w:szCs w:val="20"/>
                <w:lang w:eastAsia="en-AU"/>
              </w:rPr>
            </w:pPr>
            <w:r>
              <w:rPr>
                <w:rFonts w:ascii="Arial" w:hAnsi="Arial" w:cs="Arial"/>
                <w:color w:val="000000"/>
                <w:sz w:val="20"/>
                <w:szCs w:val="20"/>
                <w:lang w:eastAsia="en-AU"/>
              </w:rPr>
              <w:t>No</w:t>
            </w:r>
          </w:p>
        </w:tc>
        <w:tc>
          <w:tcPr>
            <w:tcW w:w="5671" w:type="dxa"/>
            <w:tcBorders>
              <w:top w:val="single" w:sz="4" w:space="0" w:color="auto"/>
              <w:left w:val="single" w:sz="18" w:space="0" w:color="auto"/>
              <w:bottom w:val="single" w:sz="4" w:space="0" w:color="auto"/>
              <w:right w:val="single" w:sz="18" w:space="0" w:color="auto"/>
            </w:tcBorders>
            <w:shd w:val="clear" w:color="auto" w:fill="auto"/>
            <w:noWrap/>
          </w:tcPr>
          <w:p w:rsidR="000A41BF" w:rsidRPr="00D621BB" w:rsidRDefault="000A41BF" w:rsidP="00DF02AA">
            <w:pPr>
              <w:rPr>
                <w:rFonts w:ascii="Arial" w:hAnsi="Arial" w:cs="Arial"/>
                <w:color w:val="000000"/>
                <w:sz w:val="20"/>
                <w:szCs w:val="20"/>
                <w:lang w:eastAsia="en-AU"/>
              </w:rPr>
            </w:pPr>
          </w:p>
        </w:tc>
      </w:tr>
      <w:tr w:rsidR="000A41BF" w:rsidRPr="00D621BB" w:rsidTr="00DF02AA">
        <w:trPr>
          <w:cantSplit/>
          <w:trHeight w:val="300"/>
        </w:trPr>
        <w:tc>
          <w:tcPr>
            <w:tcW w:w="2425" w:type="dxa"/>
            <w:vMerge/>
            <w:tcBorders>
              <w:left w:val="single" w:sz="18" w:space="0" w:color="auto"/>
              <w:right w:val="single" w:sz="18" w:space="0" w:color="auto"/>
            </w:tcBorders>
            <w:vAlign w:val="center"/>
          </w:tcPr>
          <w:p w:rsidR="000A41BF" w:rsidRPr="00D621BB" w:rsidRDefault="000A41BF" w:rsidP="00DF02AA">
            <w:pPr>
              <w:rPr>
                <w:rFonts w:ascii="Arial" w:hAnsi="Arial" w:cs="Arial"/>
                <w:color w:val="000000"/>
                <w:sz w:val="20"/>
                <w:szCs w:val="20"/>
                <w:lang w:eastAsia="en-AU"/>
              </w:rPr>
            </w:pPr>
          </w:p>
        </w:tc>
        <w:tc>
          <w:tcPr>
            <w:tcW w:w="2976" w:type="dxa"/>
            <w:tcBorders>
              <w:top w:val="single" w:sz="4" w:space="0" w:color="auto"/>
              <w:left w:val="single" w:sz="18" w:space="0" w:color="auto"/>
              <w:bottom w:val="single" w:sz="4" w:space="0" w:color="auto"/>
              <w:right w:val="single" w:sz="18" w:space="0" w:color="auto"/>
            </w:tcBorders>
            <w:shd w:val="clear" w:color="auto" w:fill="auto"/>
            <w:noWrap/>
          </w:tcPr>
          <w:p w:rsidR="000A41BF" w:rsidRPr="00D621BB" w:rsidRDefault="000A41BF" w:rsidP="00DF02AA">
            <w:pPr>
              <w:rPr>
                <w:rFonts w:ascii="Arial" w:eastAsia="Arial" w:hAnsi="Arial" w:cs="Arial"/>
                <w:color w:val="000000"/>
                <w:sz w:val="20"/>
                <w:szCs w:val="20"/>
                <w:lang w:eastAsia="en-AU"/>
              </w:rPr>
            </w:pPr>
            <w:r>
              <w:rPr>
                <w:rFonts w:ascii="Arial" w:eastAsia="Arial" w:hAnsi="Arial" w:cs="Arial"/>
                <w:color w:val="000000"/>
                <w:sz w:val="20"/>
                <w:szCs w:val="20"/>
                <w:lang w:eastAsia="en-AU"/>
              </w:rPr>
              <w:t>Derrick</w:t>
            </w:r>
          </w:p>
        </w:tc>
        <w:tc>
          <w:tcPr>
            <w:tcW w:w="1560" w:type="dxa"/>
            <w:tcBorders>
              <w:top w:val="single" w:sz="4" w:space="0" w:color="auto"/>
              <w:left w:val="single" w:sz="18" w:space="0" w:color="auto"/>
              <w:bottom w:val="single" w:sz="4" w:space="0" w:color="auto"/>
              <w:right w:val="single" w:sz="18" w:space="0" w:color="auto"/>
            </w:tcBorders>
          </w:tcPr>
          <w:p w:rsidR="000A41BF" w:rsidRDefault="000A41BF" w:rsidP="00DF02AA">
            <w:pPr>
              <w:rPr>
                <w:rFonts w:ascii="Arial" w:hAnsi="Arial" w:cs="Arial"/>
                <w:color w:val="000000"/>
                <w:sz w:val="20"/>
                <w:szCs w:val="20"/>
                <w:lang w:eastAsia="en-AU"/>
              </w:rPr>
            </w:pPr>
            <w:r>
              <w:rPr>
                <w:rFonts w:ascii="Arial" w:hAnsi="Arial" w:cs="Arial"/>
                <w:color w:val="000000"/>
                <w:sz w:val="20"/>
                <w:szCs w:val="20"/>
                <w:lang w:eastAsia="en-AU"/>
              </w:rPr>
              <w:t>Yes</w:t>
            </w:r>
          </w:p>
        </w:tc>
        <w:tc>
          <w:tcPr>
            <w:tcW w:w="1208" w:type="dxa"/>
            <w:tcBorders>
              <w:top w:val="single" w:sz="4" w:space="0" w:color="auto"/>
              <w:left w:val="single" w:sz="18" w:space="0" w:color="auto"/>
              <w:bottom w:val="single" w:sz="4" w:space="0" w:color="auto"/>
              <w:right w:val="single" w:sz="18" w:space="0" w:color="auto"/>
            </w:tcBorders>
          </w:tcPr>
          <w:p w:rsidR="000A41BF" w:rsidRPr="00D621BB" w:rsidRDefault="000A41BF" w:rsidP="00DF02AA">
            <w:pPr>
              <w:rPr>
                <w:rFonts w:ascii="Arial" w:hAnsi="Arial" w:cs="Arial"/>
                <w:color w:val="000000"/>
                <w:sz w:val="20"/>
                <w:szCs w:val="20"/>
                <w:lang w:eastAsia="en-AU"/>
              </w:rPr>
            </w:pPr>
            <w:r>
              <w:rPr>
                <w:rFonts w:ascii="Arial" w:hAnsi="Arial" w:cs="Arial"/>
                <w:color w:val="000000"/>
                <w:sz w:val="20"/>
                <w:szCs w:val="20"/>
                <w:lang w:eastAsia="en-AU"/>
              </w:rPr>
              <w:t>No</w:t>
            </w:r>
          </w:p>
        </w:tc>
        <w:tc>
          <w:tcPr>
            <w:tcW w:w="5671" w:type="dxa"/>
            <w:tcBorders>
              <w:top w:val="single" w:sz="4" w:space="0" w:color="auto"/>
              <w:left w:val="single" w:sz="18" w:space="0" w:color="auto"/>
              <w:bottom w:val="single" w:sz="4" w:space="0" w:color="auto"/>
              <w:right w:val="single" w:sz="18" w:space="0" w:color="auto"/>
            </w:tcBorders>
            <w:shd w:val="clear" w:color="auto" w:fill="auto"/>
            <w:noWrap/>
          </w:tcPr>
          <w:p w:rsidR="000A41BF" w:rsidRPr="00D621BB" w:rsidRDefault="000A41BF" w:rsidP="00DF02AA">
            <w:pPr>
              <w:rPr>
                <w:rFonts w:ascii="Arial" w:hAnsi="Arial" w:cs="Arial"/>
                <w:color w:val="000000"/>
                <w:sz w:val="20"/>
                <w:szCs w:val="20"/>
                <w:lang w:eastAsia="en-AU"/>
              </w:rPr>
            </w:pPr>
          </w:p>
        </w:tc>
      </w:tr>
      <w:tr w:rsidR="000A41BF" w:rsidRPr="00D621BB" w:rsidTr="00E4500A">
        <w:trPr>
          <w:cantSplit/>
          <w:trHeight w:val="300"/>
        </w:trPr>
        <w:tc>
          <w:tcPr>
            <w:tcW w:w="2425" w:type="dxa"/>
            <w:vMerge/>
            <w:tcBorders>
              <w:left w:val="single" w:sz="18" w:space="0" w:color="auto"/>
              <w:bottom w:val="single" w:sz="18" w:space="0" w:color="auto"/>
              <w:right w:val="single" w:sz="18" w:space="0" w:color="auto"/>
            </w:tcBorders>
            <w:vAlign w:val="center"/>
          </w:tcPr>
          <w:p w:rsidR="000A41BF" w:rsidRPr="00D621BB" w:rsidRDefault="000A41BF" w:rsidP="00DF02AA">
            <w:pPr>
              <w:rPr>
                <w:rFonts w:ascii="Arial" w:hAnsi="Arial" w:cs="Arial"/>
                <w:color w:val="000000"/>
                <w:sz w:val="20"/>
                <w:szCs w:val="20"/>
                <w:lang w:eastAsia="en-AU"/>
              </w:rPr>
            </w:pPr>
          </w:p>
        </w:tc>
        <w:tc>
          <w:tcPr>
            <w:tcW w:w="2976" w:type="dxa"/>
            <w:tcBorders>
              <w:top w:val="single" w:sz="4" w:space="0" w:color="auto"/>
              <w:left w:val="single" w:sz="18" w:space="0" w:color="auto"/>
              <w:bottom w:val="single" w:sz="18" w:space="0" w:color="auto"/>
              <w:right w:val="single" w:sz="18" w:space="0" w:color="auto"/>
            </w:tcBorders>
            <w:shd w:val="clear" w:color="auto" w:fill="auto"/>
            <w:noWrap/>
          </w:tcPr>
          <w:p w:rsidR="000A41BF" w:rsidRDefault="000A41BF" w:rsidP="00DF02AA">
            <w:pPr>
              <w:rPr>
                <w:rFonts w:ascii="Arial" w:eastAsia="Arial" w:hAnsi="Arial" w:cs="Arial"/>
                <w:color w:val="000000"/>
                <w:sz w:val="20"/>
                <w:szCs w:val="20"/>
                <w:lang w:eastAsia="en-AU"/>
              </w:rPr>
            </w:pPr>
            <w:proofErr w:type="spellStart"/>
            <w:r>
              <w:rPr>
                <w:rFonts w:ascii="Arial" w:eastAsia="Arial" w:hAnsi="Arial" w:cs="Arial"/>
                <w:color w:val="000000"/>
                <w:sz w:val="20"/>
                <w:szCs w:val="20"/>
                <w:lang w:eastAsia="en-AU"/>
              </w:rPr>
              <w:t>NewPark</w:t>
            </w:r>
            <w:proofErr w:type="spellEnd"/>
          </w:p>
        </w:tc>
        <w:tc>
          <w:tcPr>
            <w:tcW w:w="1560" w:type="dxa"/>
            <w:tcBorders>
              <w:top w:val="single" w:sz="4" w:space="0" w:color="auto"/>
              <w:left w:val="single" w:sz="18" w:space="0" w:color="auto"/>
              <w:bottom w:val="single" w:sz="18" w:space="0" w:color="auto"/>
              <w:right w:val="single" w:sz="18" w:space="0" w:color="auto"/>
            </w:tcBorders>
          </w:tcPr>
          <w:p w:rsidR="000A41BF" w:rsidRDefault="000A41BF" w:rsidP="00DF02AA">
            <w:pPr>
              <w:rPr>
                <w:rFonts w:ascii="Arial" w:hAnsi="Arial" w:cs="Arial"/>
                <w:color w:val="000000"/>
                <w:sz w:val="20"/>
                <w:szCs w:val="20"/>
                <w:lang w:eastAsia="en-AU"/>
              </w:rPr>
            </w:pPr>
            <w:r>
              <w:rPr>
                <w:rFonts w:ascii="Arial" w:hAnsi="Arial" w:cs="Arial"/>
                <w:color w:val="000000"/>
                <w:sz w:val="20"/>
                <w:szCs w:val="20"/>
                <w:lang w:eastAsia="en-AU"/>
              </w:rPr>
              <w:t xml:space="preserve">Yes </w:t>
            </w:r>
          </w:p>
        </w:tc>
        <w:tc>
          <w:tcPr>
            <w:tcW w:w="1208" w:type="dxa"/>
            <w:tcBorders>
              <w:top w:val="single" w:sz="4" w:space="0" w:color="auto"/>
              <w:left w:val="single" w:sz="18" w:space="0" w:color="auto"/>
              <w:bottom w:val="single" w:sz="18" w:space="0" w:color="auto"/>
              <w:right w:val="single" w:sz="18" w:space="0" w:color="auto"/>
            </w:tcBorders>
          </w:tcPr>
          <w:p w:rsidR="000A41BF" w:rsidRDefault="000A41BF" w:rsidP="00DF02AA">
            <w:pPr>
              <w:rPr>
                <w:rFonts w:ascii="Arial" w:hAnsi="Arial" w:cs="Arial"/>
                <w:color w:val="000000"/>
                <w:sz w:val="20"/>
                <w:szCs w:val="20"/>
                <w:lang w:eastAsia="en-AU"/>
              </w:rPr>
            </w:pPr>
            <w:r>
              <w:rPr>
                <w:rFonts w:ascii="Arial" w:hAnsi="Arial" w:cs="Arial"/>
                <w:color w:val="000000"/>
                <w:sz w:val="20"/>
                <w:szCs w:val="20"/>
                <w:lang w:eastAsia="en-AU"/>
              </w:rPr>
              <w:t>No</w:t>
            </w:r>
          </w:p>
        </w:tc>
        <w:tc>
          <w:tcPr>
            <w:tcW w:w="5671" w:type="dxa"/>
            <w:tcBorders>
              <w:top w:val="single" w:sz="4" w:space="0" w:color="auto"/>
              <w:left w:val="single" w:sz="18" w:space="0" w:color="auto"/>
              <w:bottom w:val="single" w:sz="18" w:space="0" w:color="auto"/>
              <w:right w:val="single" w:sz="18" w:space="0" w:color="auto"/>
            </w:tcBorders>
            <w:shd w:val="clear" w:color="auto" w:fill="auto"/>
            <w:noWrap/>
          </w:tcPr>
          <w:p w:rsidR="000A41BF" w:rsidRPr="00D621BB" w:rsidRDefault="000A41BF" w:rsidP="00DF02AA">
            <w:pPr>
              <w:rPr>
                <w:rFonts w:ascii="Arial" w:hAnsi="Arial" w:cs="Arial"/>
                <w:color w:val="000000"/>
                <w:sz w:val="20"/>
                <w:szCs w:val="20"/>
                <w:lang w:eastAsia="en-AU"/>
              </w:rPr>
            </w:pPr>
            <w:r>
              <w:rPr>
                <w:rFonts w:ascii="Arial" w:hAnsi="Arial" w:cs="Arial"/>
                <w:color w:val="000000"/>
                <w:sz w:val="20"/>
                <w:szCs w:val="20"/>
                <w:lang w:eastAsia="en-AU"/>
              </w:rPr>
              <w:t xml:space="preserve">Presence in the Northern Territory only. </w:t>
            </w:r>
          </w:p>
        </w:tc>
      </w:tr>
      <w:tr w:rsidR="000A41BF" w:rsidRPr="00D621BB" w:rsidTr="00E4500A">
        <w:trPr>
          <w:cantSplit/>
          <w:trHeight w:val="300"/>
        </w:trPr>
        <w:tc>
          <w:tcPr>
            <w:tcW w:w="2425" w:type="dxa"/>
            <w:vMerge w:val="restart"/>
            <w:tcBorders>
              <w:top w:val="single" w:sz="18" w:space="0" w:color="auto"/>
              <w:left w:val="single" w:sz="18" w:space="0" w:color="auto"/>
              <w:right w:val="single" w:sz="18" w:space="0" w:color="auto"/>
            </w:tcBorders>
          </w:tcPr>
          <w:p w:rsidR="000A41BF" w:rsidRPr="00D621BB" w:rsidRDefault="000A41BF">
            <w:pPr>
              <w:rPr>
                <w:rFonts w:ascii="Arial" w:hAnsi="Arial" w:cs="Arial"/>
                <w:color w:val="000000"/>
                <w:sz w:val="20"/>
                <w:szCs w:val="20"/>
                <w:lang w:eastAsia="en-AU"/>
              </w:rPr>
            </w:pPr>
            <w:r>
              <w:rPr>
                <w:rFonts w:ascii="Arial" w:hAnsi="Arial" w:cs="Arial"/>
                <w:color w:val="000000"/>
                <w:sz w:val="20"/>
                <w:szCs w:val="20"/>
                <w:lang w:eastAsia="en-AU"/>
              </w:rPr>
              <w:t>Consulting</w:t>
            </w:r>
          </w:p>
        </w:tc>
        <w:tc>
          <w:tcPr>
            <w:tcW w:w="2976" w:type="dxa"/>
            <w:tcBorders>
              <w:top w:val="single" w:sz="18" w:space="0" w:color="auto"/>
              <w:left w:val="single" w:sz="18" w:space="0" w:color="auto"/>
              <w:bottom w:val="single" w:sz="4" w:space="0" w:color="auto"/>
              <w:right w:val="single" w:sz="18" w:space="0" w:color="auto"/>
            </w:tcBorders>
            <w:shd w:val="clear" w:color="auto" w:fill="auto"/>
            <w:noWrap/>
          </w:tcPr>
          <w:p w:rsidR="000A41BF" w:rsidRDefault="00E76ACF" w:rsidP="00DF02AA">
            <w:pPr>
              <w:rPr>
                <w:rFonts w:ascii="Arial" w:eastAsia="Arial" w:hAnsi="Arial" w:cs="Arial"/>
                <w:color w:val="000000"/>
                <w:sz w:val="20"/>
                <w:szCs w:val="20"/>
                <w:lang w:eastAsia="en-AU"/>
              </w:rPr>
            </w:pPr>
            <w:r>
              <w:rPr>
                <w:rFonts w:ascii="Arial" w:eastAsia="Arial" w:hAnsi="Arial" w:cs="Arial"/>
                <w:color w:val="000000"/>
                <w:sz w:val="20"/>
                <w:szCs w:val="20"/>
                <w:lang w:eastAsia="en-AU"/>
              </w:rPr>
              <w:t>Halliburton</w:t>
            </w:r>
          </w:p>
        </w:tc>
        <w:tc>
          <w:tcPr>
            <w:tcW w:w="1560" w:type="dxa"/>
            <w:tcBorders>
              <w:top w:val="single" w:sz="18" w:space="0" w:color="auto"/>
              <w:left w:val="single" w:sz="18" w:space="0" w:color="auto"/>
              <w:bottom w:val="single" w:sz="4" w:space="0" w:color="auto"/>
              <w:right w:val="single" w:sz="18" w:space="0" w:color="auto"/>
            </w:tcBorders>
          </w:tcPr>
          <w:p w:rsidR="000A41BF" w:rsidRDefault="00E76ACF" w:rsidP="00DF02AA">
            <w:pPr>
              <w:rPr>
                <w:rFonts w:ascii="Arial" w:hAnsi="Arial" w:cs="Arial"/>
                <w:color w:val="000000"/>
                <w:sz w:val="20"/>
                <w:szCs w:val="20"/>
                <w:lang w:eastAsia="en-AU"/>
              </w:rPr>
            </w:pPr>
            <w:r>
              <w:rPr>
                <w:rFonts w:ascii="Arial" w:hAnsi="Arial" w:cs="Arial"/>
                <w:color w:val="000000"/>
                <w:sz w:val="20"/>
                <w:szCs w:val="20"/>
                <w:lang w:eastAsia="en-AU"/>
              </w:rPr>
              <w:t>Yes</w:t>
            </w:r>
          </w:p>
        </w:tc>
        <w:tc>
          <w:tcPr>
            <w:tcW w:w="1208" w:type="dxa"/>
            <w:tcBorders>
              <w:top w:val="single" w:sz="18" w:space="0" w:color="auto"/>
              <w:left w:val="single" w:sz="18" w:space="0" w:color="auto"/>
              <w:bottom w:val="single" w:sz="4" w:space="0" w:color="auto"/>
              <w:right w:val="single" w:sz="18" w:space="0" w:color="auto"/>
            </w:tcBorders>
          </w:tcPr>
          <w:p w:rsidR="000A41BF" w:rsidRDefault="00E76ACF" w:rsidP="00DF02AA">
            <w:pPr>
              <w:rPr>
                <w:rFonts w:ascii="Arial" w:hAnsi="Arial" w:cs="Arial"/>
                <w:color w:val="000000"/>
                <w:sz w:val="20"/>
                <w:szCs w:val="20"/>
                <w:lang w:eastAsia="en-AU"/>
              </w:rPr>
            </w:pPr>
            <w:r>
              <w:rPr>
                <w:rFonts w:ascii="Arial" w:hAnsi="Arial" w:cs="Arial"/>
                <w:color w:val="000000"/>
                <w:sz w:val="20"/>
                <w:szCs w:val="20"/>
                <w:lang w:eastAsia="en-AU"/>
              </w:rPr>
              <w:t>Yes</w:t>
            </w:r>
          </w:p>
        </w:tc>
        <w:tc>
          <w:tcPr>
            <w:tcW w:w="5671" w:type="dxa"/>
            <w:tcBorders>
              <w:top w:val="single" w:sz="18" w:space="0" w:color="auto"/>
              <w:left w:val="single" w:sz="18" w:space="0" w:color="auto"/>
              <w:bottom w:val="single" w:sz="4" w:space="0" w:color="auto"/>
              <w:right w:val="single" w:sz="18" w:space="0" w:color="auto"/>
            </w:tcBorders>
            <w:shd w:val="clear" w:color="auto" w:fill="auto"/>
            <w:noWrap/>
          </w:tcPr>
          <w:p w:rsidR="000A41BF" w:rsidRDefault="000A41BF" w:rsidP="00DF02AA">
            <w:pPr>
              <w:rPr>
                <w:rFonts w:ascii="Arial" w:hAnsi="Arial" w:cs="Arial"/>
                <w:color w:val="000000"/>
                <w:sz w:val="20"/>
                <w:szCs w:val="20"/>
                <w:lang w:eastAsia="en-AU"/>
              </w:rPr>
            </w:pPr>
          </w:p>
        </w:tc>
      </w:tr>
      <w:tr w:rsidR="000A41BF" w:rsidRPr="00D621BB" w:rsidTr="00E4500A">
        <w:trPr>
          <w:cantSplit/>
          <w:trHeight w:val="300"/>
        </w:trPr>
        <w:tc>
          <w:tcPr>
            <w:tcW w:w="2425" w:type="dxa"/>
            <w:vMerge/>
            <w:tcBorders>
              <w:left w:val="single" w:sz="18" w:space="0" w:color="auto"/>
              <w:right w:val="single" w:sz="18" w:space="0" w:color="auto"/>
            </w:tcBorders>
            <w:vAlign w:val="center"/>
          </w:tcPr>
          <w:p w:rsidR="000A41BF" w:rsidRPr="00D621BB" w:rsidRDefault="000A41BF" w:rsidP="00DF02AA">
            <w:pPr>
              <w:rPr>
                <w:rFonts w:ascii="Arial" w:hAnsi="Arial" w:cs="Arial"/>
                <w:color w:val="000000"/>
                <w:sz w:val="20"/>
                <w:szCs w:val="20"/>
                <w:lang w:eastAsia="en-AU"/>
              </w:rPr>
            </w:pPr>
          </w:p>
        </w:tc>
        <w:tc>
          <w:tcPr>
            <w:tcW w:w="2976" w:type="dxa"/>
            <w:tcBorders>
              <w:top w:val="single" w:sz="4" w:space="0" w:color="auto"/>
              <w:left w:val="single" w:sz="18" w:space="0" w:color="auto"/>
              <w:bottom w:val="single" w:sz="4" w:space="0" w:color="auto"/>
              <w:right w:val="single" w:sz="18" w:space="0" w:color="auto"/>
            </w:tcBorders>
            <w:shd w:val="clear" w:color="auto" w:fill="auto"/>
            <w:noWrap/>
          </w:tcPr>
          <w:p w:rsidR="000A41BF" w:rsidRDefault="00E76ACF" w:rsidP="00DF02AA">
            <w:pPr>
              <w:rPr>
                <w:rFonts w:ascii="Arial" w:eastAsia="Arial" w:hAnsi="Arial" w:cs="Arial"/>
                <w:color w:val="000000"/>
                <w:sz w:val="20"/>
                <w:szCs w:val="20"/>
                <w:lang w:eastAsia="en-AU"/>
              </w:rPr>
            </w:pPr>
            <w:r>
              <w:rPr>
                <w:rFonts w:ascii="Arial" w:eastAsia="Arial" w:hAnsi="Arial" w:cs="Arial"/>
                <w:color w:val="000000"/>
                <w:sz w:val="20"/>
                <w:szCs w:val="20"/>
                <w:lang w:eastAsia="en-AU"/>
              </w:rPr>
              <w:t>Baker Hughes</w:t>
            </w:r>
          </w:p>
        </w:tc>
        <w:tc>
          <w:tcPr>
            <w:tcW w:w="1560" w:type="dxa"/>
            <w:tcBorders>
              <w:top w:val="single" w:sz="4" w:space="0" w:color="auto"/>
              <w:left w:val="single" w:sz="18" w:space="0" w:color="auto"/>
              <w:bottom w:val="single" w:sz="4" w:space="0" w:color="auto"/>
              <w:right w:val="single" w:sz="18" w:space="0" w:color="auto"/>
            </w:tcBorders>
          </w:tcPr>
          <w:p w:rsidR="000A41BF" w:rsidRDefault="00E76ACF" w:rsidP="00DF02AA">
            <w:pPr>
              <w:rPr>
                <w:rFonts w:ascii="Arial" w:hAnsi="Arial" w:cs="Arial"/>
                <w:color w:val="000000"/>
                <w:sz w:val="20"/>
                <w:szCs w:val="20"/>
                <w:lang w:eastAsia="en-AU"/>
              </w:rPr>
            </w:pPr>
            <w:r>
              <w:rPr>
                <w:rFonts w:ascii="Arial" w:hAnsi="Arial" w:cs="Arial"/>
                <w:color w:val="000000"/>
                <w:sz w:val="20"/>
                <w:szCs w:val="20"/>
                <w:lang w:eastAsia="en-AU"/>
              </w:rPr>
              <w:t>Yes</w:t>
            </w:r>
          </w:p>
        </w:tc>
        <w:tc>
          <w:tcPr>
            <w:tcW w:w="1208" w:type="dxa"/>
            <w:tcBorders>
              <w:top w:val="single" w:sz="4" w:space="0" w:color="auto"/>
              <w:left w:val="single" w:sz="18" w:space="0" w:color="auto"/>
              <w:bottom w:val="single" w:sz="4" w:space="0" w:color="auto"/>
              <w:right w:val="single" w:sz="18" w:space="0" w:color="auto"/>
            </w:tcBorders>
          </w:tcPr>
          <w:p w:rsidR="000A41BF" w:rsidRDefault="00E76ACF" w:rsidP="00DF02AA">
            <w:pPr>
              <w:rPr>
                <w:rFonts w:ascii="Arial" w:hAnsi="Arial" w:cs="Arial"/>
                <w:color w:val="000000"/>
                <w:sz w:val="20"/>
                <w:szCs w:val="20"/>
                <w:lang w:eastAsia="en-AU"/>
              </w:rPr>
            </w:pPr>
            <w:r>
              <w:rPr>
                <w:rFonts w:ascii="Arial" w:hAnsi="Arial" w:cs="Arial"/>
                <w:color w:val="000000"/>
                <w:sz w:val="20"/>
                <w:szCs w:val="20"/>
                <w:lang w:eastAsia="en-AU"/>
              </w:rPr>
              <w:t>Yes</w:t>
            </w:r>
          </w:p>
        </w:tc>
        <w:tc>
          <w:tcPr>
            <w:tcW w:w="5671" w:type="dxa"/>
            <w:tcBorders>
              <w:top w:val="single" w:sz="4" w:space="0" w:color="auto"/>
              <w:left w:val="single" w:sz="18" w:space="0" w:color="auto"/>
              <w:bottom w:val="single" w:sz="4" w:space="0" w:color="auto"/>
              <w:right w:val="single" w:sz="18" w:space="0" w:color="auto"/>
            </w:tcBorders>
            <w:shd w:val="clear" w:color="auto" w:fill="auto"/>
            <w:noWrap/>
          </w:tcPr>
          <w:p w:rsidR="000A41BF" w:rsidRDefault="000A41BF" w:rsidP="00DF02AA">
            <w:pPr>
              <w:rPr>
                <w:rFonts w:ascii="Arial" w:hAnsi="Arial" w:cs="Arial"/>
                <w:color w:val="000000"/>
                <w:sz w:val="20"/>
                <w:szCs w:val="20"/>
                <w:lang w:eastAsia="en-AU"/>
              </w:rPr>
            </w:pPr>
          </w:p>
        </w:tc>
      </w:tr>
      <w:tr w:rsidR="000A41BF" w:rsidRPr="00D621BB" w:rsidTr="00E4500A">
        <w:trPr>
          <w:cantSplit/>
          <w:trHeight w:val="300"/>
        </w:trPr>
        <w:tc>
          <w:tcPr>
            <w:tcW w:w="2425" w:type="dxa"/>
            <w:vMerge/>
            <w:tcBorders>
              <w:left w:val="single" w:sz="18" w:space="0" w:color="auto"/>
              <w:right w:val="single" w:sz="18" w:space="0" w:color="auto"/>
            </w:tcBorders>
            <w:vAlign w:val="center"/>
          </w:tcPr>
          <w:p w:rsidR="000A41BF" w:rsidRPr="00D621BB" w:rsidRDefault="000A41BF" w:rsidP="00DF02AA">
            <w:pPr>
              <w:rPr>
                <w:rFonts w:ascii="Arial" w:hAnsi="Arial" w:cs="Arial"/>
                <w:color w:val="000000"/>
                <w:sz w:val="20"/>
                <w:szCs w:val="20"/>
                <w:lang w:eastAsia="en-AU"/>
              </w:rPr>
            </w:pPr>
          </w:p>
        </w:tc>
        <w:tc>
          <w:tcPr>
            <w:tcW w:w="2976" w:type="dxa"/>
            <w:tcBorders>
              <w:top w:val="single" w:sz="4" w:space="0" w:color="auto"/>
              <w:left w:val="single" w:sz="18" w:space="0" w:color="auto"/>
              <w:bottom w:val="single" w:sz="4" w:space="0" w:color="auto"/>
              <w:right w:val="single" w:sz="18" w:space="0" w:color="auto"/>
            </w:tcBorders>
            <w:shd w:val="clear" w:color="auto" w:fill="auto"/>
            <w:noWrap/>
          </w:tcPr>
          <w:p w:rsidR="000A41BF" w:rsidRDefault="00E76ACF" w:rsidP="00DF02AA">
            <w:pPr>
              <w:rPr>
                <w:rFonts w:ascii="Arial" w:eastAsia="Arial" w:hAnsi="Arial" w:cs="Arial"/>
                <w:color w:val="000000"/>
                <w:sz w:val="20"/>
                <w:szCs w:val="20"/>
                <w:lang w:eastAsia="en-AU"/>
              </w:rPr>
            </w:pPr>
            <w:r>
              <w:rPr>
                <w:rFonts w:ascii="Arial" w:eastAsia="Arial" w:hAnsi="Arial" w:cs="Arial"/>
                <w:color w:val="000000"/>
                <w:sz w:val="20"/>
                <w:szCs w:val="20"/>
                <w:lang w:eastAsia="en-AU"/>
              </w:rPr>
              <w:t>Schlumberger</w:t>
            </w:r>
          </w:p>
        </w:tc>
        <w:tc>
          <w:tcPr>
            <w:tcW w:w="1560" w:type="dxa"/>
            <w:tcBorders>
              <w:top w:val="single" w:sz="4" w:space="0" w:color="auto"/>
              <w:left w:val="single" w:sz="18" w:space="0" w:color="auto"/>
              <w:bottom w:val="single" w:sz="4" w:space="0" w:color="auto"/>
              <w:right w:val="single" w:sz="18" w:space="0" w:color="auto"/>
            </w:tcBorders>
          </w:tcPr>
          <w:p w:rsidR="000A41BF" w:rsidRDefault="00E76ACF" w:rsidP="00DF02AA">
            <w:pPr>
              <w:rPr>
                <w:rFonts w:ascii="Arial" w:hAnsi="Arial" w:cs="Arial"/>
                <w:color w:val="000000"/>
                <w:sz w:val="20"/>
                <w:szCs w:val="20"/>
                <w:lang w:eastAsia="en-AU"/>
              </w:rPr>
            </w:pPr>
            <w:r>
              <w:rPr>
                <w:rFonts w:ascii="Arial" w:hAnsi="Arial" w:cs="Arial"/>
                <w:color w:val="000000"/>
                <w:sz w:val="20"/>
                <w:szCs w:val="20"/>
                <w:lang w:eastAsia="en-AU"/>
              </w:rPr>
              <w:t>Yes</w:t>
            </w:r>
          </w:p>
        </w:tc>
        <w:tc>
          <w:tcPr>
            <w:tcW w:w="1208" w:type="dxa"/>
            <w:tcBorders>
              <w:top w:val="single" w:sz="4" w:space="0" w:color="auto"/>
              <w:left w:val="single" w:sz="18" w:space="0" w:color="auto"/>
              <w:bottom w:val="single" w:sz="4" w:space="0" w:color="auto"/>
              <w:right w:val="single" w:sz="18" w:space="0" w:color="auto"/>
            </w:tcBorders>
          </w:tcPr>
          <w:p w:rsidR="000A41BF" w:rsidRDefault="00E76ACF" w:rsidP="00DF02AA">
            <w:pPr>
              <w:rPr>
                <w:rFonts w:ascii="Arial" w:hAnsi="Arial" w:cs="Arial"/>
                <w:color w:val="000000"/>
                <w:sz w:val="20"/>
                <w:szCs w:val="20"/>
                <w:lang w:eastAsia="en-AU"/>
              </w:rPr>
            </w:pPr>
            <w:r>
              <w:rPr>
                <w:rFonts w:ascii="Arial" w:hAnsi="Arial" w:cs="Arial"/>
                <w:color w:val="000000"/>
                <w:sz w:val="20"/>
                <w:szCs w:val="20"/>
                <w:lang w:eastAsia="en-AU"/>
              </w:rPr>
              <w:t>Yes</w:t>
            </w:r>
          </w:p>
        </w:tc>
        <w:tc>
          <w:tcPr>
            <w:tcW w:w="5671" w:type="dxa"/>
            <w:tcBorders>
              <w:top w:val="single" w:sz="4" w:space="0" w:color="auto"/>
              <w:left w:val="single" w:sz="18" w:space="0" w:color="auto"/>
              <w:bottom w:val="single" w:sz="4" w:space="0" w:color="auto"/>
              <w:right w:val="single" w:sz="18" w:space="0" w:color="auto"/>
            </w:tcBorders>
            <w:shd w:val="clear" w:color="auto" w:fill="auto"/>
            <w:noWrap/>
          </w:tcPr>
          <w:p w:rsidR="000A41BF" w:rsidRDefault="000A41BF" w:rsidP="00DF02AA">
            <w:pPr>
              <w:rPr>
                <w:rFonts w:ascii="Arial" w:hAnsi="Arial" w:cs="Arial"/>
                <w:color w:val="000000"/>
                <w:sz w:val="20"/>
                <w:szCs w:val="20"/>
                <w:lang w:eastAsia="en-AU"/>
              </w:rPr>
            </w:pPr>
          </w:p>
        </w:tc>
      </w:tr>
      <w:tr w:rsidR="000A41BF" w:rsidRPr="00D621BB" w:rsidTr="00E4500A">
        <w:trPr>
          <w:cantSplit/>
          <w:trHeight w:val="300"/>
        </w:trPr>
        <w:tc>
          <w:tcPr>
            <w:tcW w:w="2425" w:type="dxa"/>
            <w:vMerge/>
            <w:tcBorders>
              <w:left w:val="single" w:sz="18" w:space="0" w:color="auto"/>
              <w:right w:val="single" w:sz="18" w:space="0" w:color="auto"/>
            </w:tcBorders>
            <w:vAlign w:val="center"/>
          </w:tcPr>
          <w:p w:rsidR="000A41BF" w:rsidRPr="00D621BB" w:rsidRDefault="000A41BF" w:rsidP="00DF02AA">
            <w:pPr>
              <w:rPr>
                <w:rFonts w:ascii="Arial" w:hAnsi="Arial" w:cs="Arial"/>
                <w:color w:val="000000"/>
                <w:sz w:val="20"/>
                <w:szCs w:val="20"/>
                <w:lang w:eastAsia="en-AU"/>
              </w:rPr>
            </w:pPr>
          </w:p>
        </w:tc>
        <w:tc>
          <w:tcPr>
            <w:tcW w:w="2976" w:type="dxa"/>
            <w:tcBorders>
              <w:top w:val="single" w:sz="4" w:space="0" w:color="auto"/>
              <w:left w:val="single" w:sz="18" w:space="0" w:color="auto"/>
              <w:bottom w:val="single" w:sz="4" w:space="0" w:color="auto"/>
              <w:right w:val="single" w:sz="18" w:space="0" w:color="auto"/>
            </w:tcBorders>
            <w:shd w:val="clear" w:color="auto" w:fill="auto"/>
            <w:noWrap/>
          </w:tcPr>
          <w:p w:rsidR="000A41BF" w:rsidRDefault="00E76ACF" w:rsidP="00DF02AA">
            <w:pPr>
              <w:rPr>
                <w:rFonts w:ascii="Arial" w:eastAsia="Arial" w:hAnsi="Arial" w:cs="Arial"/>
                <w:color w:val="000000"/>
                <w:sz w:val="20"/>
                <w:szCs w:val="20"/>
                <w:lang w:eastAsia="en-AU"/>
              </w:rPr>
            </w:pPr>
            <w:proofErr w:type="spellStart"/>
            <w:r>
              <w:rPr>
                <w:rFonts w:ascii="Arial" w:eastAsia="Arial" w:hAnsi="Arial" w:cs="Arial"/>
                <w:color w:val="000000"/>
                <w:sz w:val="20"/>
                <w:szCs w:val="20"/>
                <w:lang w:eastAsia="en-AU"/>
              </w:rPr>
              <w:t>Azteck</w:t>
            </w:r>
            <w:proofErr w:type="spellEnd"/>
          </w:p>
        </w:tc>
        <w:tc>
          <w:tcPr>
            <w:tcW w:w="1560" w:type="dxa"/>
            <w:tcBorders>
              <w:top w:val="single" w:sz="4" w:space="0" w:color="auto"/>
              <w:left w:val="single" w:sz="18" w:space="0" w:color="auto"/>
              <w:bottom w:val="single" w:sz="4" w:space="0" w:color="auto"/>
              <w:right w:val="single" w:sz="18" w:space="0" w:color="auto"/>
            </w:tcBorders>
          </w:tcPr>
          <w:p w:rsidR="000A41BF" w:rsidRDefault="00E76ACF" w:rsidP="00DF02AA">
            <w:pPr>
              <w:rPr>
                <w:rFonts w:ascii="Arial" w:hAnsi="Arial" w:cs="Arial"/>
                <w:color w:val="000000"/>
                <w:sz w:val="20"/>
                <w:szCs w:val="20"/>
                <w:lang w:eastAsia="en-AU"/>
              </w:rPr>
            </w:pPr>
            <w:r>
              <w:rPr>
                <w:rFonts w:ascii="Arial" w:hAnsi="Arial" w:cs="Arial"/>
                <w:color w:val="000000"/>
                <w:sz w:val="20"/>
                <w:szCs w:val="20"/>
                <w:lang w:eastAsia="en-AU"/>
              </w:rPr>
              <w:t>Yes</w:t>
            </w:r>
          </w:p>
        </w:tc>
        <w:tc>
          <w:tcPr>
            <w:tcW w:w="1208" w:type="dxa"/>
            <w:tcBorders>
              <w:top w:val="single" w:sz="4" w:space="0" w:color="auto"/>
              <w:left w:val="single" w:sz="18" w:space="0" w:color="auto"/>
              <w:bottom w:val="single" w:sz="4" w:space="0" w:color="auto"/>
              <w:right w:val="single" w:sz="18" w:space="0" w:color="auto"/>
            </w:tcBorders>
          </w:tcPr>
          <w:p w:rsidR="000A41BF" w:rsidRDefault="00E76ACF" w:rsidP="00DF02AA">
            <w:pPr>
              <w:rPr>
                <w:rFonts w:ascii="Arial" w:hAnsi="Arial" w:cs="Arial"/>
                <w:color w:val="000000"/>
                <w:sz w:val="20"/>
                <w:szCs w:val="20"/>
                <w:lang w:eastAsia="en-AU"/>
              </w:rPr>
            </w:pPr>
            <w:r>
              <w:rPr>
                <w:rFonts w:ascii="Arial" w:hAnsi="Arial" w:cs="Arial"/>
                <w:color w:val="000000"/>
                <w:sz w:val="20"/>
                <w:szCs w:val="20"/>
                <w:lang w:eastAsia="en-AU"/>
              </w:rPr>
              <w:t>Yes</w:t>
            </w:r>
          </w:p>
        </w:tc>
        <w:tc>
          <w:tcPr>
            <w:tcW w:w="5671" w:type="dxa"/>
            <w:tcBorders>
              <w:top w:val="single" w:sz="4" w:space="0" w:color="auto"/>
              <w:left w:val="single" w:sz="18" w:space="0" w:color="auto"/>
              <w:bottom w:val="single" w:sz="4" w:space="0" w:color="auto"/>
              <w:right w:val="single" w:sz="18" w:space="0" w:color="auto"/>
            </w:tcBorders>
            <w:shd w:val="clear" w:color="auto" w:fill="auto"/>
            <w:noWrap/>
          </w:tcPr>
          <w:p w:rsidR="000A41BF" w:rsidRDefault="000A41BF" w:rsidP="00DF02AA">
            <w:pPr>
              <w:rPr>
                <w:rFonts w:ascii="Arial" w:hAnsi="Arial" w:cs="Arial"/>
                <w:color w:val="000000"/>
                <w:sz w:val="20"/>
                <w:szCs w:val="20"/>
                <w:lang w:eastAsia="en-AU"/>
              </w:rPr>
            </w:pPr>
          </w:p>
        </w:tc>
      </w:tr>
      <w:tr w:rsidR="000A41BF" w:rsidRPr="00D621BB" w:rsidTr="00E4500A">
        <w:trPr>
          <w:cantSplit/>
          <w:trHeight w:val="300"/>
        </w:trPr>
        <w:tc>
          <w:tcPr>
            <w:tcW w:w="2425" w:type="dxa"/>
            <w:vMerge/>
            <w:tcBorders>
              <w:left w:val="single" w:sz="18" w:space="0" w:color="auto"/>
              <w:right w:val="single" w:sz="18" w:space="0" w:color="auto"/>
            </w:tcBorders>
            <w:vAlign w:val="center"/>
          </w:tcPr>
          <w:p w:rsidR="000A41BF" w:rsidRPr="00D621BB" w:rsidRDefault="000A41BF" w:rsidP="00DF02AA">
            <w:pPr>
              <w:rPr>
                <w:rFonts w:ascii="Arial" w:hAnsi="Arial" w:cs="Arial"/>
                <w:color w:val="000000"/>
                <w:sz w:val="20"/>
                <w:szCs w:val="20"/>
                <w:lang w:eastAsia="en-AU"/>
              </w:rPr>
            </w:pPr>
          </w:p>
        </w:tc>
        <w:tc>
          <w:tcPr>
            <w:tcW w:w="2976" w:type="dxa"/>
            <w:tcBorders>
              <w:top w:val="single" w:sz="4" w:space="0" w:color="auto"/>
              <w:left w:val="single" w:sz="18" w:space="0" w:color="auto"/>
              <w:bottom w:val="single" w:sz="4" w:space="0" w:color="auto"/>
              <w:right w:val="single" w:sz="18" w:space="0" w:color="auto"/>
            </w:tcBorders>
            <w:shd w:val="clear" w:color="auto" w:fill="auto"/>
            <w:noWrap/>
          </w:tcPr>
          <w:p w:rsidR="000A41BF" w:rsidRDefault="00E76ACF" w:rsidP="00DF02AA">
            <w:pPr>
              <w:rPr>
                <w:rFonts w:ascii="Arial" w:eastAsia="Arial" w:hAnsi="Arial" w:cs="Arial"/>
                <w:color w:val="000000"/>
                <w:sz w:val="20"/>
                <w:szCs w:val="20"/>
                <w:lang w:eastAsia="en-AU"/>
              </w:rPr>
            </w:pPr>
            <w:r>
              <w:rPr>
                <w:rFonts w:ascii="Arial" w:eastAsia="Arial" w:hAnsi="Arial" w:cs="Arial"/>
                <w:color w:val="000000"/>
                <w:sz w:val="20"/>
                <w:szCs w:val="20"/>
                <w:lang w:eastAsia="en-AU"/>
              </w:rPr>
              <w:t>Read Cased Hole</w:t>
            </w:r>
          </w:p>
        </w:tc>
        <w:tc>
          <w:tcPr>
            <w:tcW w:w="1560" w:type="dxa"/>
            <w:tcBorders>
              <w:top w:val="single" w:sz="4" w:space="0" w:color="auto"/>
              <w:left w:val="single" w:sz="18" w:space="0" w:color="auto"/>
              <w:bottom w:val="single" w:sz="4" w:space="0" w:color="auto"/>
              <w:right w:val="single" w:sz="18" w:space="0" w:color="auto"/>
            </w:tcBorders>
          </w:tcPr>
          <w:p w:rsidR="000A41BF" w:rsidRDefault="00E76ACF" w:rsidP="00DF02AA">
            <w:pPr>
              <w:rPr>
                <w:rFonts w:ascii="Arial" w:hAnsi="Arial" w:cs="Arial"/>
                <w:color w:val="000000"/>
                <w:sz w:val="20"/>
                <w:szCs w:val="20"/>
                <w:lang w:eastAsia="en-AU"/>
              </w:rPr>
            </w:pPr>
            <w:r>
              <w:rPr>
                <w:rFonts w:ascii="Arial" w:hAnsi="Arial" w:cs="Arial"/>
                <w:color w:val="000000"/>
                <w:sz w:val="20"/>
                <w:szCs w:val="20"/>
                <w:lang w:eastAsia="en-AU"/>
              </w:rPr>
              <w:t>Yes</w:t>
            </w:r>
          </w:p>
        </w:tc>
        <w:tc>
          <w:tcPr>
            <w:tcW w:w="1208" w:type="dxa"/>
            <w:tcBorders>
              <w:top w:val="single" w:sz="4" w:space="0" w:color="auto"/>
              <w:left w:val="single" w:sz="18" w:space="0" w:color="auto"/>
              <w:bottom w:val="single" w:sz="4" w:space="0" w:color="auto"/>
              <w:right w:val="single" w:sz="18" w:space="0" w:color="auto"/>
            </w:tcBorders>
          </w:tcPr>
          <w:p w:rsidR="000A41BF" w:rsidRDefault="00E76ACF" w:rsidP="00DF02AA">
            <w:pPr>
              <w:rPr>
                <w:rFonts w:ascii="Arial" w:hAnsi="Arial" w:cs="Arial"/>
                <w:color w:val="000000"/>
                <w:sz w:val="20"/>
                <w:szCs w:val="20"/>
                <w:lang w:eastAsia="en-AU"/>
              </w:rPr>
            </w:pPr>
            <w:r>
              <w:rPr>
                <w:rFonts w:ascii="Arial" w:hAnsi="Arial" w:cs="Arial"/>
                <w:color w:val="000000"/>
                <w:sz w:val="20"/>
                <w:szCs w:val="20"/>
                <w:lang w:eastAsia="en-AU"/>
              </w:rPr>
              <w:t>Yes</w:t>
            </w:r>
          </w:p>
        </w:tc>
        <w:tc>
          <w:tcPr>
            <w:tcW w:w="5671" w:type="dxa"/>
            <w:tcBorders>
              <w:top w:val="single" w:sz="4" w:space="0" w:color="auto"/>
              <w:left w:val="single" w:sz="18" w:space="0" w:color="auto"/>
              <w:bottom w:val="single" w:sz="4" w:space="0" w:color="auto"/>
              <w:right w:val="single" w:sz="18" w:space="0" w:color="auto"/>
            </w:tcBorders>
            <w:shd w:val="clear" w:color="auto" w:fill="auto"/>
            <w:noWrap/>
          </w:tcPr>
          <w:p w:rsidR="000A41BF" w:rsidRDefault="000A41BF" w:rsidP="00DF02AA">
            <w:pPr>
              <w:rPr>
                <w:rFonts w:ascii="Arial" w:hAnsi="Arial" w:cs="Arial"/>
                <w:color w:val="000000"/>
                <w:sz w:val="20"/>
                <w:szCs w:val="20"/>
                <w:lang w:eastAsia="en-AU"/>
              </w:rPr>
            </w:pPr>
          </w:p>
        </w:tc>
      </w:tr>
      <w:tr w:rsidR="000A41BF" w:rsidRPr="00D621BB" w:rsidTr="00E4500A">
        <w:trPr>
          <w:cantSplit/>
          <w:trHeight w:val="300"/>
        </w:trPr>
        <w:tc>
          <w:tcPr>
            <w:tcW w:w="2425" w:type="dxa"/>
            <w:vMerge w:val="restart"/>
            <w:tcBorders>
              <w:top w:val="single" w:sz="18" w:space="0" w:color="auto"/>
              <w:left w:val="single" w:sz="18" w:space="0" w:color="auto"/>
              <w:right w:val="single" w:sz="18" w:space="0" w:color="auto"/>
            </w:tcBorders>
          </w:tcPr>
          <w:p w:rsidR="000A41BF" w:rsidRPr="00D621BB" w:rsidRDefault="000A41BF">
            <w:pPr>
              <w:rPr>
                <w:rFonts w:ascii="Arial" w:hAnsi="Arial" w:cs="Arial"/>
                <w:color w:val="000000"/>
                <w:sz w:val="20"/>
                <w:szCs w:val="20"/>
                <w:lang w:eastAsia="en-AU"/>
              </w:rPr>
            </w:pPr>
            <w:r>
              <w:rPr>
                <w:rFonts w:ascii="Arial" w:hAnsi="Arial" w:cs="Arial"/>
                <w:color w:val="000000"/>
                <w:sz w:val="20"/>
                <w:szCs w:val="20"/>
                <w:lang w:eastAsia="en-AU"/>
              </w:rPr>
              <w:t>Software</w:t>
            </w:r>
          </w:p>
        </w:tc>
        <w:tc>
          <w:tcPr>
            <w:tcW w:w="2976" w:type="dxa"/>
            <w:tcBorders>
              <w:top w:val="single" w:sz="18" w:space="0" w:color="auto"/>
              <w:left w:val="single" w:sz="18" w:space="0" w:color="auto"/>
              <w:bottom w:val="single" w:sz="4" w:space="0" w:color="auto"/>
              <w:right w:val="single" w:sz="18" w:space="0" w:color="auto"/>
            </w:tcBorders>
            <w:shd w:val="clear" w:color="auto" w:fill="auto"/>
            <w:noWrap/>
          </w:tcPr>
          <w:p w:rsidR="000A41BF" w:rsidRDefault="00E76ACF" w:rsidP="00DF02AA">
            <w:pPr>
              <w:rPr>
                <w:rFonts w:ascii="Arial" w:eastAsia="Arial" w:hAnsi="Arial" w:cs="Arial"/>
                <w:color w:val="000000"/>
                <w:sz w:val="20"/>
                <w:szCs w:val="20"/>
                <w:lang w:eastAsia="en-AU"/>
              </w:rPr>
            </w:pPr>
            <w:r>
              <w:rPr>
                <w:rFonts w:ascii="Arial" w:eastAsia="Arial" w:hAnsi="Arial" w:cs="Arial"/>
                <w:color w:val="000000"/>
                <w:sz w:val="20"/>
                <w:szCs w:val="20"/>
                <w:lang w:eastAsia="en-AU"/>
              </w:rPr>
              <w:t>Halliburton</w:t>
            </w:r>
          </w:p>
        </w:tc>
        <w:tc>
          <w:tcPr>
            <w:tcW w:w="1560" w:type="dxa"/>
            <w:tcBorders>
              <w:top w:val="single" w:sz="18" w:space="0" w:color="auto"/>
              <w:left w:val="single" w:sz="18" w:space="0" w:color="auto"/>
              <w:bottom w:val="single" w:sz="4" w:space="0" w:color="auto"/>
              <w:right w:val="single" w:sz="18" w:space="0" w:color="auto"/>
            </w:tcBorders>
          </w:tcPr>
          <w:p w:rsidR="000A41BF" w:rsidRDefault="00E76ACF" w:rsidP="00DF02AA">
            <w:pPr>
              <w:rPr>
                <w:rFonts w:ascii="Arial" w:hAnsi="Arial" w:cs="Arial"/>
                <w:color w:val="000000"/>
                <w:sz w:val="20"/>
                <w:szCs w:val="20"/>
                <w:lang w:eastAsia="en-AU"/>
              </w:rPr>
            </w:pPr>
            <w:r>
              <w:rPr>
                <w:rFonts w:ascii="Arial" w:hAnsi="Arial" w:cs="Arial"/>
                <w:color w:val="000000"/>
                <w:sz w:val="20"/>
                <w:szCs w:val="20"/>
                <w:lang w:eastAsia="en-AU"/>
              </w:rPr>
              <w:t>Yes</w:t>
            </w:r>
          </w:p>
        </w:tc>
        <w:tc>
          <w:tcPr>
            <w:tcW w:w="1208" w:type="dxa"/>
            <w:tcBorders>
              <w:top w:val="single" w:sz="18" w:space="0" w:color="auto"/>
              <w:left w:val="single" w:sz="18" w:space="0" w:color="auto"/>
              <w:bottom w:val="single" w:sz="4" w:space="0" w:color="auto"/>
              <w:right w:val="single" w:sz="18" w:space="0" w:color="auto"/>
            </w:tcBorders>
          </w:tcPr>
          <w:p w:rsidR="000A41BF" w:rsidRDefault="00E76ACF" w:rsidP="00DF02AA">
            <w:pPr>
              <w:rPr>
                <w:rFonts w:ascii="Arial" w:hAnsi="Arial" w:cs="Arial"/>
                <w:color w:val="000000"/>
                <w:sz w:val="20"/>
                <w:szCs w:val="20"/>
                <w:lang w:eastAsia="en-AU"/>
              </w:rPr>
            </w:pPr>
            <w:r>
              <w:rPr>
                <w:rFonts w:ascii="Arial" w:hAnsi="Arial" w:cs="Arial"/>
                <w:color w:val="000000"/>
                <w:sz w:val="20"/>
                <w:szCs w:val="20"/>
                <w:lang w:eastAsia="en-AU"/>
              </w:rPr>
              <w:t>Yes</w:t>
            </w:r>
          </w:p>
        </w:tc>
        <w:tc>
          <w:tcPr>
            <w:tcW w:w="5671" w:type="dxa"/>
            <w:tcBorders>
              <w:top w:val="single" w:sz="18" w:space="0" w:color="auto"/>
              <w:left w:val="single" w:sz="18" w:space="0" w:color="auto"/>
              <w:bottom w:val="single" w:sz="4" w:space="0" w:color="auto"/>
              <w:right w:val="single" w:sz="18" w:space="0" w:color="auto"/>
            </w:tcBorders>
            <w:shd w:val="clear" w:color="auto" w:fill="auto"/>
            <w:noWrap/>
          </w:tcPr>
          <w:p w:rsidR="000A41BF" w:rsidRDefault="000A41BF" w:rsidP="00DF02AA">
            <w:pPr>
              <w:rPr>
                <w:rFonts w:ascii="Arial" w:hAnsi="Arial" w:cs="Arial"/>
                <w:color w:val="000000"/>
                <w:sz w:val="20"/>
                <w:szCs w:val="20"/>
                <w:lang w:eastAsia="en-AU"/>
              </w:rPr>
            </w:pPr>
          </w:p>
        </w:tc>
      </w:tr>
      <w:tr w:rsidR="000A41BF" w:rsidRPr="00D621BB" w:rsidTr="00E4500A">
        <w:trPr>
          <w:cantSplit/>
          <w:trHeight w:val="300"/>
        </w:trPr>
        <w:tc>
          <w:tcPr>
            <w:tcW w:w="2425" w:type="dxa"/>
            <w:vMerge/>
            <w:tcBorders>
              <w:left w:val="single" w:sz="18" w:space="0" w:color="auto"/>
              <w:right w:val="single" w:sz="18" w:space="0" w:color="auto"/>
            </w:tcBorders>
            <w:vAlign w:val="center"/>
          </w:tcPr>
          <w:p w:rsidR="000A41BF" w:rsidRPr="00D621BB" w:rsidRDefault="000A41BF" w:rsidP="00DF02AA">
            <w:pPr>
              <w:rPr>
                <w:rFonts w:ascii="Arial" w:hAnsi="Arial" w:cs="Arial"/>
                <w:color w:val="000000"/>
                <w:sz w:val="20"/>
                <w:szCs w:val="20"/>
                <w:lang w:eastAsia="en-AU"/>
              </w:rPr>
            </w:pPr>
          </w:p>
        </w:tc>
        <w:tc>
          <w:tcPr>
            <w:tcW w:w="2976" w:type="dxa"/>
            <w:tcBorders>
              <w:top w:val="single" w:sz="4" w:space="0" w:color="auto"/>
              <w:left w:val="single" w:sz="18" w:space="0" w:color="auto"/>
              <w:bottom w:val="single" w:sz="4" w:space="0" w:color="auto"/>
              <w:right w:val="single" w:sz="18" w:space="0" w:color="auto"/>
            </w:tcBorders>
            <w:shd w:val="clear" w:color="auto" w:fill="auto"/>
            <w:noWrap/>
          </w:tcPr>
          <w:p w:rsidR="000A41BF" w:rsidRDefault="00E76ACF" w:rsidP="00DF02AA">
            <w:pPr>
              <w:rPr>
                <w:rFonts w:ascii="Arial" w:eastAsia="Arial" w:hAnsi="Arial" w:cs="Arial"/>
                <w:color w:val="000000"/>
                <w:sz w:val="20"/>
                <w:szCs w:val="20"/>
                <w:lang w:eastAsia="en-AU"/>
              </w:rPr>
            </w:pPr>
            <w:r>
              <w:rPr>
                <w:rFonts w:ascii="Arial" w:eastAsia="Arial" w:hAnsi="Arial" w:cs="Arial"/>
                <w:color w:val="000000"/>
                <w:sz w:val="20"/>
                <w:szCs w:val="20"/>
                <w:lang w:eastAsia="en-AU"/>
              </w:rPr>
              <w:t>Baker Hughes</w:t>
            </w:r>
          </w:p>
        </w:tc>
        <w:tc>
          <w:tcPr>
            <w:tcW w:w="1560" w:type="dxa"/>
            <w:tcBorders>
              <w:top w:val="single" w:sz="4" w:space="0" w:color="auto"/>
              <w:left w:val="single" w:sz="18" w:space="0" w:color="auto"/>
              <w:bottom w:val="single" w:sz="4" w:space="0" w:color="auto"/>
              <w:right w:val="single" w:sz="18" w:space="0" w:color="auto"/>
            </w:tcBorders>
          </w:tcPr>
          <w:p w:rsidR="000A41BF" w:rsidRDefault="00E76ACF" w:rsidP="00DF02AA">
            <w:pPr>
              <w:rPr>
                <w:rFonts w:ascii="Arial" w:hAnsi="Arial" w:cs="Arial"/>
                <w:color w:val="000000"/>
                <w:sz w:val="20"/>
                <w:szCs w:val="20"/>
                <w:lang w:eastAsia="en-AU"/>
              </w:rPr>
            </w:pPr>
            <w:r>
              <w:rPr>
                <w:rFonts w:ascii="Arial" w:hAnsi="Arial" w:cs="Arial"/>
                <w:color w:val="000000"/>
                <w:sz w:val="20"/>
                <w:szCs w:val="20"/>
                <w:lang w:eastAsia="en-AU"/>
              </w:rPr>
              <w:t>Yes</w:t>
            </w:r>
          </w:p>
        </w:tc>
        <w:tc>
          <w:tcPr>
            <w:tcW w:w="1208" w:type="dxa"/>
            <w:tcBorders>
              <w:top w:val="single" w:sz="4" w:space="0" w:color="auto"/>
              <w:left w:val="single" w:sz="18" w:space="0" w:color="auto"/>
              <w:bottom w:val="single" w:sz="4" w:space="0" w:color="auto"/>
              <w:right w:val="single" w:sz="18" w:space="0" w:color="auto"/>
            </w:tcBorders>
          </w:tcPr>
          <w:p w:rsidR="000A41BF" w:rsidRDefault="00E76ACF" w:rsidP="00DF02AA">
            <w:pPr>
              <w:rPr>
                <w:rFonts w:ascii="Arial" w:hAnsi="Arial" w:cs="Arial"/>
                <w:color w:val="000000"/>
                <w:sz w:val="20"/>
                <w:szCs w:val="20"/>
                <w:lang w:eastAsia="en-AU"/>
              </w:rPr>
            </w:pPr>
            <w:r>
              <w:rPr>
                <w:rFonts w:ascii="Arial" w:hAnsi="Arial" w:cs="Arial"/>
                <w:color w:val="000000"/>
                <w:sz w:val="20"/>
                <w:szCs w:val="20"/>
                <w:lang w:eastAsia="en-AU"/>
              </w:rPr>
              <w:t>Yes</w:t>
            </w:r>
          </w:p>
        </w:tc>
        <w:tc>
          <w:tcPr>
            <w:tcW w:w="5671" w:type="dxa"/>
            <w:tcBorders>
              <w:top w:val="single" w:sz="4" w:space="0" w:color="auto"/>
              <w:left w:val="single" w:sz="18" w:space="0" w:color="auto"/>
              <w:bottom w:val="single" w:sz="4" w:space="0" w:color="auto"/>
              <w:right w:val="single" w:sz="18" w:space="0" w:color="auto"/>
            </w:tcBorders>
            <w:shd w:val="clear" w:color="auto" w:fill="auto"/>
            <w:noWrap/>
          </w:tcPr>
          <w:p w:rsidR="000A41BF" w:rsidRDefault="000A41BF" w:rsidP="00DF02AA">
            <w:pPr>
              <w:rPr>
                <w:rFonts w:ascii="Arial" w:hAnsi="Arial" w:cs="Arial"/>
                <w:color w:val="000000"/>
                <w:sz w:val="20"/>
                <w:szCs w:val="20"/>
                <w:lang w:eastAsia="en-AU"/>
              </w:rPr>
            </w:pPr>
          </w:p>
        </w:tc>
      </w:tr>
      <w:tr w:rsidR="000A41BF" w:rsidRPr="00D621BB" w:rsidTr="00E4500A">
        <w:trPr>
          <w:cantSplit/>
          <w:trHeight w:val="300"/>
        </w:trPr>
        <w:tc>
          <w:tcPr>
            <w:tcW w:w="2425" w:type="dxa"/>
            <w:vMerge/>
            <w:tcBorders>
              <w:left w:val="single" w:sz="18" w:space="0" w:color="auto"/>
              <w:right w:val="single" w:sz="18" w:space="0" w:color="auto"/>
            </w:tcBorders>
            <w:vAlign w:val="center"/>
          </w:tcPr>
          <w:p w:rsidR="000A41BF" w:rsidRPr="00D621BB" w:rsidRDefault="000A41BF" w:rsidP="00DF02AA">
            <w:pPr>
              <w:rPr>
                <w:rFonts w:ascii="Arial" w:hAnsi="Arial" w:cs="Arial"/>
                <w:color w:val="000000"/>
                <w:sz w:val="20"/>
                <w:szCs w:val="20"/>
                <w:lang w:eastAsia="en-AU"/>
              </w:rPr>
            </w:pPr>
          </w:p>
        </w:tc>
        <w:tc>
          <w:tcPr>
            <w:tcW w:w="2976" w:type="dxa"/>
            <w:tcBorders>
              <w:top w:val="single" w:sz="4" w:space="0" w:color="auto"/>
              <w:left w:val="single" w:sz="18" w:space="0" w:color="auto"/>
              <w:bottom w:val="single" w:sz="4" w:space="0" w:color="auto"/>
              <w:right w:val="single" w:sz="18" w:space="0" w:color="auto"/>
            </w:tcBorders>
            <w:shd w:val="clear" w:color="auto" w:fill="auto"/>
            <w:noWrap/>
          </w:tcPr>
          <w:p w:rsidR="000A41BF" w:rsidRDefault="00E76ACF" w:rsidP="00DF02AA">
            <w:pPr>
              <w:rPr>
                <w:rFonts w:ascii="Arial" w:eastAsia="Arial" w:hAnsi="Arial" w:cs="Arial"/>
                <w:color w:val="000000"/>
                <w:sz w:val="20"/>
                <w:szCs w:val="20"/>
                <w:lang w:eastAsia="en-AU"/>
              </w:rPr>
            </w:pPr>
            <w:r>
              <w:rPr>
                <w:rFonts w:ascii="Arial" w:eastAsia="Arial" w:hAnsi="Arial" w:cs="Arial"/>
                <w:color w:val="000000"/>
                <w:sz w:val="20"/>
                <w:szCs w:val="20"/>
                <w:lang w:eastAsia="en-AU"/>
              </w:rPr>
              <w:t>Schlumberger</w:t>
            </w:r>
          </w:p>
        </w:tc>
        <w:tc>
          <w:tcPr>
            <w:tcW w:w="1560" w:type="dxa"/>
            <w:tcBorders>
              <w:top w:val="single" w:sz="4" w:space="0" w:color="auto"/>
              <w:left w:val="single" w:sz="18" w:space="0" w:color="auto"/>
              <w:bottom w:val="single" w:sz="4" w:space="0" w:color="auto"/>
              <w:right w:val="single" w:sz="18" w:space="0" w:color="auto"/>
            </w:tcBorders>
          </w:tcPr>
          <w:p w:rsidR="000A41BF" w:rsidRDefault="00E76ACF" w:rsidP="00DF02AA">
            <w:pPr>
              <w:rPr>
                <w:rFonts w:ascii="Arial" w:hAnsi="Arial" w:cs="Arial"/>
                <w:color w:val="000000"/>
                <w:sz w:val="20"/>
                <w:szCs w:val="20"/>
                <w:lang w:eastAsia="en-AU"/>
              </w:rPr>
            </w:pPr>
            <w:r>
              <w:rPr>
                <w:rFonts w:ascii="Arial" w:hAnsi="Arial" w:cs="Arial"/>
                <w:color w:val="000000"/>
                <w:sz w:val="20"/>
                <w:szCs w:val="20"/>
                <w:lang w:eastAsia="en-AU"/>
              </w:rPr>
              <w:t>Yes</w:t>
            </w:r>
          </w:p>
        </w:tc>
        <w:tc>
          <w:tcPr>
            <w:tcW w:w="1208" w:type="dxa"/>
            <w:tcBorders>
              <w:top w:val="single" w:sz="4" w:space="0" w:color="auto"/>
              <w:left w:val="single" w:sz="18" w:space="0" w:color="auto"/>
              <w:bottom w:val="single" w:sz="4" w:space="0" w:color="auto"/>
              <w:right w:val="single" w:sz="18" w:space="0" w:color="auto"/>
            </w:tcBorders>
          </w:tcPr>
          <w:p w:rsidR="000A41BF" w:rsidRDefault="00E76ACF" w:rsidP="00DF02AA">
            <w:pPr>
              <w:rPr>
                <w:rFonts w:ascii="Arial" w:hAnsi="Arial" w:cs="Arial"/>
                <w:color w:val="000000"/>
                <w:sz w:val="20"/>
                <w:szCs w:val="20"/>
                <w:lang w:eastAsia="en-AU"/>
              </w:rPr>
            </w:pPr>
            <w:r>
              <w:rPr>
                <w:rFonts w:ascii="Arial" w:hAnsi="Arial" w:cs="Arial"/>
                <w:color w:val="000000"/>
                <w:sz w:val="20"/>
                <w:szCs w:val="20"/>
                <w:lang w:eastAsia="en-AU"/>
              </w:rPr>
              <w:t>Yes</w:t>
            </w:r>
          </w:p>
        </w:tc>
        <w:tc>
          <w:tcPr>
            <w:tcW w:w="5671" w:type="dxa"/>
            <w:tcBorders>
              <w:top w:val="single" w:sz="4" w:space="0" w:color="auto"/>
              <w:left w:val="single" w:sz="18" w:space="0" w:color="auto"/>
              <w:bottom w:val="single" w:sz="4" w:space="0" w:color="auto"/>
              <w:right w:val="single" w:sz="18" w:space="0" w:color="auto"/>
            </w:tcBorders>
            <w:shd w:val="clear" w:color="auto" w:fill="auto"/>
            <w:noWrap/>
          </w:tcPr>
          <w:p w:rsidR="000A41BF" w:rsidRDefault="000A41BF" w:rsidP="00DF02AA">
            <w:pPr>
              <w:rPr>
                <w:rFonts w:ascii="Arial" w:hAnsi="Arial" w:cs="Arial"/>
                <w:color w:val="000000"/>
                <w:sz w:val="20"/>
                <w:szCs w:val="20"/>
                <w:lang w:eastAsia="en-AU"/>
              </w:rPr>
            </w:pPr>
          </w:p>
        </w:tc>
      </w:tr>
      <w:tr w:rsidR="000A41BF" w:rsidRPr="00D621BB" w:rsidTr="00E4500A">
        <w:trPr>
          <w:cantSplit/>
          <w:trHeight w:val="300"/>
        </w:trPr>
        <w:tc>
          <w:tcPr>
            <w:tcW w:w="2425" w:type="dxa"/>
            <w:vMerge/>
            <w:tcBorders>
              <w:left w:val="single" w:sz="18" w:space="0" w:color="auto"/>
              <w:right w:val="single" w:sz="18" w:space="0" w:color="auto"/>
            </w:tcBorders>
            <w:vAlign w:val="center"/>
          </w:tcPr>
          <w:p w:rsidR="000A41BF" w:rsidRPr="00D621BB" w:rsidRDefault="000A41BF" w:rsidP="00DF02AA">
            <w:pPr>
              <w:rPr>
                <w:rFonts w:ascii="Arial" w:hAnsi="Arial" w:cs="Arial"/>
                <w:color w:val="000000"/>
                <w:sz w:val="20"/>
                <w:szCs w:val="20"/>
                <w:lang w:eastAsia="en-AU"/>
              </w:rPr>
            </w:pPr>
          </w:p>
        </w:tc>
        <w:tc>
          <w:tcPr>
            <w:tcW w:w="2976" w:type="dxa"/>
            <w:tcBorders>
              <w:top w:val="single" w:sz="4" w:space="0" w:color="auto"/>
              <w:left w:val="single" w:sz="18" w:space="0" w:color="auto"/>
              <w:bottom w:val="single" w:sz="4" w:space="0" w:color="auto"/>
              <w:right w:val="single" w:sz="18" w:space="0" w:color="auto"/>
            </w:tcBorders>
            <w:shd w:val="clear" w:color="auto" w:fill="auto"/>
            <w:noWrap/>
          </w:tcPr>
          <w:p w:rsidR="000A41BF" w:rsidRDefault="00E76ACF" w:rsidP="00DF02AA">
            <w:pPr>
              <w:rPr>
                <w:rFonts w:ascii="Arial" w:eastAsia="Arial" w:hAnsi="Arial" w:cs="Arial"/>
                <w:color w:val="000000"/>
                <w:sz w:val="20"/>
                <w:szCs w:val="20"/>
                <w:lang w:eastAsia="en-AU"/>
              </w:rPr>
            </w:pPr>
            <w:r>
              <w:rPr>
                <w:rFonts w:ascii="Arial" w:eastAsia="Arial" w:hAnsi="Arial" w:cs="Arial"/>
                <w:color w:val="000000"/>
                <w:sz w:val="20"/>
                <w:szCs w:val="20"/>
                <w:lang w:eastAsia="en-AU"/>
              </w:rPr>
              <w:t>Paradigm</w:t>
            </w:r>
          </w:p>
        </w:tc>
        <w:tc>
          <w:tcPr>
            <w:tcW w:w="1560" w:type="dxa"/>
            <w:tcBorders>
              <w:top w:val="single" w:sz="4" w:space="0" w:color="auto"/>
              <w:left w:val="single" w:sz="18" w:space="0" w:color="auto"/>
              <w:bottom w:val="single" w:sz="4" w:space="0" w:color="auto"/>
              <w:right w:val="single" w:sz="18" w:space="0" w:color="auto"/>
            </w:tcBorders>
          </w:tcPr>
          <w:p w:rsidR="000A41BF" w:rsidRDefault="00E76ACF" w:rsidP="00DF02AA">
            <w:pPr>
              <w:rPr>
                <w:rFonts w:ascii="Arial" w:hAnsi="Arial" w:cs="Arial"/>
                <w:color w:val="000000"/>
                <w:sz w:val="20"/>
                <w:szCs w:val="20"/>
                <w:lang w:eastAsia="en-AU"/>
              </w:rPr>
            </w:pPr>
            <w:r>
              <w:rPr>
                <w:rFonts w:ascii="Arial" w:hAnsi="Arial" w:cs="Arial"/>
                <w:color w:val="000000"/>
                <w:sz w:val="20"/>
                <w:szCs w:val="20"/>
                <w:lang w:eastAsia="en-AU"/>
              </w:rPr>
              <w:t>Yes</w:t>
            </w:r>
          </w:p>
        </w:tc>
        <w:tc>
          <w:tcPr>
            <w:tcW w:w="1208" w:type="dxa"/>
            <w:tcBorders>
              <w:top w:val="single" w:sz="4" w:space="0" w:color="auto"/>
              <w:left w:val="single" w:sz="18" w:space="0" w:color="auto"/>
              <w:bottom w:val="single" w:sz="4" w:space="0" w:color="auto"/>
              <w:right w:val="single" w:sz="18" w:space="0" w:color="auto"/>
            </w:tcBorders>
          </w:tcPr>
          <w:p w:rsidR="000A41BF" w:rsidRDefault="00E76ACF" w:rsidP="00DF02AA">
            <w:pPr>
              <w:rPr>
                <w:rFonts w:ascii="Arial" w:hAnsi="Arial" w:cs="Arial"/>
                <w:color w:val="000000"/>
                <w:sz w:val="20"/>
                <w:szCs w:val="20"/>
                <w:lang w:eastAsia="en-AU"/>
              </w:rPr>
            </w:pPr>
            <w:r>
              <w:rPr>
                <w:rFonts w:ascii="Arial" w:hAnsi="Arial" w:cs="Arial"/>
                <w:color w:val="000000"/>
                <w:sz w:val="20"/>
                <w:szCs w:val="20"/>
                <w:lang w:eastAsia="en-AU"/>
              </w:rPr>
              <w:t>Yes</w:t>
            </w:r>
          </w:p>
        </w:tc>
        <w:tc>
          <w:tcPr>
            <w:tcW w:w="5671" w:type="dxa"/>
            <w:tcBorders>
              <w:top w:val="single" w:sz="4" w:space="0" w:color="auto"/>
              <w:left w:val="single" w:sz="18" w:space="0" w:color="auto"/>
              <w:bottom w:val="single" w:sz="4" w:space="0" w:color="auto"/>
              <w:right w:val="single" w:sz="18" w:space="0" w:color="auto"/>
            </w:tcBorders>
            <w:shd w:val="clear" w:color="auto" w:fill="auto"/>
            <w:noWrap/>
          </w:tcPr>
          <w:p w:rsidR="000A41BF" w:rsidRDefault="000A41BF" w:rsidP="00DF02AA">
            <w:pPr>
              <w:rPr>
                <w:rFonts w:ascii="Arial" w:hAnsi="Arial" w:cs="Arial"/>
                <w:color w:val="000000"/>
                <w:sz w:val="20"/>
                <w:szCs w:val="20"/>
                <w:lang w:eastAsia="en-AU"/>
              </w:rPr>
            </w:pPr>
          </w:p>
        </w:tc>
      </w:tr>
      <w:tr w:rsidR="000A41BF" w:rsidRPr="00D621BB" w:rsidTr="00E4500A">
        <w:trPr>
          <w:cantSplit/>
          <w:trHeight w:val="300"/>
        </w:trPr>
        <w:tc>
          <w:tcPr>
            <w:tcW w:w="2425" w:type="dxa"/>
            <w:vMerge/>
            <w:tcBorders>
              <w:left w:val="single" w:sz="18" w:space="0" w:color="auto"/>
              <w:right w:val="single" w:sz="18" w:space="0" w:color="auto"/>
            </w:tcBorders>
            <w:vAlign w:val="center"/>
          </w:tcPr>
          <w:p w:rsidR="000A41BF" w:rsidRPr="00D621BB" w:rsidRDefault="000A41BF" w:rsidP="00DF02AA">
            <w:pPr>
              <w:rPr>
                <w:rFonts w:ascii="Arial" w:hAnsi="Arial" w:cs="Arial"/>
                <w:color w:val="000000"/>
                <w:sz w:val="20"/>
                <w:szCs w:val="20"/>
                <w:lang w:eastAsia="en-AU"/>
              </w:rPr>
            </w:pPr>
          </w:p>
        </w:tc>
        <w:tc>
          <w:tcPr>
            <w:tcW w:w="2976" w:type="dxa"/>
            <w:tcBorders>
              <w:top w:val="single" w:sz="4" w:space="0" w:color="auto"/>
              <w:left w:val="single" w:sz="18" w:space="0" w:color="auto"/>
              <w:bottom w:val="single" w:sz="4" w:space="0" w:color="auto"/>
              <w:right w:val="single" w:sz="18" w:space="0" w:color="auto"/>
            </w:tcBorders>
            <w:shd w:val="clear" w:color="auto" w:fill="auto"/>
            <w:noWrap/>
          </w:tcPr>
          <w:p w:rsidR="000A41BF" w:rsidRDefault="00E76ACF" w:rsidP="00DF02AA">
            <w:pPr>
              <w:rPr>
                <w:rFonts w:ascii="Arial" w:eastAsia="Arial" w:hAnsi="Arial" w:cs="Arial"/>
                <w:color w:val="000000"/>
                <w:sz w:val="20"/>
                <w:szCs w:val="20"/>
                <w:lang w:eastAsia="en-AU"/>
              </w:rPr>
            </w:pPr>
            <w:proofErr w:type="spellStart"/>
            <w:r>
              <w:rPr>
                <w:rFonts w:ascii="Arial" w:eastAsia="Arial" w:hAnsi="Arial" w:cs="Arial"/>
                <w:color w:val="000000"/>
                <w:sz w:val="20"/>
                <w:szCs w:val="20"/>
                <w:lang w:eastAsia="en-AU"/>
              </w:rPr>
              <w:t>DownUnder</w:t>
            </w:r>
            <w:proofErr w:type="spellEnd"/>
            <w:r>
              <w:rPr>
                <w:rFonts w:ascii="Arial" w:eastAsia="Arial" w:hAnsi="Arial" w:cs="Arial"/>
                <w:color w:val="000000"/>
                <w:sz w:val="20"/>
                <w:szCs w:val="20"/>
                <w:lang w:eastAsia="en-AU"/>
              </w:rPr>
              <w:t xml:space="preserve"> </w:t>
            </w:r>
            <w:proofErr w:type="spellStart"/>
            <w:r>
              <w:rPr>
                <w:rFonts w:ascii="Arial" w:eastAsia="Arial" w:hAnsi="Arial" w:cs="Arial"/>
                <w:color w:val="000000"/>
                <w:sz w:val="20"/>
                <w:szCs w:val="20"/>
                <w:lang w:eastAsia="en-AU"/>
              </w:rPr>
              <w:t>GeoSolutions</w:t>
            </w:r>
            <w:proofErr w:type="spellEnd"/>
          </w:p>
        </w:tc>
        <w:tc>
          <w:tcPr>
            <w:tcW w:w="1560" w:type="dxa"/>
            <w:tcBorders>
              <w:top w:val="single" w:sz="4" w:space="0" w:color="auto"/>
              <w:left w:val="single" w:sz="18" w:space="0" w:color="auto"/>
              <w:bottom w:val="single" w:sz="4" w:space="0" w:color="auto"/>
              <w:right w:val="single" w:sz="18" w:space="0" w:color="auto"/>
            </w:tcBorders>
          </w:tcPr>
          <w:p w:rsidR="000A41BF" w:rsidRDefault="00E76ACF" w:rsidP="00DF02AA">
            <w:pPr>
              <w:rPr>
                <w:rFonts w:ascii="Arial" w:hAnsi="Arial" w:cs="Arial"/>
                <w:color w:val="000000"/>
                <w:sz w:val="20"/>
                <w:szCs w:val="20"/>
                <w:lang w:eastAsia="en-AU"/>
              </w:rPr>
            </w:pPr>
            <w:r>
              <w:rPr>
                <w:rFonts w:ascii="Arial" w:hAnsi="Arial" w:cs="Arial"/>
                <w:color w:val="000000"/>
                <w:sz w:val="20"/>
                <w:szCs w:val="20"/>
                <w:lang w:eastAsia="en-AU"/>
              </w:rPr>
              <w:t>Yes</w:t>
            </w:r>
          </w:p>
        </w:tc>
        <w:tc>
          <w:tcPr>
            <w:tcW w:w="1208" w:type="dxa"/>
            <w:tcBorders>
              <w:top w:val="single" w:sz="4" w:space="0" w:color="auto"/>
              <w:left w:val="single" w:sz="18" w:space="0" w:color="auto"/>
              <w:bottom w:val="single" w:sz="4" w:space="0" w:color="auto"/>
              <w:right w:val="single" w:sz="18" w:space="0" w:color="auto"/>
            </w:tcBorders>
          </w:tcPr>
          <w:p w:rsidR="000A41BF" w:rsidRDefault="00E76ACF" w:rsidP="00DF02AA">
            <w:pPr>
              <w:rPr>
                <w:rFonts w:ascii="Arial" w:hAnsi="Arial" w:cs="Arial"/>
                <w:color w:val="000000"/>
                <w:sz w:val="20"/>
                <w:szCs w:val="20"/>
                <w:lang w:eastAsia="en-AU"/>
              </w:rPr>
            </w:pPr>
            <w:r>
              <w:rPr>
                <w:rFonts w:ascii="Arial" w:hAnsi="Arial" w:cs="Arial"/>
                <w:color w:val="000000"/>
                <w:sz w:val="20"/>
                <w:szCs w:val="20"/>
                <w:lang w:eastAsia="en-AU"/>
              </w:rPr>
              <w:t>Yes</w:t>
            </w:r>
          </w:p>
        </w:tc>
        <w:tc>
          <w:tcPr>
            <w:tcW w:w="5671" w:type="dxa"/>
            <w:tcBorders>
              <w:top w:val="single" w:sz="4" w:space="0" w:color="auto"/>
              <w:left w:val="single" w:sz="18" w:space="0" w:color="auto"/>
              <w:bottom w:val="single" w:sz="4" w:space="0" w:color="auto"/>
              <w:right w:val="single" w:sz="18" w:space="0" w:color="auto"/>
            </w:tcBorders>
            <w:shd w:val="clear" w:color="auto" w:fill="auto"/>
            <w:noWrap/>
          </w:tcPr>
          <w:p w:rsidR="000A41BF" w:rsidRDefault="000A41BF" w:rsidP="00DF02AA">
            <w:pPr>
              <w:rPr>
                <w:rFonts w:ascii="Arial" w:hAnsi="Arial" w:cs="Arial"/>
                <w:color w:val="000000"/>
                <w:sz w:val="20"/>
                <w:szCs w:val="20"/>
                <w:lang w:eastAsia="en-AU"/>
              </w:rPr>
            </w:pPr>
          </w:p>
        </w:tc>
      </w:tr>
      <w:tr w:rsidR="000A41BF" w:rsidRPr="00D621BB" w:rsidTr="00E76ACF">
        <w:trPr>
          <w:cantSplit/>
          <w:trHeight w:val="300"/>
        </w:trPr>
        <w:tc>
          <w:tcPr>
            <w:tcW w:w="2425" w:type="dxa"/>
            <w:vMerge/>
            <w:tcBorders>
              <w:left w:val="single" w:sz="18" w:space="0" w:color="auto"/>
              <w:bottom w:val="single" w:sz="18" w:space="0" w:color="auto"/>
              <w:right w:val="single" w:sz="18" w:space="0" w:color="auto"/>
            </w:tcBorders>
            <w:vAlign w:val="center"/>
          </w:tcPr>
          <w:p w:rsidR="000A41BF" w:rsidRPr="00D621BB" w:rsidRDefault="000A41BF" w:rsidP="00DF02AA">
            <w:pPr>
              <w:rPr>
                <w:rFonts w:ascii="Arial" w:hAnsi="Arial" w:cs="Arial"/>
                <w:color w:val="000000"/>
                <w:sz w:val="20"/>
                <w:szCs w:val="20"/>
                <w:lang w:eastAsia="en-AU"/>
              </w:rPr>
            </w:pPr>
          </w:p>
        </w:tc>
        <w:tc>
          <w:tcPr>
            <w:tcW w:w="2976" w:type="dxa"/>
            <w:tcBorders>
              <w:top w:val="single" w:sz="4" w:space="0" w:color="auto"/>
              <w:left w:val="single" w:sz="18" w:space="0" w:color="auto"/>
              <w:bottom w:val="single" w:sz="18" w:space="0" w:color="auto"/>
              <w:right w:val="single" w:sz="18" w:space="0" w:color="auto"/>
            </w:tcBorders>
            <w:shd w:val="clear" w:color="auto" w:fill="auto"/>
            <w:noWrap/>
          </w:tcPr>
          <w:p w:rsidR="000A41BF" w:rsidRDefault="00E76ACF" w:rsidP="00DF02AA">
            <w:pPr>
              <w:rPr>
                <w:rFonts w:ascii="Arial" w:eastAsia="Arial" w:hAnsi="Arial" w:cs="Arial"/>
                <w:color w:val="000000"/>
                <w:sz w:val="20"/>
                <w:szCs w:val="20"/>
                <w:lang w:eastAsia="en-AU"/>
              </w:rPr>
            </w:pPr>
            <w:r>
              <w:rPr>
                <w:rFonts w:ascii="Arial" w:eastAsia="Arial" w:hAnsi="Arial" w:cs="Arial"/>
                <w:color w:val="000000"/>
                <w:sz w:val="20"/>
                <w:szCs w:val="20"/>
                <w:lang w:eastAsia="en-AU"/>
              </w:rPr>
              <w:t>Independent Data Services</w:t>
            </w:r>
          </w:p>
        </w:tc>
        <w:tc>
          <w:tcPr>
            <w:tcW w:w="1560" w:type="dxa"/>
            <w:tcBorders>
              <w:top w:val="single" w:sz="4" w:space="0" w:color="auto"/>
              <w:left w:val="single" w:sz="18" w:space="0" w:color="auto"/>
              <w:bottom w:val="single" w:sz="18" w:space="0" w:color="auto"/>
              <w:right w:val="single" w:sz="18" w:space="0" w:color="auto"/>
            </w:tcBorders>
          </w:tcPr>
          <w:p w:rsidR="000A41BF" w:rsidRDefault="00E76ACF" w:rsidP="00DF02AA">
            <w:pPr>
              <w:rPr>
                <w:rFonts w:ascii="Arial" w:hAnsi="Arial" w:cs="Arial"/>
                <w:color w:val="000000"/>
                <w:sz w:val="20"/>
                <w:szCs w:val="20"/>
                <w:lang w:eastAsia="en-AU"/>
              </w:rPr>
            </w:pPr>
            <w:r>
              <w:rPr>
                <w:rFonts w:ascii="Arial" w:hAnsi="Arial" w:cs="Arial"/>
                <w:color w:val="000000"/>
                <w:sz w:val="20"/>
                <w:szCs w:val="20"/>
                <w:lang w:eastAsia="en-AU"/>
              </w:rPr>
              <w:t>Yes</w:t>
            </w:r>
          </w:p>
        </w:tc>
        <w:tc>
          <w:tcPr>
            <w:tcW w:w="1208" w:type="dxa"/>
            <w:tcBorders>
              <w:top w:val="single" w:sz="4" w:space="0" w:color="auto"/>
              <w:left w:val="single" w:sz="18" w:space="0" w:color="auto"/>
              <w:bottom w:val="single" w:sz="18" w:space="0" w:color="auto"/>
              <w:right w:val="single" w:sz="18" w:space="0" w:color="auto"/>
            </w:tcBorders>
          </w:tcPr>
          <w:p w:rsidR="000A41BF" w:rsidRDefault="00E76ACF" w:rsidP="00DF02AA">
            <w:pPr>
              <w:rPr>
                <w:rFonts w:ascii="Arial" w:hAnsi="Arial" w:cs="Arial"/>
                <w:color w:val="000000"/>
                <w:sz w:val="20"/>
                <w:szCs w:val="20"/>
                <w:lang w:eastAsia="en-AU"/>
              </w:rPr>
            </w:pPr>
            <w:r>
              <w:rPr>
                <w:rFonts w:ascii="Arial" w:hAnsi="Arial" w:cs="Arial"/>
                <w:color w:val="000000"/>
                <w:sz w:val="20"/>
                <w:szCs w:val="20"/>
                <w:lang w:eastAsia="en-AU"/>
              </w:rPr>
              <w:t>Yes</w:t>
            </w:r>
          </w:p>
        </w:tc>
        <w:tc>
          <w:tcPr>
            <w:tcW w:w="5671" w:type="dxa"/>
            <w:tcBorders>
              <w:top w:val="single" w:sz="4" w:space="0" w:color="auto"/>
              <w:left w:val="single" w:sz="18" w:space="0" w:color="auto"/>
              <w:bottom w:val="single" w:sz="18" w:space="0" w:color="auto"/>
              <w:right w:val="single" w:sz="18" w:space="0" w:color="auto"/>
            </w:tcBorders>
            <w:shd w:val="clear" w:color="auto" w:fill="auto"/>
            <w:noWrap/>
          </w:tcPr>
          <w:p w:rsidR="000A41BF" w:rsidRDefault="000A41BF" w:rsidP="00DF02AA">
            <w:pPr>
              <w:rPr>
                <w:rFonts w:ascii="Arial" w:hAnsi="Arial" w:cs="Arial"/>
                <w:color w:val="000000"/>
                <w:sz w:val="20"/>
                <w:szCs w:val="20"/>
                <w:lang w:eastAsia="en-AU"/>
              </w:rPr>
            </w:pPr>
          </w:p>
        </w:tc>
      </w:tr>
    </w:tbl>
    <w:p w:rsidR="00A32DC0" w:rsidRDefault="00A32DC0" w:rsidP="00F1213F">
      <w:pPr>
        <w:pStyle w:val="NormalParagraph"/>
        <w:numPr>
          <w:ilvl w:val="0"/>
          <w:numId w:val="0"/>
        </w:numPr>
        <w:ind w:left="567"/>
      </w:pPr>
    </w:p>
    <w:p w:rsidR="00A32DC0" w:rsidRDefault="00A32DC0" w:rsidP="0012089E">
      <w:pPr>
        <w:pStyle w:val="NormalParagraph"/>
        <w:numPr>
          <w:ilvl w:val="0"/>
          <w:numId w:val="0"/>
        </w:numPr>
        <w:ind w:left="567"/>
      </w:pPr>
    </w:p>
    <w:p w:rsidR="00A32DC0" w:rsidRDefault="00A32DC0" w:rsidP="0012089E">
      <w:pPr>
        <w:pStyle w:val="NormalParagraph"/>
        <w:numPr>
          <w:ilvl w:val="0"/>
          <w:numId w:val="0"/>
        </w:numPr>
        <w:ind w:left="567"/>
      </w:pPr>
    </w:p>
    <w:p w:rsidR="00A32DC0" w:rsidRDefault="00A32DC0" w:rsidP="0012089E">
      <w:pPr>
        <w:pStyle w:val="NormalParagraph"/>
        <w:numPr>
          <w:ilvl w:val="0"/>
          <w:numId w:val="0"/>
        </w:numPr>
        <w:ind w:left="567"/>
      </w:pPr>
    </w:p>
    <w:sectPr w:rsidR="00A32DC0" w:rsidSect="00A32DC0">
      <w:headerReference w:type="first" r:id="rId19"/>
      <w:pgSz w:w="16838" w:h="11906" w:orient="landscape" w:code="9"/>
      <w:pgMar w:top="1729" w:right="1440" w:bottom="1729" w:left="1582" w:header="709" w:footer="10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EEC" w:rsidRDefault="00D97EEC">
      <w:r>
        <w:separator/>
      </w:r>
    </w:p>
    <w:p w:rsidR="00D97EEC" w:rsidRDefault="00D97EEC"/>
  </w:endnote>
  <w:endnote w:type="continuationSeparator" w:id="0">
    <w:p w:rsidR="00D97EEC" w:rsidRDefault="00D97EEC">
      <w:r>
        <w:continuationSeparator/>
      </w:r>
    </w:p>
    <w:p w:rsidR="00D97EEC" w:rsidRDefault="00D97E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EEC" w:rsidRDefault="00D97E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97EEC" w:rsidRDefault="00D97EEC">
    <w:pPr>
      <w:pStyle w:val="Footer"/>
    </w:pPr>
  </w:p>
  <w:p w:rsidR="00D97EEC" w:rsidRDefault="00D97EE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EEC" w:rsidRPr="00E23669" w:rsidRDefault="00D97EEC" w:rsidP="00E23669">
    <w:pPr>
      <w:pStyle w:val="Footer"/>
      <w:jc w:val="right"/>
      <w:rPr>
        <w:rFonts w:ascii="Arial" w:hAnsi="Arial" w:cs="Arial"/>
        <w:sz w:val="22"/>
        <w:szCs w:val="22"/>
      </w:rPr>
    </w:pPr>
    <w:r w:rsidRPr="00E23669">
      <w:rPr>
        <w:rFonts w:ascii="Arial" w:hAnsi="Arial" w:cs="Arial"/>
        <w:sz w:val="22"/>
        <w:szCs w:val="22"/>
      </w:rPr>
      <w:t xml:space="preserve">Page </w:t>
    </w:r>
    <w:r w:rsidRPr="00E23669">
      <w:rPr>
        <w:rFonts w:ascii="Arial" w:hAnsi="Arial" w:cs="Arial"/>
        <w:b/>
        <w:sz w:val="22"/>
        <w:szCs w:val="22"/>
      </w:rPr>
      <w:fldChar w:fldCharType="begin"/>
    </w:r>
    <w:r w:rsidRPr="00E23669">
      <w:rPr>
        <w:rFonts w:ascii="Arial" w:hAnsi="Arial" w:cs="Arial"/>
        <w:b/>
        <w:sz w:val="22"/>
        <w:szCs w:val="22"/>
      </w:rPr>
      <w:instrText xml:space="preserve"> PAGE </w:instrText>
    </w:r>
    <w:r w:rsidRPr="00E23669">
      <w:rPr>
        <w:rFonts w:ascii="Arial" w:hAnsi="Arial" w:cs="Arial"/>
        <w:b/>
        <w:sz w:val="22"/>
        <w:szCs w:val="22"/>
      </w:rPr>
      <w:fldChar w:fldCharType="separate"/>
    </w:r>
    <w:r w:rsidR="00D42E5A">
      <w:rPr>
        <w:rFonts w:ascii="Arial" w:hAnsi="Arial" w:cs="Arial"/>
        <w:b/>
        <w:noProof/>
        <w:sz w:val="22"/>
        <w:szCs w:val="22"/>
      </w:rPr>
      <w:t>11</w:t>
    </w:r>
    <w:r w:rsidRPr="00E23669">
      <w:rPr>
        <w:rFonts w:ascii="Arial" w:hAnsi="Arial" w:cs="Arial"/>
        <w:b/>
        <w:sz w:val="22"/>
        <w:szCs w:val="22"/>
      </w:rPr>
      <w:fldChar w:fldCharType="end"/>
    </w:r>
    <w:r w:rsidRPr="00E23669">
      <w:rPr>
        <w:rFonts w:ascii="Arial" w:hAnsi="Arial" w:cs="Arial"/>
        <w:sz w:val="22"/>
        <w:szCs w:val="22"/>
      </w:rPr>
      <w:t xml:space="preserve"> of </w:t>
    </w:r>
    <w:r w:rsidRPr="00E23669">
      <w:rPr>
        <w:rFonts w:ascii="Arial" w:hAnsi="Arial" w:cs="Arial"/>
        <w:b/>
        <w:sz w:val="22"/>
        <w:szCs w:val="22"/>
      </w:rPr>
      <w:fldChar w:fldCharType="begin"/>
    </w:r>
    <w:r w:rsidRPr="00E23669">
      <w:rPr>
        <w:rFonts w:ascii="Arial" w:hAnsi="Arial" w:cs="Arial"/>
        <w:b/>
        <w:sz w:val="22"/>
        <w:szCs w:val="22"/>
      </w:rPr>
      <w:instrText xml:space="preserve"> NUMPAGES  </w:instrText>
    </w:r>
    <w:r w:rsidRPr="00E23669">
      <w:rPr>
        <w:rFonts w:ascii="Arial" w:hAnsi="Arial" w:cs="Arial"/>
        <w:b/>
        <w:sz w:val="22"/>
        <w:szCs w:val="22"/>
      </w:rPr>
      <w:fldChar w:fldCharType="separate"/>
    </w:r>
    <w:r w:rsidR="00D42E5A">
      <w:rPr>
        <w:rFonts w:ascii="Arial" w:hAnsi="Arial" w:cs="Arial"/>
        <w:b/>
        <w:noProof/>
        <w:sz w:val="22"/>
        <w:szCs w:val="22"/>
      </w:rPr>
      <w:t>35</w:t>
    </w:r>
    <w:r w:rsidRPr="00E23669">
      <w:rPr>
        <w:rFonts w:ascii="Arial" w:hAnsi="Arial" w:cs="Arial"/>
        <w:b/>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EEC" w:rsidRPr="00497688" w:rsidRDefault="00D97EEC">
    <w:pPr>
      <w:pStyle w:val="Footer"/>
      <w:jc w:val="right"/>
      <w:rPr>
        <w:rFonts w:ascii="Arial" w:hAnsi="Arial" w:cs="Arial"/>
        <w:sz w:val="22"/>
        <w:szCs w:val="22"/>
      </w:rPr>
    </w:pPr>
    <w:r w:rsidRPr="00497688">
      <w:rPr>
        <w:rFonts w:ascii="Arial" w:hAnsi="Arial" w:cs="Arial"/>
        <w:sz w:val="22"/>
        <w:szCs w:val="22"/>
      </w:rPr>
      <w:t xml:space="preserve">Page </w:t>
    </w:r>
    <w:r w:rsidRPr="00497688">
      <w:rPr>
        <w:rFonts w:ascii="Arial" w:hAnsi="Arial" w:cs="Arial"/>
        <w:b/>
        <w:sz w:val="22"/>
        <w:szCs w:val="22"/>
      </w:rPr>
      <w:fldChar w:fldCharType="begin"/>
    </w:r>
    <w:r w:rsidRPr="00497688">
      <w:rPr>
        <w:rFonts w:ascii="Arial" w:hAnsi="Arial" w:cs="Arial"/>
        <w:b/>
        <w:sz w:val="22"/>
        <w:szCs w:val="22"/>
      </w:rPr>
      <w:instrText xml:space="preserve"> PAGE </w:instrText>
    </w:r>
    <w:r w:rsidRPr="00497688">
      <w:rPr>
        <w:rFonts w:ascii="Arial" w:hAnsi="Arial" w:cs="Arial"/>
        <w:b/>
        <w:sz w:val="22"/>
        <w:szCs w:val="22"/>
      </w:rPr>
      <w:fldChar w:fldCharType="separate"/>
    </w:r>
    <w:r w:rsidR="00D42E5A">
      <w:rPr>
        <w:rFonts w:ascii="Arial" w:hAnsi="Arial" w:cs="Arial"/>
        <w:b/>
        <w:noProof/>
        <w:sz w:val="22"/>
        <w:szCs w:val="22"/>
      </w:rPr>
      <w:t>1</w:t>
    </w:r>
    <w:r w:rsidRPr="00497688">
      <w:rPr>
        <w:rFonts w:ascii="Arial" w:hAnsi="Arial" w:cs="Arial"/>
        <w:b/>
        <w:sz w:val="22"/>
        <w:szCs w:val="22"/>
      </w:rPr>
      <w:fldChar w:fldCharType="end"/>
    </w:r>
    <w:r w:rsidRPr="00497688">
      <w:rPr>
        <w:rFonts w:ascii="Arial" w:hAnsi="Arial" w:cs="Arial"/>
        <w:sz w:val="22"/>
        <w:szCs w:val="22"/>
      </w:rPr>
      <w:t xml:space="preserve"> of </w:t>
    </w:r>
    <w:r w:rsidRPr="00497688">
      <w:rPr>
        <w:rFonts w:ascii="Arial" w:hAnsi="Arial" w:cs="Arial"/>
        <w:b/>
        <w:sz w:val="22"/>
        <w:szCs w:val="22"/>
      </w:rPr>
      <w:fldChar w:fldCharType="begin"/>
    </w:r>
    <w:r w:rsidRPr="00497688">
      <w:rPr>
        <w:rFonts w:ascii="Arial" w:hAnsi="Arial" w:cs="Arial"/>
        <w:b/>
        <w:sz w:val="22"/>
        <w:szCs w:val="22"/>
      </w:rPr>
      <w:instrText xml:space="preserve"> NUMPAGES  </w:instrText>
    </w:r>
    <w:r w:rsidRPr="00497688">
      <w:rPr>
        <w:rFonts w:ascii="Arial" w:hAnsi="Arial" w:cs="Arial"/>
        <w:b/>
        <w:sz w:val="22"/>
        <w:szCs w:val="22"/>
      </w:rPr>
      <w:fldChar w:fldCharType="separate"/>
    </w:r>
    <w:r w:rsidR="00D42E5A">
      <w:rPr>
        <w:rFonts w:ascii="Arial" w:hAnsi="Arial" w:cs="Arial"/>
        <w:b/>
        <w:noProof/>
        <w:sz w:val="22"/>
        <w:szCs w:val="22"/>
      </w:rPr>
      <w:t>35</w:t>
    </w:r>
    <w:r w:rsidRPr="00497688">
      <w:rPr>
        <w:rFonts w:ascii="Arial" w:hAnsi="Arial" w:cs="Arial"/>
        <w:b/>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EEC" w:rsidRDefault="00D97EEC">
      <w:r>
        <w:separator/>
      </w:r>
    </w:p>
    <w:p w:rsidR="00D97EEC" w:rsidRDefault="00D97EEC"/>
  </w:footnote>
  <w:footnote w:type="continuationSeparator" w:id="0">
    <w:p w:rsidR="00D97EEC" w:rsidRDefault="00D97EEC">
      <w:r>
        <w:continuationSeparator/>
      </w:r>
    </w:p>
    <w:p w:rsidR="00D97EEC" w:rsidRDefault="00D97EEC"/>
  </w:footnote>
  <w:footnote w:id="1">
    <w:p w:rsidR="00D97EEC" w:rsidRDefault="00D97EEC">
      <w:pPr>
        <w:pStyle w:val="FootnoteText"/>
      </w:pPr>
      <w:r w:rsidRPr="00DE5592">
        <w:rPr>
          <w:rStyle w:val="FootnoteReference"/>
          <w:rFonts w:ascii="Arial" w:hAnsi="Arial" w:cs="Arial"/>
          <w:sz w:val="12"/>
        </w:rPr>
        <w:footnoteRef/>
      </w:r>
      <w:r>
        <w:t xml:space="preserve"> </w:t>
      </w:r>
      <w:hyperlink r:id="rId1" w:history="1">
        <w:r w:rsidRPr="00DE5592">
          <w:rPr>
            <w:rStyle w:val="Hyperlink"/>
            <w:rFonts w:ascii="Arial" w:hAnsi="Arial" w:cs="Arial"/>
            <w:sz w:val="16"/>
          </w:rPr>
          <w:t>http://clients1.ibisworld.com.au/reports/au/enterprisepremium/financials.aspx?entid=12860</w:t>
        </w:r>
      </w:hyperlink>
      <w:r w:rsidR="00DE5592">
        <w:rPr>
          <w:rStyle w:val="Hyperlink"/>
          <w:rFonts w:ascii="Arial" w:hAnsi="Arial" w:cs="Arial"/>
          <w:sz w:val="16"/>
        </w:rPr>
        <w:t>.</w:t>
      </w:r>
    </w:p>
  </w:footnote>
  <w:footnote w:id="2">
    <w:p w:rsidR="00D97EEC" w:rsidRDefault="00D97EEC">
      <w:pPr>
        <w:pStyle w:val="FootnoteText"/>
      </w:pPr>
      <w:r w:rsidRPr="00DE5592">
        <w:rPr>
          <w:rStyle w:val="FootnoteReference"/>
          <w:rFonts w:ascii="Arial" w:hAnsi="Arial" w:cs="Arial"/>
          <w:sz w:val="12"/>
        </w:rPr>
        <w:footnoteRef/>
      </w:r>
      <w:r w:rsidRPr="00DE5592">
        <w:rPr>
          <w:rStyle w:val="FootnoteReference"/>
          <w:rFonts w:ascii="Arial" w:hAnsi="Arial" w:cs="Arial"/>
          <w:sz w:val="12"/>
        </w:rPr>
        <w:t xml:space="preserve"> </w:t>
      </w:r>
      <w:r w:rsidRPr="00DE5592">
        <w:rPr>
          <w:rFonts w:ascii="Arial" w:hAnsi="Arial" w:cs="Arial"/>
          <w:sz w:val="16"/>
        </w:rPr>
        <w:t xml:space="preserve">Halliburton, </w:t>
      </w:r>
      <w:r w:rsidRPr="00DE5592">
        <w:rPr>
          <w:rFonts w:ascii="Arial" w:hAnsi="Arial" w:cs="Arial"/>
          <w:i/>
          <w:sz w:val="16"/>
        </w:rPr>
        <w:t>2014 Annual Report</w:t>
      </w:r>
      <w:r w:rsidRPr="00DE5592">
        <w:rPr>
          <w:rFonts w:ascii="Arial" w:hAnsi="Arial" w:cs="Arial"/>
          <w:sz w:val="16"/>
        </w:rPr>
        <w:t>, p. 1.</w:t>
      </w:r>
    </w:p>
  </w:footnote>
  <w:footnote w:id="3">
    <w:p w:rsidR="00D97EEC" w:rsidRDefault="00D97EEC">
      <w:pPr>
        <w:pStyle w:val="FootnoteText"/>
      </w:pPr>
      <w:r w:rsidRPr="00DE5592">
        <w:rPr>
          <w:rStyle w:val="FootnoteReference"/>
          <w:rFonts w:ascii="Arial" w:hAnsi="Arial" w:cs="Arial"/>
          <w:sz w:val="12"/>
        </w:rPr>
        <w:footnoteRef/>
      </w:r>
      <w:r w:rsidRPr="00DE5592">
        <w:rPr>
          <w:rStyle w:val="FootnoteReference"/>
          <w:rFonts w:ascii="Arial" w:hAnsi="Arial" w:cs="Arial"/>
          <w:sz w:val="12"/>
        </w:rPr>
        <w:t xml:space="preserve"> </w:t>
      </w:r>
      <w:hyperlink r:id="rId2" w:history="1">
        <w:r w:rsidRPr="00DE5592">
          <w:rPr>
            <w:rStyle w:val="Hyperlink"/>
            <w:rFonts w:ascii="Arial" w:hAnsi="Arial" w:cs="Arial"/>
            <w:sz w:val="16"/>
          </w:rPr>
          <w:t>http://clients1.ibisworld.com.au/reports/au/enterprisefull/financials.aspx?entid=218</w:t>
        </w:r>
      </w:hyperlink>
    </w:p>
  </w:footnote>
  <w:footnote w:id="4">
    <w:p w:rsidR="00D97EEC" w:rsidRDefault="00D97EEC">
      <w:pPr>
        <w:pStyle w:val="FootnoteText"/>
      </w:pPr>
      <w:r w:rsidRPr="00DE5592">
        <w:rPr>
          <w:rStyle w:val="FootnoteReference"/>
          <w:rFonts w:ascii="Arial" w:hAnsi="Arial" w:cs="Arial"/>
          <w:sz w:val="12"/>
        </w:rPr>
        <w:footnoteRef/>
      </w:r>
      <w:r w:rsidRPr="00DE5592">
        <w:rPr>
          <w:rStyle w:val="FootnoteReference"/>
          <w:rFonts w:ascii="Arial" w:hAnsi="Arial" w:cs="Arial"/>
          <w:sz w:val="12"/>
        </w:rPr>
        <w:t xml:space="preserve"> </w:t>
      </w:r>
      <w:r w:rsidRPr="00DE5592">
        <w:rPr>
          <w:rFonts w:ascii="Arial" w:hAnsi="Arial" w:cs="Arial"/>
          <w:sz w:val="16"/>
        </w:rPr>
        <w:t xml:space="preserve">Baker Hughes, </w:t>
      </w:r>
      <w:r w:rsidRPr="00DE5592">
        <w:rPr>
          <w:rFonts w:ascii="Arial" w:hAnsi="Arial" w:cs="Arial"/>
          <w:i/>
          <w:sz w:val="16"/>
        </w:rPr>
        <w:t>2014 Annual Report</w:t>
      </w:r>
      <w:r w:rsidRPr="00DE5592">
        <w:rPr>
          <w:rFonts w:ascii="Arial" w:hAnsi="Arial" w:cs="Arial"/>
          <w:sz w:val="16"/>
        </w:rPr>
        <w:t>, p. 2.</w:t>
      </w:r>
    </w:p>
  </w:footnote>
  <w:footnote w:id="5">
    <w:p w:rsidR="00D97EEC" w:rsidRPr="00DE5592" w:rsidRDefault="00D97EEC">
      <w:pPr>
        <w:pStyle w:val="FootnoteText"/>
        <w:rPr>
          <w:rFonts w:ascii="Arial" w:hAnsi="Arial" w:cs="Arial"/>
          <w:sz w:val="16"/>
        </w:rPr>
      </w:pPr>
      <w:r w:rsidRPr="00DE5592">
        <w:rPr>
          <w:rStyle w:val="FootnoteReference"/>
          <w:rFonts w:ascii="Arial" w:hAnsi="Arial" w:cs="Arial"/>
          <w:sz w:val="12"/>
        </w:rPr>
        <w:footnoteRef/>
      </w:r>
      <w:r>
        <w:t xml:space="preserve"> </w:t>
      </w:r>
      <w:r w:rsidRPr="00DE5592">
        <w:rPr>
          <w:rFonts w:ascii="Arial" w:hAnsi="Arial" w:cs="Arial"/>
          <w:sz w:val="16"/>
        </w:rPr>
        <w:t xml:space="preserve">See, Halliburton. </w:t>
      </w:r>
    </w:p>
    <w:p w:rsidR="00D97EEC" w:rsidRDefault="00D42E5A">
      <w:pPr>
        <w:pStyle w:val="FootnoteText"/>
      </w:pPr>
      <w:hyperlink r:id="rId3" w:history="1">
        <w:r w:rsidR="00D97EEC" w:rsidRPr="00DE5592">
          <w:rPr>
            <w:rStyle w:val="Hyperlink"/>
            <w:rFonts w:ascii="Arial" w:hAnsi="Arial" w:cs="Arial"/>
            <w:sz w:val="16"/>
          </w:rPr>
          <w:t>http://www.halliburton.com/public/news/pubsdata/press_release/2014/HAL-BHI-Joint-Announcement-Press-Release.pdf</w:t>
        </w:r>
      </w:hyperlink>
      <w:r w:rsidR="00D97EEC" w:rsidRPr="00DE5592">
        <w:rPr>
          <w:rFonts w:ascii="Arial" w:hAnsi="Arial" w:cs="Arial"/>
          <w:sz w:val="16"/>
        </w:rPr>
        <w:t xml:space="preserve"> </w:t>
      </w:r>
    </w:p>
  </w:footnote>
  <w:footnote w:id="6">
    <w:p w:rsidR="00D97EEC" w:rsidRPr="00DE5592" w:rsidRDefault="00D97EEC">
      <w:pPr>
        <w:pStyle w:val="FootnoteText"/>
        <w:rPr>
          <w:rFonts w:ascii="Arial" w:hAnsi="Arial" w:cs="Arial"/>
          <w:sz w:val="16"/>
        </w:rPr>
      </w:pPr>
      <w:r w:rsidRPr="00DE5592">
        <w:rPr>
          <w:rStyle w:val="FootnoteReference"/>
          <w:rFonts w:ascii="Arial" w:hAnsi="Arial" w:cs="Arial"/>
          <w:sz w:val="12"/>
        </w:rPr>
        <w:footnoteRef/>
      </w:r>
      <w:r w:rsidRPr="00DE5592">
        <w:rPr>
          <w:rStyle w:val="FootnoteReference"/>
          <w:rFonts w:ascii="Arial" w:hAnsi="Arial" w:cs="Arial"/>
          <w:sz w:val="12"/>
        </w:rPr>
        <w:t xml:space="preserve"> </w:t>
      </w:r>
      <w:r w:rsidRPr="00DE5592">
        <w:rPr>
          <w:rFonts w:ascii="Arial" w:hAnsi="Arial" w:cs="Arial"/>
          <w:sz w:val="16"/>
        </w:rPr>
        <w:t xml:space="preserve">See, Halliburton. </w:t>
      </w:r>
    </w:p>
    <w:p w:rsidR="00D97EEC" w:rsidRDefault="00D42E5A">
      <w:pPr>
        <w:pStyle w:val="FootnoteText"/>
      </w:pPr>
      <w:hyperlink r:id="rId4" w:history="1">
        <w:r w:rsidR="00D97EEC" w:rsidRPr="00DE5592">
          <w:rPr>
            <w:rStyle w:val="Hyperlink"/>
            <w:rFonts w:ascii="Arial" w:hAnsi="Arial" w:cs="Arial"/>
            <w:sz w:val="16"/>
          </w:rPr>
          <w:t>http://www.halliburton.com/public/news/pubsdata/press_release/2015/halliburton-to-separately-market-for-sale-its-drill-bits.html</w:t>
        </w:r>
      </w:hyperlink>
      <w:r w:rsidR="00D97EEC" w:rsidRPr="00DE5592">
        <w:rPr>
          <w:sz w:val="16"/>
        </w:rPr>
        <w:t xml:space="preserve"> </w:t>
      </w:r>
    </w:p>
  </w:footnote>
  <w:footnote w:id="7">
    <w:p w:rsidR="00D97EEC" w:rsidRPr="00DE5592" w:rsidRDefault="00D97EEC">
      <w:pPr>
        <w:pStyle w:val="FootnoteText"/>
        <w:rPr>
          <w:rFonts w:ascii="Arial" w:hAnsi="Arial" w:cs="Arial"/>
          <w:sz w:val="16"/>
        </w:rPr>
      </w:pPr>
      <w:r w:rsidRPr="00DE5592">
        <w:rPr>
          <w:rStyle w:val="FootnoteReference"/>
          <w:rFonts w:ascii="Arial" w:hAnsi="Arial" w:cs="Arial"/>
          <w:sz w:val="12"/>
        </w:rPr>
        <w:footnoteRef/>
      </w:r>
      <w:r>
        <w:t xml:space="preserve"> </w:t>
      </w:r>
      <w:r w:rsidRPr="00DE5592">
        <w:rPr>
          <w:rFonts w:ascii="Arial" w:hAnsi="Arial" w:cs="Arial"/>
          <w:sz w:val="16"/>
        </w:rPr>
        <w:t xml:space="preserve">See, Halliburton. </w:t>
      </w:r>
    </w:p>
    <w:p w:rsidR="00D97EEC" w:rsidRDefault="00D42E5A">
      <w:pPr>
        <w:pStyle w:val="FootnoteText"/>
      </w:pPr>
      <w:hyperlink r:id="rId5" w:history="1">
        <w:r w:rsidR="00D97EEC" w:rsidRPr="00DE5592">
          <w:rPr>
            <w:rStyle w:val="Hyperlink"/>
            <w:rFonts w:ascii="Arial" w:hAnsi="Arial" w:cs="Arial"/>
            <w:sz w:val="16"/>
          </w:rPr>
          <w:t>http://www.halliburton.com/public/news/pubsdata/press_release/2015/Halliburton-BakerHughes-announce-additional-divestiture.html</w:t>
        </w:r>
      </w:hyperlink>
      <w:r w:rsidR="00D97EEC" w:rsidRPr="00DE5592">
        <w:rPr>
          <w:sz w:val="16"/>
        </w:rPr>
        <w:t xml:space="preserve"> </w:t>
      </w:r>
    </w:p>
  </w:footnote>
  <w:footnote w:id="8">
    <w:p w:rsidR="00D97EEC" w:rsidRDefault="00D97EEC">
      <w:pPr>
        <w:pStyle w:val="FootnoteText"/>
      </w:pPr>
      <w:r w:rsidRPr="00DE5592">
        <w:rPr>
          <w:rStyle w:val="FootnoteReference"/>
          <w:rFonts w:ascii="Arial" w:hAnsi="Arial" w:cs="Arial"/>
          <w:sz w:val="12"/>
        </w:rPr>
        <w:footnoteRef/>
      </w:r>
      <w:r w:rsidRPr="00DE5592">
        <w:rPr>
          <w:rStyle w:val="FootnoteReference"/>
          <w:rFonts w:ascii="Arial" w:hAnsi="Arial" w:cs="Arial"/>
          <w:sz w:val="12"/>
        </w:rPr>
        <w:t xml:space="preserve"> </w:t>
      </w:r>
      <w:r w:rsidRPr="00DE5592">
        <w:rPr>
          <w:rFonts w:ascii="Arial" w:hAnsi="Arial" w:cs="Arial"/>
          <w:sz w:val="16"/>
        </w:rPr>
        <w:t xml:space="preserve">Schlumberger, </w:t>
      </w:r>
      <w:r w:rsidRPr="00DE5592">
        <w:rPr>
          <w:rFonts w:ascii="Arial" w:hAnsi="Arial" w:cs="Arial"/>
          <w:i/>
          <w:sz w:val="16"/>
        </w:rPr>
        <w:t>2014 Annual Report</w:t>
      </w:r>
      <w:r w:rsidRPr="00DE5592">
        <w:rPr>
          <w:rFonts w:ascii="Arial" w:hAnsi="Arial" w:cs="Arial"/>
          <w:sz w:val="16"/>
        </w:rPr>
        <w:t>, p. 1.</w:t>
      </w:r>
    </w:p>
  </w:footnote>
  <w:footnote w:id="9">
    <w:p w:rsidR="00D97EEC" w:rsidRDefault="00D97EEC">
      <w:pPr>
        <w:pStyle w:val="FootnoteText"/>
      </w:pPr>
      <w:r w:rsidRPr="00DE5592">
        <w:rPr>
          <w:rStyle w:val="FootnoteReference"/>
          <w:rFonts w:ascii="Arial" w:hAnsi="Arial" w:cs="Arial"/>
          <w:sz w:val="12"/>
        </w:rPr>
        <w:footnoteRef/>
      </w:r>
      <w:r>
        <w:t xml:space="preserve"> </w:t>
      </w:r>
      <w:r w:rsidRPr="00DE5592">
        <w:rPr>
          <w:rFonts w:ascii="Arial" w:hAnsi="Arial" w:cs="Arial"/>
          <w:sz w:val="16"/>
        </w:rPr>
        <w:t>Schlumberger</w:t>
      </w:r>
      <w:r w:rsidRPr="00DE5592">
        <w:rPr>
          <w:rFonts w:ascii="Arial" w:hAnsi="Arial" w:cs="Arial"/>
          <w:i/>
          <w:sz w:val="16"/>
        </w:rPr>
        <w:t>, 2014 Annual Report</w:t>
      </w:r>
      <w:r w:rsidRPr="00DE5592">
        <w:rPr>
          <w:rFonts w:ascii="Arial" w:hAnsi="Arial" w:cs="Arial"/>
          <w:sz w:val="16"/>
        </w:rPr>
        <w:t>, p. 2.</w:t>
      </w:r>
      <w:r>
        <w:t xml:space="preserve"> </w:t>
      </w:r>
    </w:p>
  </w:footnote>
  <w:footnote w:id="10">
    <w:p w:rsidR="00D97EEC" w:rsidRDefault="00D97EEC">
      <w:pPr>
        <w:pStyle w:val="FootnoteText"/>
      </w:pPr>
      <w:r w:rsidRPr="00DE5592">
        <w:rPr>
          <w:rStyle w:val="FootnoteReference"/>
          <w:rFonts w:ascii="Arial" w:hAnsi="Arial" w:cs="Arial"/>
          <w:sz w:val="12"/>
        </w:rPr>
        <w:footnoteRef/>
      </w:r>
      <w:r w:rsidRPr="00DE5592">
        <w:rPr>
          <w:rStyle w:val="FootnoteReference"/>
          <w:rFonts w:ascii="Arial" w:hAnsi="Arial" w:cs="Arial"/>
          <w:sz w:val="12"/>
        </w:rPr>
        <w:t xml:space="preserve"> </w:t>
      </w:r>
      <w:r w:rsidRPr="00DE5592">
        <w:rPr>
          <w:rFonts w:ascii="Arial" w:hAnsi="Arial" w:cs="Arial"/>
          <w:sz w:val="16"/>
        </w:rPr>
        <w:t xml:space="preserve">Weatherford, </w:t>
      </w:r>
      <w:r w:rsidRPr="00DE5592">
        <w:rPr>
          <w:rFonts w:ascii="Arial" w:hAnsi="Arial" w:cs="Arial"/>
          <w:i/>
          <w:sz w:val="16"/>
        </w:rPr>
        <w:t>2014 Annual Report</w:t>
      </w:r>
      <w:r w:rsidRPr="00DE5592">
        <w:rPr>
          <w:rFonts w:ascii="Arial" w:hAnsi="Arial" w:cs="Arial"/>
          <w:sz w:val="16"/>
        </w:rPr>
        <w:t>, pp. 30</w:t>
      </w:r>
      <w:r w:rsidR="00DE5592">
        <w:rPr>
          <w:rFonts w:ascii="Arial" w:hAnsi="Arial" w:cs="Arial"/>
          <w:sz w:val="16"/>
        </w:rPr>
        <w:t>–</w:t>
      </w:r>
      <w:r w:rsidRPr="00DE5592">
        <w:rPr>
          <w:rFonts w:ascii="Arial" w:hAnsi="Arial" w:cs="Arial"/>
          <w:sz w:val="16"/>
        </w:rPr>
        <w:t>31.</w:t>
      </w:r>
    </w:p>
  </w:footnote>
  <w:footnote w:id="11">
    <w:p w:rsidR="00D97EEC" w:rsidRDefault="00D97EEC">
      <w:pPr>
        <w:pStyle w:val="FootnoteText"/>
      </w:pPr>
      <w:r w:rsidRPr="00DE5592">
        <w:rPr>
          <w:rStyle w:val="FootnoteReference"/>
          <w:rFonts w:ascii="Arial" w:hAnsi="Arial" w:cs="Arial"/>
          <w:sz w:val="12"/>
        </w:rPr>
        <w:footnoteRef/>
      </w:r>
      <w:r w:rsidRPr="00DE5592">
        <w:rPr>
          <w:rStyle w:val="FootnoteReference"/>
          <w:rFonts w:ascii="Arial" w:hAnsi="Arial" w:cs="Arial"/>
          <w:sz w:val="12"/>
        </w:rPr>
        <w:t xml:space="preserve"> </w:t>
      </w:r>
      <w:r w:rsidRPr="00DE5592">
        <w:rPr>
          <w:rFonts w:ascii="Arial" w:hAnsi="Arial" w:cs="Arial"/>
          <w:sz w:val="16"/>
        </w:rPr>
        <w:t xml:space="preserve">Weatherford, </w:t>
      </w:r>
      <w:r w:rsidRPr="00DE5592">
        <w:rPr>
          <w:rFonts w:ascii="Arial" w:hAnsi="Arial" w:cs="Arial"/>
          <w:i/>
          <w:sz w:val="16"/>
        </w:rPr>
        <w:t>2014 Annual Report</w:t>
      </w:r>
      <w:r w:rsidRPr="00DE5592">
        <w:rPr>
          <w:rFonts w:ascii="Arial" w:hAnsi="Arial" w:cs="Arial"/>
          <w:sz w:val="16"/>
        </w:rPr>
        <w:t>, p. 15.</w:t>
      </w:r>
      <w:r>
        <w:t xml:space="preserve"> </w:t>
      </w:r>
    </w:p>
  </w:footnote>
  <w:footnote w:id="12">
    <w:p w:rsidR="00D97EEC" w:rsidRDefault="00D97EEC">
      <w:pPr>
        <w:pStyle w:val="FootnoteText"/>
      </w:pPr>
      <w:r w:rsidRPr="00DE5592">
        <w:rPr>
          <w:rStyle w:val="FootnoteReference"/>
          <w:rFonts w:ascii="Arial" w:hAnsi="Arial" w:cs="Arial"/>
          <w:sz w:val="12"/>
        </w:rPr>
        <w:footnoteRef/>
      </w:r>
      <w:r>
        <w:t xml:space="preserve"> </w:t>
      </w:r>
      <w:r w:rsidRPr="00DE5592">
        <w:rPr>
          <w:rFonts w:ascii="Arial" w:hAnsi="Arial" w:cs="Arial"/>
          <w:sz w:val="16"/>
        </w:rPr>
        <w:t xml:space="preserve">National Oilwell Varco, </w:t>
      </w:r>
      <w:r w:rsidRPr="00DE5592">
        <w:rPr>
          <w:rFonts w:ascii="Arial" w:hAnsi="Arial" w:cs="Arial"/>
          <w:i/>
          <w:sz w:val="16"/>
        </w:rPr>
        <w:t>2014 Annual Report</w:t>
      </w:r>
      <w:r w:rsidRPr="00DE5592">
        <w:rPr>
          <w:rFonts w:ascii="Arial" w:hAnsi="Arial" w:cs="Arial"/>
          <w:sz w:val="16"/>
        </w:rPr>
        <w:t>, pp. 1</w:t>
      </w:r>
      <w:r w:rsidR="00DE5592">
        <w:rPr>
          <w:rFonts w:ascii="Arial" w:hAnsi="Arial" w:cs="Arial"/>
          <w:sz w:val="16"/>
        </w:rPr>
        <w:t>–</w:t>
      </w:r>
      <w:r w:rsidRPr="00DE5592">
        <w:rPr>
          <w:rFonts w:ascii="Arial" w:hAnsi="Arial" w:cs="Arial"/>
          <w:sz w:val="16"/>
        </w:rPr>
        <w:t>2.</w:t>
      </w:r>
    </w:p>
  </w:footnote>
  <w:footnote w:id="13">
    <w:p w:rsidR="00D97EEC" w:rsidRDefault="00D97EEC">
      <w:pPr>
        <w:pStyle w:val="FootnoteText"/>
      </w:pPr>
      <w:r w:rsidRPr="00DE5592">
        <w:rPr>
          <w:rStyle w:val="FootnoteReference"/>
          <w:rFonts w:ascii="Arial" w:hAnsi="Arial" w:cs="Arial"/>
          <w:sz w:val="12"/>
        </w:rPr>
        <w:footnoteRef/>
      </w:r>
      <w:r w:rsidRPr="00DE5592">
        <w:rPr>
          <w:rStyle w:val="FootnoteReference"/>
          <w:rFonts w:ascii="Arial" w:hAnsi="Arial" w:cs="Arial"/>
          <w:sz w:val="12"/>
        </w:rPr>
        <w:t xml:space="preserve"> </w:t>
      </w:r>
      <w:r w:rsidRPr="00DE5592">
        <w:rPr>
          <w:rFonts w:ascii="Arial" w:hAnsi="Arial" w:cs="Arial"/>
          <w:sz w:val="16"/>
        </w:rPr>
        <w:t xml:space="preserve">National Oilwell Varco, </w:t>
      </w:r>
      <w:r w:rsidRPr="00DE5592">
        <w:rPr>
          <w:rFonts w:ascii="Arial" w:hAnsi="Arial" w:cs="Arial"/>
          <w:i/>
          <w:sz w:val="16"/>
        </w:rPr>
        <w:t>2014 Annual Report</w:t>
      </w:r>
      <w:r w:rsidRPr="00DE5592">
        <w:rPr>
          <w:rFonts w:ascii="Arial" w:hAnsi="Arial" w:cs="Arial"/>
          <w:sz w:val="16"/>
        </w:rPr>
        <w:t>, p. 2.</w:t>
      </w:r>
    </w:p>
  </w:footnote>
  <w:footnote w:id="14">
    <w:p w:rsidR="00D97EEC" w:rsidRDefault="00D97EEC">
      <w:pPr>
        <w:pStyle w:val="FootnoteText"/>
      </w:pPr>
      <w:r w:rsidRPr="00DE5592">
        <w:rPr>
          <w:rStyle w:val="FootnoteReference"/>
          <w:rFonts w:ascii="Arial" w:hAnsi="Arial" w:cs="Arial"/>
          <w:sz w:val="12"/>
        </w:rPr>
        <w:footnoteRef/>
      </w:r>
      <w:r>
        <w:t xml:space="preserve"> </w:t>
      </w:r>
      <w:r w:rsidRPr="00DE5592">
        <w:rPr>
          <w:rFonts w:ascii="Arial" w:hAnsi="Arial" w:cs="Arial"/>
          <w:sz w:val="16"/>
        </w:rPr>
        <w:t xml:space="preserve">General Electric, </w:t>
      </w:r>
      <w:r w:rsidRPr="00DE5592">
        <w:rPr>
          <w:rFonts w:ascii="Arial" w:hAnsi="Arial" w:cs="Arial"/>
          <w:i/>
          <w:sz w:val="16"/>
        </w:rPr>
        <w:t>2014 FORM 10-K</w:t>
      </w:r>
      <w:r w:rsidRPr="00DE5592">
        <w:rPr>
          <w:rFonts w:ascii="Arial" w:hAnsi="Arial" w:cs="Arial"/>
          <w:sz w:val="16"/>
        </w:rPr>
        <w:t>, p. 31</w:t>
      </w:r>
      <w:r w:rsidR="00DE5592">
        <w:t>.</w:t>
      </w:r>
    </w:p>
  </w:footnote>
  <w:footnote w:id="15">
    <w:p w:rsidR="00D97EEC" w:rsidRDefault="00D97EEC">
      <w:pPr>
        <w:pStyle w:val="FootnoteText"/>
      </w:pPr>
      <w:r w:rsidRPr="00DE5592">
        <w:rPr>
          <w:rStyle w:val="FootnoteReference"/>
          <w:rFonts w:ascii="Arial" w:hAnsi="Arial" w:cs="Arial"/>
          <w:sz w:val="12"/>
        </w:rPr>
        <w:footnoteRef/>
      </w:r>
      <w:r w:rsidRPr="00DE5592">
        <w:rPr>
          <w:rStyle w:val="FootnoteReference"/>
          <w:rFonts w:ascii="Arial" w:hAnsi="Arial" w:cs="Arial"/>
          <w:sz w:val="12"/>
        </w:rPr>
        <w:t xml:space="preserve"> </w:t>
      </w:r>
      <w:proofErr w:type="gramStart"/>
      <w:r w:rsidRPr="00DE5592">
        <w:rPr>
          <w:rFonts w:ascii="Arial" w:hAnsi="Arial" w:cs="Arial"/>
          <w:sz w:val="16"/>
        </w:rPr>
        <w:t xml:space="preserve">Superior Energy Services, </w:t>
      </w:r>
      <w:r w:rsidRPr="00DE5592">
        <w:rPr>
          <w:rFonts w:ascii="Arial" w:hAnsi="Arial" w:cs="Arial"/>
          <w:i/>
          <w:sz w:val="16"/>
        </w:rPr>
        <w:t>2014 Annual Report</w:t>
      </w:r>
      <w:r w:rsidRPr="00DE5592">
        <w:rPr>
          <w:rFonts w:ascii="Arial" w:hAnsi="Arial" w:cs="Arial"/>
          <w:sz w:val="16"/>
        </w:rPr>
        <w:t>, pp. 4</w:t>
      </w:r>
      <w:r w:rsidR="00DE5592">
        <w:rPr>
          <w:rFonts w:ascii="Arial" w:hAnsi="Arial" w:cs="Arial"/>
          <w:sz w:val="16"/>
        </w:rPr>
        <w:t>,</w:t>
      </w:r>
      <w:r w:rsidRPr="00DE5592">
        <w:rPr>
          <w:rFonts w:ascii="Arial" w:hAnsi="Arial" w:cs="Arial"/>
          <w:sz w:val="16"/>
        </w:rPr>
        <w:t xml:space="preserve"> 6.</w:t>
      </w:r>
      <w:proofErr w:type="gramEnd"/>
      <w:r>
        <w:t xml:space="preserve"> </w:t>
      </w:r>
    </w:p>
  </w:footnote>
  <w:footnote w:id="16">
    <w:p w:rsidR="00D97EEC" w:rsidRDefault="00D97EEC">
      <w:pPr>
        <w:pStyle w:val="FootnoteText"/>
      </w:pPr>
      <w:r w:rsidRPr="00DE5592">
        <w:rPr>
          <w:rStyle w:val="FootnoteReference"/>
          <w:rFonts w:ascii="Arial" w:hAnsi="Arial" w:cs="Arial"/>
          <w:sz w:val="12"/>
        </w:rPr>
        <w:footnoteRef/>
      </w:r>
      <w:r>
        <w:t xml:space="preserve"> </w:t>
      </w:r>
      <w:r w:rsidRPr="00DE5592">
        <w:rPr>
          <w:rFonts w:ascii="Arial" w:hAnsi="Arial" w:cs="Arial"/>
          <w:sz w:val="16"/>
        </w:rPr>
        <w:t xml:space="preserve">Trican Well Services, </w:t>
      </w:r>
      <w:r w:rsidRPr="00DE5592">
        <w:rPr>
          <w:rFonts w:ascii="Arial" w:hAnsi="Arial" w:cs="Arial"/>
          <w:i/>
          <w:sz w:val="16"/>
        </w:rPr>
        <w:t>2014 Annual Report</w:t>
      </w:r>
      <w:r w:rsidRPr="00DE5592">
        <w:rPr>
          <w:rFonts w:ascii="Arial" w:hAnsi="Arial" w:cs="Arial"/>
          <w:sz w:val="16"/>
        </w:rPr>
        <w:t>, p. 2.</w:t>
      </w:r>
      <w:r>
        <w:t xml:space="preserve"> </w:t>
      </w:r>
    </w:p>
  </w:footnote>
  <w:footnote w:id="17">
    <w:p w:rsidR="00A8691E" w:rsidRPr="00DE5592" w:rsidRDefault="00A8691E">
      <w:pPr>
        <w:pStyle w:val="FootnoteText"/>
        <w:rPr>
          <w:rFonts w:ascii="Arial" w:hAnsi="Arial" w:cs="Arial"/>
          <w:sz w:val="16"/>
          <w:szCs w:val="16"/>
        </w:rPr>
      </w:pPr>
      <w:r w:rsidRPr="00DE5592">
        <w:rPr>
          <w:rStyle w:val="FootnoteReference"/>
          <w:rFonts w:ascii="Arial" w:hAnsi="Arial" w:cs="Arial"/>
          <w:sz w:val="12"/>
        </w:rPr>
        <w:footnoteRef/>
      </w:r>
      <w:r w:rsidRPr="00DE5592">
        <w:rPr>
          <w:rStyle w:val="FootnoteReference"/>
          <w:rFonts w:ascii="Arial" w:hAnsi="Arial" w:cs="Arial"/>
          <w:sz w:val="12"/>
        </w:rPr>
        <w:t xml:space="preserve"> </w:t>
      </w:r>
      <w:hyperlink r:id="rId6" w:history="1">
        <w:r w:rsidRPr="00DE5592">
          <w:rPr>
            <w:rStyle w:val="Hyperlink"/>
            <w:rFonts w:ascii="Arial" w:hAnsi="Arial" w:cs="Arial"/>
            <w:sz w:val="16"/>
            <w:szCs w:val="16"/>
          </w:rPr>
          <w:t>http://www.bakerhughes.com/products-and-services/integrated-operations/integrated-services</w:t>
        </w:r>
      </w:hyperlink>
    </w:p>
    <w:p w:rsidR="00A8691E" w:rsidRDefault="00A8691E">
      <w:pPr>
        <w:pStyle w:val="FootnoteText"/>
      </w:pPr>
      <w:r w:rsidRPr="00DE5592">
        <w:rPr>
          <w:rFonts w:ascii="Arial" w:hAnsi="Arial" w:cs="Arial"/>
          <w:sz w:val="16"/>
          <w:szCs w:val="16"/>
        </w:rPr>
        <w:t>http://www.halliburton.com/en-US_solutions_public/ps/workflow-integration/default.page?node-id=hgjyd48l</w:t>
      </w:r>
    </w:p>
  </w:footnote>
  <w:footnote w:id="18">
    <w:p w:rsidR="00D97EEC" w:rsidRPr="00DE5592" w:rsidRDefault="00D97EEC" w:rsidP="00DC1FB7">
      <w:pPr>
        <w:pStyle w:val="FootnoteText"/>
        <w:rPr>
          <w:rFonts w:ascii="Arial" w:hAnsi="Arial" w:cs="Arial"/>
          <w:sz w:val="16"/>
          <w:szCs w:val="16"/>
        </w:rPr>
      </w:pPr>
      <w:r w:rsidRPr="00DE5592">
        <w:rPr>
          <w:rStyle w:val="FootnoteReference"/>
          <w:rFonts w:ascii="Arial" w:hAnsi="Arial" w:cs="Arial"/>
          <w:sz w:val="12"/>
        </w:rPr>
        <w:footnoteRef/>
      </w:r>
      <w:r w:rsidRPr="00DE5592">
        <w:rPr>
          <w:rStyle w:val="FootnoteReference"/>
          <w:rFonts w:ascii="Arial" w:hAnsi="Arial" w:cs="Arial"/>
          <w:sz w:val="12"/>
        </w:rPr>
        <w:t xml:space="preserve"> </w:t>
      </w:r>
      <w:r w:rsidRPr="00DE5592">
        <w:rPr>
          <w:rFonts w:ascii="Arial" w:hAnsi="Arial" w:cs="Arial"/>
          <w:sz w:val="16"/>
          <w:szCs w:val="16"/>
        </w:rPr>
        <w:t xml:space="preserve">See for example, Schlumberger, </w:t>
      </w:r>
      <w:r w:rsidRPr="00DE5592">
        <w:rPr>
          <w:rFonts w:ascii="Arial" w:hAnsi="Arial" w:cs="Arial"/>
          <w:i/>
          <w:sz w:val="16"/>
          <w:szCs w:val="16"/>
        </w:rPr>
        <w:t>Oilfield Glossary</w:t>
      </w:r>
      <w:r w:rsidRPr="00DE5592">
        <w:rPr>
          <w:rFonts w:ascii="Arial" w:hAnsi="Arial" w:cs="Arial"/>
          <w:sz w:val="16"/>
          <w:szCs w:val="16"/>
        </w:rPr>
        <w:t xml:space="preserve">, </w:t>
      </w:r>
      <w:proofErr w:type="gramStart"/>
      <w:r w:rsidRPr="00DE5592">
        <w:rPr>
          <w:rFonts w:ascii="Arial" w:hAnsi="Arial" w:cs="Arial"/>
          <w:sz w:val="16"/>
          <w:szCs w:val="16"/>
        </w:rPr>
        <w:t>accessed</w:t>
      </w:r>
      <w:proofErr w:type="gramEnd"/>
      <w:r w:rsidRPr="00DE5592">
        <w:rPr>
          <w:rFonts w:ascii="Arial" w:hAnsi="Arial" w:cs="Arial"/>
          <w:sz w:val="16"/>
          <w:szCs w:val="16"/>
        </w:rPr>
        <w:t xml:space="preserve"> 30 September 2015. </w:t>
      </w:r>
    </w:p>
    <w:p w:rsidR="00D97EEC" w:rsidRDefault="00D42E5A" w:rsidP="00DC1FB7">
      <w:pPr>
        <w:pStyle w:val="FootnoteText"/>
      </w:pPr>
      <w:hyperlink r:id="rId7" w:history="1">
        <w:r w:rsidR="00D97EEC" w:rsidRPr="00DE5592">
          <w:rPr>
            <w:rStyle w:val="Hyperlink"/>
            <w:rFonts w:ascii="Arial" w:hAnsi="Arial" w:cs="Arial"/>
            <w:sz w:val="16"/>
            <w:szCs w:val="16"/>
          </w:rPr>
          <w:t>http://www.glossary.oilfield.slb.com/en/Terms/d/deepwater_play.aspx</w:t>
        </w:r>
      </w:hyperlink>
    </w:p>
  </w:footnote>
  <w:footnote w:id="19">
    <w:p w:rsidR="00D97EEC" w:rsidRPr="00DE5592" w:rsidRDefault="00D97EEC" w:rsidP="00DC1FB7">
      <w:pPr>
        <w:pStyle w:val="FootnoteText"/>
        <w:rPr>
          <w:rFonts w:ascii="Arial" w:hAnsi="Arial" w:cs="Arial"/>
          <w:sz w:val="16"/>
          <w:szCs w:val="16"/>
        </w:rPr>
      </w:pPr>
      <w:r w:rsidRPr="00DE5592">
        <w:rPr>
          <w:rStyle w:val="FootnoteReference"/>
          <w:rFonts w:ascii="Arial" w:hAnsi="Arial" w:cs="Arial"/>
          <w:sz w:val="12"/>
        </w:rPr>
        <w:footnoteRef/>
      </w:r>
      <w:r>
        <w:t xml:space="preserve"> </w:t>
      </w:r>
      <w:r w:rsidRPr="00DE5592">
        <w:rPr>
          <w:rFonts w:ascii="Arial" w:hAnsi="Arial" w:cs="Arial"/>
          <w:sz w:val="16"/>
          <w:szCs w:val="16"/>
        </w:rPr>
        <w:t>In the UK, high pressure, high temperature (HPHT) is defined as pore pressures of at least 0.8psi/</w:t>
      </w:r>
      <w:proofErr w:type="spellStart"/>
      <w:r w:rsidRPr="00DE5592">
        <w:rPr>
          <w:rFonts w:ascii="Arial" w:hAnsi="Arial" w:cs="Arial"/>
          <w:sz w:val="16"/>
          <w:szCs w:val="16"/>
        </w:rPr>
        <w:t>ft</w:t>
      </w:r>
      <w:proofErr w:type="spellEnd"/>
      <w:r w:rsidRPr="00DE5592">
        <w:rPr>
          <w:rFonts w:ascii="Arial" w:hAnsi="Arial" w:cs="Arial"/>
          <w:sz w:val="16"/>
          <w:szCs w:val="16"/>
        </w:rPr>
        <w:t xml:space="preserve"> and / or temperatures in excess of 149 degrees Celsius.</w:t>
      </w:r>
    </w:p>
    <w:p w:rsidR="00D97EEC" w:rsidRPr="00DE5592" w:rsidRDefault="00D97EEC" w:rsidP="00DC1FB7">
      <w:pPr>
        <w:pStyle w:val="FootnoteText"/>
        <w:rPr>
          <w:rFonts w:ascii="Arial" w:hAnsi="Arial" w:cs="Arial"/>
          <w:sz w:val="16"/>
          <w:szCs w:val="16"/>
        </w:rPr>
      </w:pPr>
      <w:r w:rsidRPr="00DE5592">
        <w:rPr>
          <w:rFonts w:ascii="Arial" w:hAnsi="Arial" w:cs="Arial"/>
          <w:sz w:val="16"/>
          <w:szCs w:val="16"/>
        </w:rPr>
        <w:t xml:space="preserve">See for example, Schlumberger, </w:t>
      </w:r>
      <w:r w:rsidRPr="00DE5592">
        <w:rPr>
          <w:rFonts w:ascii="Arial" w:hAnsi="Arial" w:cs="Arial"/>
          <w:i/>
          <w:sz w:val="16"/>
          <w:szCs w:val="16"/>
        </w:rPr>
        <w:t>Oilfield Glossary</w:t>
      </w:r>
      <w:r w:rsidRPr="00DE5592">
        <w:rPr>
          <w:rFonts w:ascii="Arial" w:hAnsi="Arial" w:cs="Arial"/>
          <w:sz w:val="16"/>
          <w:szCs w:val="16"/>
        </w:rPr>
        <w:t xml:space="preserve">, </w:t>
      </w:r>
      <w:proofErr w:type="gramStart"/>
      <w:r w:rsidRPr="00DE5592">
        <w:rPr>
          <w:rFonts w:ascii="Arial" w:hAnsi="Arial" w:cs="Arial"/>
          <w:sz w:val="16"/>
          <w:szCs w:val="16"/>
        </w:rPr>
        <w:t>accessed</w:t>
      </w:r>
      <w:proofErr w:type="gramEnd"/>
      <w:r w:rsidRPr="00DE5592">
        <w:rPr>
          <w:rFonts w:ascii="Arial" w:hAnsi="Arial" w:cs="Arial"/>
          <w:sz w:val="16"/>
          <w:szCs w:val="16"/>
        </w:rPr>
        <w:t xml:space="preserve"> 24 September 2015. </w:t>
      </w:r>
    </w:p>
    <w:p w:rsidR="00D97EEC" w:rsidRDefault="00D42E5A">
      <w:pPr>
        <w:pStyle w:val="FootnoteText"/>
      </w:pPr>
      <w:hyperlink r:id="rId8" w:history="1">
        <w:r w:rsidR="00D97EEC" w:rsidRPr="00DE5592">
          <w:rPr>
            <w:rStyle w:val="Hyperlink"/>
            <w:rFonts w:ascii="Arial" w:hAnsi="Arial" w:cs="Arial"/>
            <w:sz w:val="16"/>
            <w:szCs w:val="16"/>
          </w:rPr>
          <w:t>http://www.glossary.oilfield.slb.com/en/Terms/h/hpht.aspx</w:t>
        </w:r>
      </w:hyperlink>
      <w:r w:rsidR="00D97EEC" w:rsidRPr="004B7F94">
        <w:t xml:space="preserve">  </w:t>
      </w:r>
    </w:p>
  </w:footnote>
  <w:footnote w:id="20">
    <w:p w:rsidR="00D97EEC" w:rsidRPr="00DE5592" w:rsidRDefault="00D97EEC" w:rsidP="00515F6C">
      <w:pPr>
        <w:pStyle w:val="FootnoteText"/>
        <w:rPr>
          <w:rFonts w:ascii="Arial" w:hAnsi="Arial" w:cs="Arial"/>
          <w:sz w:val="16"/>
          <w:szCs w:val="16"/>
        </w:rPr>
      </w:pPr>
      <w:r w:rsidRPr="00DE5592">
        <w:rPr>
          <w:rStyle w:val="FootnoteReference"/>
          <w:rFonts w:ascii="Arial" w:hAnsi="Arial" w:cs="Arial"/>
          <w:sz w:val="12"/>
        </w:rPr>
        <w:footnoteRef/>
      </w:r>
      <w:r w:rsidRPr="00DE5592">
        <w:rPr>
          <w:rStyle w:val="FootnoteReference"/>
          <w:rFonts w:ascii="Arial" w:hAnsi="Arial" w:cs="Arial"/>
          <w:sz w:val="12"/>
        </w:rPr>
        <w:t xml:space="preserve"> </w:t>
      </w:r>
      <w:r w:rsidRPr="00DE5592">
        <w:rPr>
          <w:rFonts w:ascii="Arial" w:hAnsi="Arial" w:cs="Arial"/>
          <w:sz w:val="16"/>
          <w:szCs w:val="16"/>
        </w:rPr>
        <w:t xml:space="preserve">See, for example, Halliburton, accessed 25 September 2015. </w:t>
      </w:r>
    </w:p>
    <w:p w:rsidR="00D97EEC" w:rsidRDefault="00D42E5A" w:rsidP="00515F6C">
      <w:pPr>
        <w:pStyle w:val="FootnoteText"/>
      </w:pPr>
      <w:hyperlink r:id="rId9" w:history="1">
        <w:r w:rsidR="00D97EEC" w:rsidRPr="00DE5592">
          <w:rPr>
            <w:rStyle w:val="Hyperlink"/>
            <w:rFonts w:ascii="Arial" w:hAnsi="Arial" w:cs="Arial"/>
            <w:sz w:val="16"/>
            <w:szCs w:val="16"/>
          </w:rPr>
          <w:t>http://www.halliburton.com/en-US/ps/project-management/project-management/integrated-services.page?node-id=hgoxc0in</w:t>
        </w:r>
      </w:hyperlink>
      <w:r w:rsidR="00D97EEC" w:rsidRPr="00DE5592">
        <w:rPr>
          <w:sz w:val="16"/>
          <w:szCs w:val="16"/>
        </w:rPr>
        <w:t xml:space="preserve"> </w:t>
      </w:r>
    </w:p>
  </w:footnote>
  <w:footnote w:id="21">
    <w:p w:rsidR="00D97EEC" w:rsidRPr="00DE5592" w:rsidRDefault="00D97EEC" w:rsidP="00515F6C">
      <w:pPr>
        <w:pStyle w:val="FootnoteText"/>
        <w:rPr>
          <w:rFonts w:ascii="Arial" w:hAnsi="Arial" w:cs="Arial"/>
          <w:sz w:val="16"/>
          <w:szCs w:val="16"/>
        </w:rPr>
      </w:pPr>
      <w:r w:rsidRPr="00DE5592">
        <w:rPr>
          <w:rStyle w:val="FootnoteReference"/>
          <w:rFonts w:ascii="Arial" w:hAnsi="Arial" w:cs="Arial"/>
          <w:sz w:val="12"/>
        </w:rPr>
        <w:footnoteRef/>
      </w:r>
      <w:r w:rsidRPr="00DE5592">
        <w:rPr>
          <w:rStyle w:val="FootnoteReference"/>
          <w:sz w:val="12"/>
        </w:rPr>
        <w:t xml:space="preserve"> </w:t>
      </w:r>
      <w:r w:rsidRPr="00DE5592">
        <w:rPr>
          <w:rFonts w:ascii="Arial" w:hAnsi="Arial" w:cs="Arial"/>
          <w:sz w:val="16"/>
          <w:szCs w:val="16"/>
        </w:rPr>
        <w:t xml:space="preserve">See for example, Schlumberger, accessed 24 September 2015.  </w:t>
      </w:r>
    </w:p>
    <w:p w:rsidR="00D97EEC" w:rsidRDefault="00D42E5A" w:rsidP="00515F6C">
      <w:pPr>
        <w:pStyle w:val="FootnoteText"/>
      </w:pPr>
      <w:hyperlink r:id="rId10" w:history="1">
        <w:r w:rsidR="00D97EEC" w:rsidRPr="00DE5592">
          <w:rPr>
            <w:rStyle w:val="Hyperlink"/>
            <w:rFonts w:ascii="Arial" w:hAnsi="Arial" w:cs="Arial"/>
            <w:sz w:val="16"/>
            <w:szCs w:val="16"/>
          </w:rPr>
          <w:t>http://www.glossary.oilfield.slb.com/en/Terms/t/turnkey.aspx</w:t>
        </w:r>
      </w:hyperlink>
      <w:r w:rsidR="00D97EEC" w:rsidRPr="00DE5592">
        <w:rPr>
          <w:rFonts w:ascii="Arial" w:hAnsi="Arial" w:cs="Arial"/>
        </w:rPr>
        <w:t xml:space="preserve"> </w:t>
      </w:r>
    </w:p>
  </w:footnote>
  <w:footnote w:id="22">
    <w:p w:rsidR="00D97EEC" w:rsidRPr="00DE5592" w:rsidRDefault="00D97EEC" w:rsidP="00515F6C">
      <w:pPr>
        <w:pStyle w:val="FootnoteText"/>
        <w:rPr>
          <w:rFonts w:ascii="Arial" w:hAnsi="Arial" w:cs="Arial"/>
          <w:sz w:val="16"/>
          <w:szCs w:val="16"/>
        </w:rPr>
      </w:pPr>
      <w:r w:rsidRPr="00DE5592">
        <w:rPr>
          <w:rStyle w:val="FootnoteReference"/>
          <w:rFonts w:ascii="Arial" w:hAnsi="Arial" w:cs="Arial"/>
          <w:sz w:val="12"/>
        </w:rPr>
        <w:footnoteRef/>
      </w:r>
      <w:r w:rsidRPr="00DE5592">
        <w:rPr>
          <w:rStyle w:val="FootnoteReference"/>
          <w:rFonts w:ascii="Arial" w:hAnsi="Arial" w:cs="Arial"/>
          <w:sz w:val="12"/>
        </w:rPr>
        <w:t xml:space="preserve"> </w:t>
      </w:r>
      <w:r w:rsidRPr="00DE5592">
        <w:rPr>
          <w:rFonts w:ascii="Arial" w:hAnsi="Arial" w:cs="Arial"/>
          <w:sz w:val="16"/>
          <w:szCs w:val="16"/>
        </w:rPr>
        <w:t xml:space="preserve">See, Schlumberger, </w:t>
      </w:r>
      <w:r w:rsidRPr="00DE5592">
        <w:rPr>
          <w:rFonts w:ascii="Arial" w:hAnsi="Arial" w:cs="Arial"/>
          <w:i/>
          <w:sz w:val="16"/>
          <w:szCs w:val="16"/>
        </w:rPr>
        <w:t>IPM Project Catalogue</w:t>
      </w:r>
      <w:r w:rsidRPr="00DE5592">
        <w:rPr>
          <w:rFonts w:ascii="Arial" w:hAnsi="Arial" w:cs="Arial"/>
          <w:sz w:val="16"/>
          <w:szCs w:val="16"/>
        </w:rPr>
        <w:t>, pp. 11</w:t>
      </w:r>
      <w:r w:rsidR="00DE5592">
        <w:rPr>
          <w:rFonts w:ascii="Arial" w:hAnsi="Arial" w:cs="Arial"/>
          <w:sz w:val="16"/>
          <w:szCs w:val="16"/>
        </w:rPr>
        <w:t>-12, accessed 24 September 2015.</w:t>
      </w:r>
    </w:p>
    <w:p w:rsidR="00D97EEC" w:rsidRDefault="00D97EEC" w:rsidP="00515F6C">
      <w:pPr>
        <w:pStyle w:val="FootnoteText"/>
      </w:pPr>
      <w:r w:rsidRPr="00DE5592">
        <w:rPr>
          <w:rFonts w:ascii="Arial" w:hAnsi="Arial" w:cs="Arial"/>
          <w:sz w:val="16"/>
          <w:szCs w:val="16"/>
        </w:rPr>
        <w:t xml:space="preserve"> </w:t>
      </w:r>
      <w:hyperlink r:id="rId11" w:history="1">
        <w:r w:rsidRPr="00DE5592">
          <w:rPr>
            <w:rStyle w:val="Hyperlink"/>
            <w:rFonts w:ascii="Arial" w:hAnsi="Arial" w:cs="Arial"/>
            <w:sz w:val="16"/>
            <w:szCs w:val="16"/>
          </w:rPr>
          <w:t>http://www.slb.com/~/media/Files/ipm/catalogs/integrated_project_managment_catalog.pdf</w:t>
        </w:r>
      </w:hyperlink>
      <w:r>
        <w:t xml:space="preserve">  </w:t>
      </w:r>
    </w:p>
  </w:footnote>
  <w:footnote w:id="23">
    <w:p w:rsidR="00D97EEC" w:rsidRPr="00DE5592" w:rsidRDefault="00D97EEC">
      <w:pPr>
        <w:pStyle w:val="FootnoteText"/>
        <w:rPr>
          <w:rFonts w:ascii="Arial" w:hAnsi="Arial" w:cs="Arial"/>
          <w:sz w:val="16"/>
          <w:szCs w:val="16"/>
        </w:rPr>
      </w:pPr>
      <w:r w:rsidRPr="00DE5592">
        <w:rPr>
          <w:rStyle w:val="FootnoteReference"/>
          <w:rFonts w:ascii="Arial" w:hAnsi="Arial" w:cs="Arial"/>
          <w:sz w:val="12"/>
        </w:rPr>
        <w:footnoteRef/>
      </w:r>
      <w:r w:rsidRPr="00DE5592">
        <w:rPr>
          <w:rStyle w:val="FootnoteReference"/>
          <w:rFonts w:ascii="Arial" w:hAnsi="Arial" w:cs="Arial"/>
          <w:sz w:val="12"/>
        </w:rPr>
        <w:t xml:space="preserve"> </w:t>
      </w:r>
      <w:r w:rsidRPr="00DE5592">
        <w:rPr>
          <w:rFonts w:ascii="Arial" w:hAnsi="Arial" w:cs="Arial"/>
          <w:sz w:val="16"/>
          <w:szCs w:val="16"/>
        </w:rPr>
        <w:t xml:space="preserve">See, </w:t>
      </w:r>
      <w:r w:rsidRPr="00DE5592">
        <w:rPr>
          <w:rFonts w:ascii="Arial" w:hAnsi="Arial" w:cs="Arial"/>
          <w:i/>
          <w:sz w:val="16"/>
          <w:szCs w:val="16"/>
        </w:rPr>
        <w:t>Condor</w:t>
      </w:r>
      <w:r w:rsidRPr="00DE5592">
        <w:rPr>
          <w:rFonts w:ascii="Arial" w:hAnsi="Arial" w:cs="Arial"/>
          <w:sz w:val="16"/>
          <w:szCs w:val="16"/>
        </w:rPr>
        <w:t xml:space="preserve">, accessed 30 September 2015. </w:t>
      </w:r>
    </w:p>
    <w:p w:rsidR="00D97EEC" w:rsidRDefault="00D42E5A">
      <w:pPr>
        <w:pStyle w:val="FootnoteText"/>
      </w:pPr>
      <w:hyperlink r:id="rId12" w:history="1">
        <w:r w:rsidR="00D97EEC" w:rsidRPr="00DE5592">
          <w:rPr>
            <w:rStyle w:val="Hyperlink"/>
            <w:rFonts w:ascii="Arial" w:hAnsi="Arial" w:cs="Arial"/>
            <w:sz w:val="16"/>
            <w:szCs w:val="16"/>
          </w:rPr>
          <w:t>http://condorenergy.com.au/news/australias-great-fraccing-contender/</w:t>
        </w:r>
      </w:hyperlink>
      <w:r w:rsidR="00D97EEC">
        <w:t xml:space="preserve"> </w:t>
      </w:r>
    </w:p>
  </w:footnote>
  <w:footnote w:id="24">
    <w:p w:rsidR="00D97EEC" w:rsidRDefault="00D97EEC">
      <w:pPr>
        <w:pStyle w:val="FootnoteText"/>
      </w:pPr>
      <w:r w:rsidRPr="00DE5592">
        <w:rPr>
          <w:rStyle w:val="FootnoteReference"/>
          <w:rFonts w:ascii="Arial" w:hAnsi="Arial" w:cs="Arial"/>
          <w:sz w:val="12"/>
        </w:rPr>
        <w:footnoteRef/>
      </w:r>
      <w:r w:rsidRPr="00DE5592">
        <w:rPr>
          <w:rStyle w:val="FootnoteReference"/>
          <w:rFonts w:ascii="Arial" w:hAnsi="Arial" w:cs="Arial"/>
          <w:sz w:val="12"/>
        </w:rPr>
        <w:t xml:space="preserve"> </w:t>
      </w:r>
      <w:r w:rsidRPr="00DE5592">
        <w:rPr>
          <w:rFonts w:ascii="Arial" w:hAnsi="Arial" w:cs="Arial"/>
          <w:sz w:val="16"/>
          <w:szCs w:val="16"/>
        </w:rPr>
        <w:t xml:space="preserve">Schlumberger, </w:t>
      </w:r>
      <w:r w:rsidRPr="00DE5592">
        <w:rPr>
          <w:rFonts w:ascii="Arial" w:hAnsi="Arial" w:cs="Arial"/>
          <w:i/>
          <w:sz w:val="16"/>
          <w:szCs w:val="16"/>
        </w:rPr>
        <w:t>2014 Annual Report (Form 10-K)</w:t>
      </w:r>
      <w:r w:rsidRPr="00DE5592">
        <w:rPr>
          <w:rFonts w:ascii="Arial" w:hAnsi="Arial" w:cs="Arial"/>
          <w:sz w:val="16"/>
          <w:szCs w:val="16"/>
        </w:rPr>
        <w:t xml:space="preserve">, p. 31; Halliburton, </w:t>
      </w:r>
      <w:r w:rsidRPr="00DE5592">
        <w:rPr>
          <w:rFonts w:ascii="Arial" w:hAnsi="Arial" w:cs="Arial"/>
          <w:i/>
          <w:sz w:val="16"/>
          <w:szCs w:val="16"/>
        </w:rPr>
        <w:t>2014 Annual Report (Form 10-K)</w:t>
      </w:r>
      <w:r w:rsidRPr="00DE5592">
        <w:rPr>
          <w:rFonts w:ascii="Arial" w:hAnsi="Arial" w:cs="Arial"/>
          <w:sz w:val="16"/>
          <w:szCs w:val="16"/>
        </w:rPr>
        <w:t xml:space="preserve">, p. 2; Baker Hughes, </w:t>
      </w:r>
      <w:r w:rsidRPr="00DE5592">
        <w:rPr>
          <w:rFonts w:ascii="Arial" w:hAnsi="Arial" w:cs="Arial"/>
          <w:i/>
          <w:sz w:val="16"/>
          <w:szCs w:val="16"/>
        </w:rPr>
        <w:t>2014 Annual Report (Form 10-K)</w:t>
      </w:r>
      <w:r w:rsidRPr="00DE5592">
        <w:rPr>
          <w:rFonts w:ascii="Arial" w:hAnsi="Arial" w:cs="Arial"/>
          <w:sz w:val="16"/>
          <w:szCs w:val="16"/>
        </w:rPr>
        <w:t xml:space="preserve">, p. 54; Weatherford, </w:t>
      </w:r>
      <w:r w:rsidRPr="00DE5592">
        <w:rPr>
          <w:rFonts w:ascii="Arial" w:hAnsi="Arial" w:cs="Arial"/>
          <w:i/>
          <w:sz w:val="16"/>
          <w:szCs w:val="16"/>
        </w:rPr>
        <w:t>2014 Annual Report (Form 10-K)</w:t>
      </w:r>
      <w:r w:rsidRPr="00DE5592">
        <w:rPr>
          <w:rFonts w:ascii="Arial" w:hAnsi="Arial" w:cs="Arial"/>
          <w:sz w:val="16"/>
          <w:szCs w:val="16"/>
        </w:rPr>
        <w:t>, p. 5.</w:t>
      </w:r>
    </w:p>
  </w:footnote>
  <w:footnote w:id="25">
    <w:p w:rsidR="00D97EEC" w:rsidRDefault="00D97EEC">
      <w:pPr>
        <w:pStyle w:val="FootnoteText"/>
      </w:pPr>
      <w:r w:rsidRPr="00DE5592">
        <w:rPr>
          <w:rStyle w:val="FootnoteReference"/>
          <w:rFonts w:ascii="Arial" w:hAnsi="Arial" w:cs="Arial"/>
          <w:sz w:val="12"/>
        </w:rPr>
        <w:footnoteRef/>
      </w:r>
      <w:r w:rsidRPr="00DE5592">
        <w:rPr>
          <w:rStyle w:val="FootnoteReference"/>
          <w:rFonts w:ascii="Arial" w:hAnsi="Arial" w:cs="Arial"/>
          <w:sz w:val="12"/>
        </w:rPr>
        <w:t xml:space="preserve"> </w:t>
      </w:r>
      <w:proofErr w:type="gramStart"/>
      <w:r w:rsidRPr="00DE5592">
        <w:rPr>
          <w:rFonts w:ascii="Arial" w:hAnsi="Arial" w:cs="Arial"/>
          <w:sz w:val="16"/>
          <w:szCs w:val="16"/>
        </w:rPr>
        <w:t xml:space="preserve">Halliburton, </w:t>
      </w:r>
      <w:r w:rsidRPr="00DE5592">
        <w:rPr>
          <w:rFonts w:ascii="Arial" w:hAnsi="Arial" w:cs="Arial"/>
          <w:i/>
          <w:sz w:val="16"/>
          <w:szCs w:val="16"/>
        </w:rPr>
        <w:t>2014 Annual Report</w:t>
      </w:r>
      <w:r w:rsidRPr="00DE5592">
        <w:rPr>
          <w:rFonts w:ascii="Arial" w:hAnsi="Arial" w:cs="Arial"/>
          <w:sz w:val="16"/>
          <w:szCs w:val="16"/>
        </w:rPr>
        <w:t xml:space="preserve">, p. 4; Baker Hughes, </w:t>
      </w:r>
      <w:r w:rsidRPr="00DE5592">
        <w:rPr>
          <w:rFonts w:ascii="Arial" w:hAnsi="Arial" w:cs="Arial"/>
          <w:i/>
          <w:sz w:val="16"/>
          <w:szCs w:val="16"/>
        </w:rPr>
        <w:t>2014 Annual Report</w:t>
      </w:r>
      <w:r w:rsidRPr="00DE5592">
        <w:rPr>
          <w:rFonts w:ascii="Arial" w:hAnsi="Arial" w:cs="Arial"/>
          <w:sz w:val="16"/>
          <w:szCs w:val="16"/>
        </w:rPr>
        <w:t>, p. 9 (and p. 4 of the Form 10-K).</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F51" w:rsidRDefault="00B23F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91D" w:rsidRPr="00014023" w:rsidRDefault="000E791D" w:rsidP="000E791D">
    <w:pPr>
      <w:pStyle w:val="Header"/>
      <w:jc w:val="right"/>
      <w:rPr>
        <w:rFonts w:ascii="Arial" w:hAnsi="Arial" w:cs="Arial"/>
        <w:color w:val="000000"/>
        <w:sz w:val="22"/>
        <w:szCs w:val="22"/>
      </w:rPr>
    </w:pPr>
    <w:r w:rsidRPr="00014023">
      <w:rPr>
        <w:rFonts w:ascii="Arial" w:hAnsi="Arial" w:cs="Arial"/>
        <w:color w:val="000000"/>
        <w:sz w:val="22"/>
        <w:szCs w:val="22"/>
      </w:rPr>
      <w:t>Halliburton Company – proposed acquisition of Baker Hughes</w:t>
    </w:r>
    <w:r>
      <w:rPr>
        <w:rFonts w:ascii="Arial" w:hAnsi="Arial" w:cs="Arial"/>
        <w:color w:val="000000"/>
        <w:sz w:val="22"/>
        <w:szCs w:val="22"/>
      </w:rPr>
      <w:t xml:space="preserve"> Incorporated</w:t>
    </w:r>
  </w:p>
  <w:p w:rsidR="000E791D" w:rsidRDefault="000E791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F51" w:rsidRDefault="00B23F5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91D" w:rsidRPr="00014023" w:rsidRDefault="000E791D" w:rsidP="000E791D">
    <w:pPr>
      <w:pStyle w:val="Header"/>
      <w:jc w:val="right"/>
      <w:rPr>
        <w:rFonts w:ascii="Arial" w:hAnsi="Arial" w:cs="Arial"/>
        <w:color w:val="000000"/>
        <w:sz w:val="22"/>
        <w:szCs w:val="22"/>
      </w:rPr>
    </w:pPr>
    <w:r w:rsidRPr="00014023">
      <w:rPr>
        <w:rFonts w:ascii="Arial" w:hAnsi="Arial" w:cs="Arial"/>
        <w:color w:val="000000"/>
        <w:sz w:val="22"/>
        <w:szCs w:val="22"/>
      </w:rPr>
      <w:t>Halliburton Company – proposed acquisition of Baker Hughes</w:t>
    </w:r>
    <w:r>
      <w:rPr>
        <w:rFonts w:ascii="Arial" w:hAnsi="Arial" w:cs="Arial"/>
        <w:color w:val="000000"/>
        <w:sz w:val="22"/>
        <w:szCs w:val="22"/>
      </w:rPr>
      <w:t xml:space="preserve"> Incorporated</w:t>
    </w:r>
  </w:p>
  <w:p w:rsidR="000E791D" w:rsidRDefault="000E791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91D" w:rsidRPr="00014023" w:rsidRDefault="000E791D" w:rsidP="000E791D">
    <w:pPr>
      <w:pStyle w:val="Header"/>
      <w:jc w:val="right"/>
      <w:rPr>
        <w:rFonts w:ascii="Arial" w:hAnsi="Arial" w:cs="Arial"/>
        <w:color w:val="000000"/>
        <w:sz w:val="22"/>
        <w:szCs w:val="22"/>
      </w:rPr>
    </w:pPr>
    <w:r w:rsidRPr="00014023">
      <w:rPr>
        <w:rFonts w:ascii="Arial" w:hAnsi="Arial" w:cs="Arial"/>
        <w:color w:val="000000"/>
        <w:sz w:val="22"/>
        <w:szCs w:val="22"/>
      </w:rPr>
      <w:t>Halliburton Company – proposed acquisition of Baker Hughes</w:t>
    </w:r>
    <w:r>
      <w:rPr>
        <w:rFonts w:ascii="Arial" w:hAnsi="Arial" w:cs="Arial"/>
        <w:color w:val="000000"/>
        <w:sz w:val="22"/>
        <w:szCs w:val="22"/>
      </w:rPr>
      <w:t xml:space="preserve"> Incorporated</w:t>
    </w:r>
  </w:p>
  <w:p w:rsidR="000E791D" w:rsidRDefault="000E79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942146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9982DF0"/>
    <w:multiLevelType w:val="hybridMultilevel"/>
    <w:tmpl w:val="0B2C1BFA"/>
    <w:lvl w:ilvl="0" w:tplc="A53222CC">
      <w:start w:val="1"/>
      <w:numFmt w:val="bullet"/>
      <w:lvlText w:val=""/>
      <w:lvlJc w:val="left"/>
      <w:pPr>
        <w:tabs>
          <w:tab w:val="num" w:pos="567"/>
        </w:tabs>
        <w:ind w:left="567" w:hanging="567"/>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nsid w:val="11121E31"/>
    <w:multiLevelType w:val="hybridMultilevel"/>
    <w:tmpl w:val="D270AAFE"/>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nsid w:val="133E73B6"/>
    <w:multiLevelType w:val="hybridMultilevel"/>
    <w:tmpl w:val="80220B84"/>
    <w:lvl w:ilvl="0" w:tplc="F5987420">
      <w:start w:val="1"/>
      <w:numFmt w:val="decimal"/>
      <w:pStyle w:val="Numberedlist"/>
      <w:lvlText w:val="%1."/>
      <w:lvlJc w:val="left"/>
      <w:pPr>
        <w:ind w:left="360" w:hanging="360"/>
      </w:pPr>
      <w:rPr>
        <w:rFonts w:hint="default"/>
      </w:rPr>
    </w:lvl>
    <w:lvl w:ilvl="1" w:tplc="A5728FDE" w:tentative="1">
      <w:start w:val="1"/>
      <w:numFmt w:val="bullet"/>
      <w:lvlText w:val="o"/>
      <w:lvlJc w:val="left"/>
      <w:pPr>
        <w:ind w:left="2520" w:hanging="360"/>
      </w:pPr>
      <w:rPr>
        <w:rFonts w:ascii="Courier New" w:hAnsi="Courier New" w:cs="Courier New" w:hint="default"/>
      </w:rPr>
    </w:lvl>
    <w:lvl w:ilvl="2" w:tplc="B6B8266A" w:tentative="1">
      <w:start w:val="1"/>
      <w:numFmt w:val="bullet"/>
      <w:lvlText w:val=""/>
      <w:lvlJc w:val="left"/>
      <w:pPr>
        <w:ind w:left="3240" w:hanging="360"/>
      </w:pPr>
      <w:rPr>
        <w:rFonts w:ascii="Wingdings" w:hAnsi="Wingdings" w:hint="default"/>
      </w:rPr>
    </w:lvl>
    <w:lvl w:ilvl="3" w:tplc="0E067E3E" w:tentative="1">
      <w:start w:val="1"/>
      <w:numFmt w:val="bullet"/>
      <w:lvlText w:val=""/>
      <w:lvlJc w:val="left"/>
      <w:pPr>
        <w:ind w:left="3960" w:hanging="360"/>
      </w:pPr>
      <w:rPr>
        <w:rFonts w:ascii="Symbol" w:hAnsi="Symbol" w:hint="default"/>
      </w:rPr>
    </w:lvl>
    <w:lvl w:ilvl="4" w:tplc="9D8444DE" w:tentative="1">
      <w:start w:val="1"/>
      <w:numFmt w:val="bullet"/>
      <w:lvlText w:val="o"/>
      <w:lvlJc w:val="left"/>
      <w:pPr>
        <w:ind w:left="4680" w:hanging="360"/>
      </w:pPr>
      <w:rPr>
        <w:rFonts w:ascii="Courier New" w:hAnsi="Courier New" w:cs="Courier New" w:hint="default"/>
      </w:rPr>
    </w:lvl>
    <w:lvl w:ilvl="5" w:tplc="47DE7D34" w:tentative="1">
      <w:start w:val="1"/>
      <w:numFmt w:val="bullet"/>
      <w:lvlText w:val=""/>
      <w:lvlJc w:val="left"/>
      <w:pPr>
        <w:ind w:left="5400" w:hanging="360"/>
      </w:pPr>
      <w:rPr>
        <w:rFonts w:ascii="Wingdings" w:hAnsi="Wingdings" w:hint="default"/>
      </w:rPr>
    </w:lvl>
    <w:lvl w:ilvl="6" w:tplc="9D0AFFEA" w:tentative="1">
      <w:start w:val="1"/>
      <w:numFmt w:val="bullet"/>
      <w:lvlText w:val=""/>
      <w:lvlJc w:val="left"/>
      <w:pPr>
        <w:ind w:left="6120" w:hanging="360"/>
      </w:pPr>
      <w:rPr>
        <w:rFonts w:ascii="Symbol" w:hAnsi="Symbol" w:hint="default"/>
      </w:rPr>
    </w:lvl>
    <w:lvl w:ilvl="7" w:tplc="663EE25A" w:tentative="1">
      <w:start w:val="1"/>
      <w:numFmt w:val="bullet"/>
      <w:lvlText w:val="o"/>
      <w:lvlJc w:val="left"/>
      <w:pPr>
        <w:ind w:left="6840" w:hanging="360"/>
      </w:pPr>
      <w:rPr>
        <w:rFonts w:ascii="Courier New" w:hAnsi="Courier New" w:cs="Courier New" w:hint="default"/>
      </w:rPr>
    </w:lvl>
    <w:lvl w:ilvl="8" w:tplc="2DD24F62" w:tentative="1">
      <w:start w:val="1"/>
      <w:numFmt w:val="bullet"/>
      <w:lvlText w:val=""/>
      <w:lvlJc w:val="left"/>
      <w:pPr>
        <w:ind w:left="7560" w:hanging="360"/>
      </w:pPr>
      <w:rPr>
        <w:rFonts w:ascii="Wingdings" w:hAnsi="Wingdings" w:hint="default"/>
      </w:rPr>
    </w:lvl>
  </w:abstractNum>
  <w:abstractNum w:abstractNumId="4">
    <w:nsid w:val="17217815"/>
    <w:multiLevelType w:val="hybridMultilevel"/>
    <w:tmpl w:val="29642A9A"/>
    <w:lvl w:ilvl="0" w:tplc="0C090001">
      <w:start w:val="1"/>
      <w:numFmt w:val="bullet"/>
      <w:lvlText w:val=""/>
      <w:lvlJc w:val="left"/>
      <w:pPr>
        <w:ind w:left="360" w:hanging="360"/>
      </w:pPr>
      <w:rPr>
        <w:rFonts w:ascii="Symbol" w:hAnsi="Symbol"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nsid w:val="1FC02F88"/>
    <w:multiLevelType w:val="hybridMultilevel"/>
    <w:tmpl w:val="5AE2242A"/>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
    <w:nsid w:val="21805366"/>
    <w:multiLevelType w:val="hybridMultilevel"/>
    <w:tmpl w:val="23ACFBB6"/>
    <w:lvl w:ilvl="0" w:tplc="1782359A">
      <w:start w:val="1"/>
      <w:numFmt w:val="decimal"/>
      <w:pStyle w:val="Numbered"/>
      <w:lvlText w:val="%1."/>
      <w:lvlJc w:val="left"/>
      <w:pPr>
        <w:tabs>
          <w:tab w:val="num" w:pos="567"/>
        </w:tabs>
        <w:ind w:left="567" w:hanging="567"/>
      </w:pPr>
      <w:rPr>
        <w:rFonts w:hint="default"/>
        <w:b w:val="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nsid w:val="2D9977FD"/>
    <w:multiLevelType w:val="hybridMultilevel"/>
    <w:tmpl w:val="0DC0FBE4"/>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
    <w:nsid w:val="3BE509FD"/>
    <w:multiLevelType w:val="hybridMultilevel"/>
    <w:tmpl w:val="2DA43CD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3FBA7E0B"/>
    <w:multiLevelType w:val="hybridMultilevel"/>
    <w:tmpl w:val="F32C5F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45227956"/>
    <w:multiLevelType w:val="hybridMultilevel"/>
    <w:tmpl w:val="C9FC6E6C"/>
    <w:lvl w:ilvl="0" w:tplc="A53222CC">
      <w:start w:val="1"/>
      <w:numFmt w:val="bullet"/>
      <w:pStyle w:val="Bulletpointinpagragraph"/>
      <w:lvlText w:val=""/>
      <w:lvlJc w:val="left"/>
      <w:pPr>
        <w:tabs>
          <w:tab w:val="num" w:pos="567"/>
        </w:tabs>
        <w:ind w:left="567" w:hanging="567"/>
      </w:pPr>
      <w:rPr>
        <w:rFonts w:ascii="Symbol" w:hAnsi="Symbol"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nsid w:val="5C1A14B0"/>
    <w:multiLevelType w:val="hybridMultilevel"/>
    <w:tmpl w:val="9522E85C"/>
    <w:lvl w:ilvl="0" w:tplc="0C090019">
      <w:start w:val="1"/>
      <w:numFmt w:val="lowerLetter"/>
      <w:lvlText w:val="%1."/>
      <w:lvlJc w:val="left"/>
      <w:pPr>
        <w:ind w:left="2007" w:hanging="360"/>
      </w:pPr>
    </w:lvl>
    <w:lvl w:ilvl="1" w:tplc="0C090019" w:tentative="1">
      <w:start w:val="1"/>
      <w:numFmt w:val="lowerLetter"/>
      <w:lvlText w:val="%2."/>
      <w:lvlJc w:val="left"/>
      <w:pPr>
        <w:ind w:left="2727" w:hanging="360"/>
      </w:pPr>
    </w:lvl>
    <w:lvl w:ilvl="2" w:tplc="0C09001B" w:tentative="1">
      <w:start w:val="1"/>
      <w:numFmt w:val="lowerRoman"/>
      <w:lvlText w:val="%3."/>
      <w:lvlJc w:val="right"/>
      <w:pPr>
        <w:ind w:left="3447" w:hanging="180"/>
      </w:pPr>
    </w:lvl>
    <w:lvl w:ilvl="3" w:tplc="0C09000F" w:tentative="1">
      <w:start w:val="1"/>
      <w:numFmt w:val="decimal"/>
      <w:lvlText w:val="%4."/>
      <w:lvlJc w:val="left"/>
      <w:pPr>
        <w:ind w:left="4167" w:hanging="360"/>
      </w:pPr>
    </w:lvl>
    <w:lvl w:ilvl="4" w:tplc="0C090019" w:tentative="1">
      <w:start w:val="1"/>
      <w:numFmt w:val="lowerLetter"/>
      <w:lvlText w:val="%5."/>
      <w:lvlJc w:val="left"/>
      <w:pPr>
        <w:ind w:left="4887" w:hanging="360"/>
      </w:pPr>
    </w:lvl>
    <w:lvl w:ilvl="5" w:tplc="0C09001B" w:tentative="1">
      <w:start w:val="1"/>
      <w:numFmt w:val="lowerRoman"/>
      <w:lvlText w:val="%6."/>
      <w:lvlJc w:val="right"/>
      <w:pPr>
        <w:ind w:left="5607" w:hanging="180"/>
      </w:pPr>
    </w:lvl>
    <w:lvl w:ilvl="6" w:tplc="0C09000F" w:tentative="1">
      <w:start w:val="1"/>
      <w:numFmt w:val="decimal"/>
      <w:lvlText w:val="%7."/>
      <w:lvlJc w:val="left"/>
      <w:pPr>
        <w:ind w:left="6327" w:hanging="360"/>
      </w:pPr>
    </w:lvl>
    <w:lvl w:ilvl="7" w:tplc="0C090019" w:tentative="1">
      <w:start w:val="1"/>
      <w:numFmt w:val="lowerLetter"/>
      <w:lvlText w:val="%8."/>
      <w:lvlJc w:val="left"/>
      <w:pPr>
        <w:ind w:left="7047" w:hanging="360"/>
      </w:pPr>
    </w:lvl>
    <w:lvl w:ilvl="8" w:tplc="0C09001B" w:tentative="1">
      <w:start w:val="1"/>
      <w:numFmt w:val="lowerRoman"/>
      <w:lvlText w:val="%9."/>
      <w:lvlJc w:val="right"/>
      <w:pPr>
        <w:ind w:left="7767" w:hanging="180"/>
      </w:pPr>
    </w:lvl>
  </w:abstractNum>
  <w:abstractNum w:abstractNumId="12">
    <w:nsid w:val="7B857E07"/>
    <w:multiLevelType w:val="hybridMultilevel"/>
    <w:tmpl w:val="35E06096"/>
    <w:lvl w:ilvl="0" w:tplc="0C090001">
      <w:start w:val="1"/>
      <w:numFmt w:val="bullet"/>
      <w:lvlText w:val=""/>
      <w:lvlJc w:val="left"/>
      <w:pPr>
        <w:tabs>
          <w:tab w:val="num" w:pos="1134"/>
        </w:tabs>
        <w:ind w:left="1134" w:hanging="567"/>
      </w:pPr>
      <w:rPr>
        <w:rFonts w:ascii="Symbol" w:hAnsi="Symbol" w:hint="default"/>
      </w:rPr>
    </w:lvl>
    <w:lvl w:ilvl="1" w:tplc="0C090019">
      <w:start w:val="1"/>
      <w:numFmt w:val="lowerLetter"/>
      <w:lvlText w:val="%2."/>
      <w:lvlJc w:val="left"/>
      <w:pPr>
        <w:tabs>
          <w:tab w:val="num" w:pos="2007"/>
        </w:tabs>
        <w:ind w:left="2007" w:hanging="360"/>
      </w:pPr>
    </w:lvl>
    <w:lvl w:ilvl="2" w:tplc="0C09001B" w:tentative="1">
      <w:start w:val="1"/>
      <w:numFmt w:val="lowerRoman"/>
      <w:lvlText w:val="%3."/>
      <w:lvlJc w:val="right"/>
      <w:pPr>
        <w:tabs>
          <w:tab w:val="num" w:pos="2727"/>
        </w:tabs>
        <w:ind w:left="2727" w:hanging="180"/>
      </w:pPr>
    </w:lvl>
    <w:lvl w:ilvl="3" w:tplc="0C09000F" w:tentative="1">
      <w:start w:val="1"/>
      <w:numFmt w:val="decimal"/>
      <w:lvlText w:val="%4."/>
      <w:lvlJc w:val="left"/>
      <w:pPr>
        <w:tabs>
          <w:tab w:val="num" w:pos="3447"/>
        </w:tabs>
        <w:ind w:left="3447" w:hanging="360"/>
      </w:pPr>
    </w:lvl>
    <w:lvl w:ilvl="4" w:tplc="0C090019" w:tentative="1">
      <w:start w:val="1"/>
      <w:numFmt w:val="lowerLetter"/>
      <w:lvlText w:val="%5."/>
      <w:lvlJc w:val="left"/>
      <w:pPr>
        <w:tabs>
          <w:tab w:val="num" w:pos="4167"/>
        </w:tabs>
        <w:ind w:left="4167" w:hanging="360"/>
      </w:pPr>
    </w:lvl>
    <w:lvl w:ilvl="5" w:tplc="0C09001B" w:tentative="1">
      <w:start w:val="1"/>
      <w:numFmt w:val="lowerRoman"/>
      <w:lvlText w:val="%6."/>
      <w:lvlJc w:val="right"/>
      <w:pPr>
        <w:tabs>
          <w:tab w:val="num" w:pos="4887"/>
        </w:tabs>
        <w:ind w:left="4887" w:hanging="180"/>
      </w:pPr>
    </w:lvl>
    <w:lvl w:ilvl="6" w:tplc="0C09000F" w:tentative="1">
      <w:start w:val="1"/>
      <w:numFmt w:val="decimal"/>
      <w:lvlText w:val="%7."/>
      <w:lvlJc w:val="left"/>
      <w:pPr>
        <w:tabs>
          <w:tab w:val="num" w:pos="5607"/>
        </w:tabs>
        <w:ind w:left="5607" w:hanging="360"/>
      </w:pPr>
    </w:lvl>
    <w:lvl w:ilvl="7" w:tplc="0C090019" w:tentative="1">
      <w:start w:val="1"/>
      <w:numFmt w:val="lowerLetter"/>
      <w:lvlText w:val="%8."/>
      <w:lvlJc w:val="left"/>
      <w:pPr>
        <w:tabs>
          <w:tab w:val="num" w:pos="6327"/>
        </w:tabs>
        <w:ind w:left="6327" w:hanging="360"/>
      </w:pPr>
    </w:lvl>
    <w:lvl w:ilvl="8" w:tplc="0C09001B" w:tentative="1">
      <w:start w:val="1"/>
      <w:numFmt w:val="lowerRoman"/>
      <w:lvlText w:val="%9."/>
      <w:lvlJc w:val="right"/>
      <w:pPr>
        <w:tabs>
          <w:tab w:val="num" w:pos="7047"/>
        </w:tabs>
        <w:ind w:left="7047" w:hanging="180"/>
      </w:pPr>
    </w:lvl>
  </w:abstractNum>
  <w:abstractNum w:abstractNumId="13">
    <w:nsid w:val="7DA31AB2"/>
    <w:multiLevelType w:val="hybridMultilevel"/>
    <w:tmpl w:val="C5D4E028"/>
    <w:lvl w:ilvl="0" w:tplc="008E7FDE">
      <w:start w:val="1"/>
      <w:numFmt w:val="lowerLetter"/>
      <w:pStyle w:val="ABCList"/>
      <w:lvlText w:val="%1."/>
      <w:lvlJc w:val="left"/>
      <w:pPr>
        <w:ind w:left="192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C090019" w:tentative="1">
      <w:start w:val="1"/>
      <w:numFmt w:val="lowerLetter"/>
      <w:lvlText w:val="%2."/>
      <w:lvlJc w:val="left"/>
      <w:pPr>
        <w:ind w:left="2640" w:hanging="360"/>
      </w:pPr>
    </w:lvl>
    <w:lvl w:ilvl="2" w:tplc="0C09001B" w:tentative="1">
      <w:start w:val="1"/>
      <w:numFmt w:val="lowerRoman"/>
      <w:lvlText w:val="%3."/>
      <w:lvlJc w:val="right"/>
      <w:pPr>
        <w:ind w:left="3360" w:hanging="180"/>
      </w:pPr>
    </w:lvl>
    <w:lvl w:ilvl="3" w:tplc="0C09000F" w:tentative="1">
      <w:start w:val="1"/>
      <w:numFmt w:val="decimal"/>
      <w:lvlText w:val="%4."/>
      <w:lvlJc w:val="left"/>
      <w:pPr>
        <w:ind w:left="4080" w:hanging="360"/>
      </w:pPr>
    </w:lvl>
    <w:lvl w:ilvl="4" w:tplc="0C090019" w:tentative="1">
      <w:start w:val="1"/>
      <w:numFmt w:val="lowerLetter"/>
      <w:lvlText w:val="%5."/>
      <w:lvlJc w:val="left"/>
      <w:pPr>
        <w:ind w:left="4800" w:hanging="360"/>
      </w:pPr>
    </w:lvl>
    <w:lvl w:ilvl="5" w:tplc="0C09001B" w:tentative="1">
      <w:start w:val="1"/>
      <w:numFmt w:val="lowerRoman"/>
      <w:lvlText w:val="%6."/>
      <w:lvlJc w:val="right"/>
      <w:pPr>
        <w:ind w:left="5520" w:hanging="180"/>
      </w:pPr>
    </w:lvl>
    <w:lvl w:ilvl="6" w:tplc="0C09000F" w:tentative="1">
      <w:start w:val="1"/>
      <w:numFmt w:val="decimal"/>
      <w:lvlText w:val="%7."/>
      <w:lvlJc w:val="left"/>
      <w:pPr>
        <w:ind w:left="6240" w:hanging="360"/>
      </w:pPr>
    </w:lvl>
    <w:lvl w:ilvl="7" w:tplc="0C090019" w:tentative="1">
      <w:start w:val="1"/>
      <w:numFmt w:val="lowerLetter"/>
      <w:lvlText w:val="%8."/>
      <w:lvlJc w:val="left"/>
      <w:pPr>
        <w:ind w:left="6960" w:hanging="360"/>
      </w:pPr>
    </w:lvl>
    <w:lvl w:ilvl="8" w:tplc="0C09001B" w:tentative="1">
      <w:start w:val="1"/>
      <w:numFmt w:val="lowerRoman"/>
      <w:lvlText w:val="%9."/>
      <w:lvlJc w:val="right"/>
      <w:pPr>
        <w:ind w:left="7680" w:hanging="180"/>
      </w:pPr>
    </w:lvl>
  </w:abstractNum>
  <w:abstractNum w:abstractNumId="14">
    <w:nsid w:val="7E2819EC"/>
    <w:multiLevelType w:val="multilevel"/>
    <w:tmpl w:val="BDF60B4C"/>
    <w:lvl w:ilvl="0">
      <w:start w:val="1"/>
      <w:numFmt w:val="bullet"/>
      <w:pStyle w:val="Bulletpoin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6"/>
  </w:num>
  <w:num w:numId="3">
    <w:abstractNumId w:val="13"/>
  </w:num>
  <w:num w:numId="4">
    <w:abstractNumId w:val="8"/>
  </w:num>
  <w:num w:numId="5">
    <w:abstractNumId w:val="4"/>
  </w:num>
  <w:num w:numId="6">
    <w:abstractNumId w:val="12"/>
  </w:num>
  <w:num w:numId="7">
    <w:abstractNumId w:val="3"/>
  </w:num>
  <w:num w:numId="8">
    <w:abstractNumId w:val="14"/>
  </w:num>
  <w:num w:numId="9">
    <w:abstractNumId w:val="11"/>
  </w:num>
  <w:num w:numId="10">
    <w:abstractNumId w:val="10"/>
  </w:num>
  <w:num w:numId="11">
    <w:abstractNumId w:val="9"/>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5"/>
  </w:num>
  <w:num w:numId="23">
    <w:abstractNumId w:val="6"/>
  </w:num>
  <w:num w:numId="24">
    <w:abstractNumId w:val="6"/>
  </w:num>
  <w:num w:numId="25">
    <w:abstractNumId w:val="10"/>
  </w:num>
  <w:num w:numId="26">
    <w:abstractNumId w:val="2"/>
  </w:num>
  <w:num w:numId="27">
    <w:abstractNumId w:val="6"/>
  </w:num>
  <w:num w:numId="28">
    <w:abstractNumId w:val="6"/>
  </w:num>
  <w:num w:numId="29">
    <w:abstractNumId w:val="7"/>
  </w:num>
  <w:num w:numId="30">
    <w:abstractNumId w:val="1"/>
  </w:num>
  <w:num w:numId="31">
    <w:abstractNumId w:val="6"/>
  </w:num>
  <w:num w:numId="32">
    <w:abstractNumId w:val="6"/>
  </w:num>
  <w:num w:numId="33">
    <w:abstractNumId w:val="6"/>
  </w:num>
  <w:num w:numId="34">
    <w:abstractNumId w:val="6"/>
  </w:num>
  <w:num w:numId="35">
    <w:abstractNumId w:val="6"/>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noPunctuationKerning/>
  <w:characterSpacingControl w:val="doNotCompress"/>
  <w:hdrShapeDefaults>
    <o:shapedefaults v:ext="edit" spidmax="346113"/>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urrentname" w:val="\\cdchnas-evs02\home$\rneil\halliburton baker hughes - draft - soi - statement of issues - september 2015 (MER2015-09054).docx"/>
  </w:docVars>
  <w:rsids>
    <w:rsidRoot w:val="002A6DE2"/>
    <w:rsid w:val="00000309"/>
    <w:rsid w:val="000028A1"/>
    <w:rsid w:val="0000563E"/>
    <w:rsid w:val="00005878"/>
    <w:rsid w:val="00007C14"/>
    <w:rsid w:val="000107A1"/>
    <w:rsid w:val="000113A1"/>
    <w:rsid w:val="00011526"/>
    <w:rsid w:val="00011816"/>
    <w:rsid w:val="00012A0A"/>
    <w:rsid w:val="00014023"/>
    <w:rsid w:val="00016892"/>
    <w:rsid w:val="00017B00"/>
    <w:rsid w:val="00021467"/>
    <w:rsid w:val="00021752"/>
    <w:rsid w:val="00021E95"/>
    <w:rsid w:val="000239CD"/>
    <w:rsid w:val="00023D1C"/>
    <w:rsid w:val="0002412F"/>
    <w:rsid w:val="00024AFF"/>
    <w:rsid w:val="00025EDF"/>
    <w:rsid w:val="000262C5"/>
    <w:rsid w:val="00027270"/>
    <w:rsid w:val="000323C4"/>
    <w:rsid w:val="00033890"/>
    <w:rsid w:val="00033C3A"/>
    <w:rsid w:val="000367AE"/>
    <w:rsid w:val="000435E7"/>
    <w:rsid w:val="00043EFD"/>
    <w:rsid w:val="0004525F"/>
    <w:rsid w:val="000510D4"/>
    <w:rsid w:val="00053A6C"/>
    <w:rsid w:val="00055BE3"/>
    <w:rsid w:val="00056933"/>
    <w:rsid w:val="000570AF"/>
    <w:rsid w:val="000578D6"/>
    <w:rsid w:val="00057984"/>
    <w:rsid w:val="00061804"/>
    <w:rsid w:val="00062936"/>
    <w:rsid w:val="00065BEF"/>
    <w:rsid w:val="00066C70"/>
    <w:rsid w:val="00066F96"/>
    <w:rsid w:val="00072E29"/>
    <w:rsid w:val="000761BD"/>
    <w:rsid w:val="0007658B"/>
    <w:rsid w:val="000769AD"/>
    <w:rsid w:val="000775A9"/>
    <w:rsid w:val="00080C1E"/>
    <w:rsid w:val="00081A7F"/>
    <w:rsid w:val="00083EE1"/>
    <w:rsid w:val="0008445B"/>
    <w:rsid w:val="000857A3"/>
    <w:rsid w:val="00087F58"/>
    <w:rsid w:val="000945B7"/>
    <w:rsid w:val="00095D73"/>
    <w:rsid w:val="00097D6C"/>
    <w:rsid w:val="000A07F4"/>
    <w:rsid w:val="000A1280"/>
    <w:rsid w:val="000A264C"/>
    <w:rsid w:val="000A3005"/>
    <w:rsid w:val="000A41BF"/>
    <w:rsid w:val="000A4FE0"/>
    <w:rsid w:val="000A603B"/>
    <w:rsid w:val="000B3623"/>
    <w:rsid w:val="000B394E"/>
    <w:rsid w:val="000B3D0B"/>
    <w:rsid w:val="000B65D5"/>
    <w:rsid w:val="000B66F9"/>
    <w:rsid w:val="000B7065"/>
    <w:rsid w:val="000B7B7D"/>
    <w:rsid w:val="000C047F"/>
    <w:rsid w:val="000C3176"/>
    <w:rsid w:val="000C68AB"/>
    <w:rsid w:val="000C6F6B"/>
    <w:rsid w:val="000C79D5"/>
    <w:rsid w:val="000D125E"/>
    <w:rsid w:val="000D160A"/>
    <w:rsid w:val="000D1A46"/>
    <w:rsid w:val="000D6E71"/>
    <w:rsid w:val="000D7F27"/>
    <w:rsid w:val="000E0735"/>
    <w:rsid w:val="000E14B9"/>
    <w:rsid w:val="000E1D8A"/>
    <w:rsid w:val="000E2D28"/>
    <w:rsid w:val="000E58C8"/>
    <w:rsid w:val="000E7844"/>
    <w:rsid w:val="000E791D"/>
    <w:rsid w:val="000F09D5"/>
    <w:rsid w:val="000F1353"/>
    <w:rsid w:val="000F207C"/>
    <w:rsid w:val="000F24E8"/>
    <w:rsid w:val="000F397A"/>
    <w:rsid w:val="000F454F"/>
    <w:rsid w:val="000F535C"/>
    <w:rsid w:val="000F6D42"/>
    <w:rsid w:val="00103DB7"/>
    <w:rsid w:val="001040A1"/>
    <w:rsid w:val="001057BD"/>
    <w:rsid w:val="001058E0"/>
    <w:rsid w:val="00106536"/>
    <w:rsid w:val="0010745D"/>
    <w:rsid w:val="00107AB3"/>
    <w:rsid w:val="0011003C"/>
    <w:rsid w:val="001113B7"/>
    <w:rsid w:val="00112FED"/>
    <w:rsid w:val="0011391C"/>
    <w:rsid w:val="0011647C"/>
    <w:rsid w:val="00117B32"/>
    <w:rsid w:val="00117D13"/>
    <w:rsid w:val="00117E40"/>
    <w:rsid w:val="0012089E"/>
    <w:rsid w:val="00124F04"/>
    <w:rsid w:val="001315C5"/>
    <w:rsid w:val="00132A55"/>
    <w:rsid w:val="00134109"/>
    <w:rsid w:val="0013421F"/>
    <w:rsid w:val="001347EE"/>
    <w:rsid w:val="00134AD5"/>
    <w:rsid w:val="00135D2B"/>
    <w:rsid w:val="00136E80"/>
    <w:rsid w:val="001373B3"/>
    <w:rsid w:val="00140D2A"/>
    <w:rsid w:val="00144622"/>
    <w:rsid w:val="00144AA2"/>
    <w:rsid w:val="001461A7"/>
    <w:rsid w:val="0015014F"/>
    <w:rsid w:val="001502A5"/>
    <w:rsid w:val="00150E91"/>
    <w:rsid w:val="00151CE5"/>
    <w:rsid w:val="00152741"/>
    <w:rsid w:val="00153098"/>
    <w:rsid w:val="0015473B"/>
    <w:rsid w:val="00154F46"/>
    <w:rsid w:val="0016311C"/>
    <w:rsid w:val="0016311F"/>
    <w:rsid w:val="001641B5"/>
    <w:rsid w:val="00165076"/>
    <w:rsid w:val="0017017D"/>
    <w:rsid w:val="001702CD"/>
    <w:rsid w:val="00170ECD"/>
    <w:rsid w:val="001720D8"/>
    <w:rsid w:val="001736AB"/>
    <w:rsid w:val="001759CD"/>
    <w:rsid w:val="00175E0C"/>
    <w:rsid w:val="001773A6"/>
    <w:rsid w:val="00177CCE"/>
    <w:rsid w:val="00181455"/>
    <w:rsid w:val="0018455C"/>
    <w:rsid w:val="0019013F"/>
    <w:rsid w:val="001918B6"/>
    <w:rsid w:val="001931AF"/>
    <w:rsid w:val="00193EA2"/>
    <w:rsid w:val="00194633"/>
    <w:rsid w:val="00194B34"/>
    <w:rsid w:val="00194D5D"/>
    <w:rsid w:val="00194EFF"/>
    <w:rsid w:val="001A0758"/>
    <w:rsid w:val="001A2694"/>
    <w:rsid w:val="001A2B35"/>
    <w:rsid w:val="001A2DCF"/>
    <w:rsid w:val="001A3A59"/>
    <w:rsid w:val="001A3B05"/>
    <w:rsid w:val="001A4C29"/>
    <w:rsid w:val="001A68F4"/>
    <w:rsid w:val="001A6925"/>
    <w:rsid w:val="001B040E"/>
    <w:rsid w:val="001B0B69"/>
    <w:rsid w:val="001B0D17"/>
    <w:rsid w:val="001B11C7"/>
    <w:rsid w:val="001B3433"/>
    <w:rsid w:val="001B35DF"/>
    <w:rsid w:val="001B4418"/>
    <w:rsid w:val="001B4A7F"/>
    <w:rsid w:val="001B774D"/>
    <w:rsid w:val="001B7BD4"/>
    <w:rsid w:val="001B7EC5"/>
    <w:rsid w:val="001C0D35"/>
    <w:rsid w:val="001C0E6B"/>
    <w:rsid w:val="001C1695"/>
    <w:rsid w:val="001C34E2"/>
    <w:rsid w:val="001C3D47"/>
    <w:rsid w:val="001C42C7"/>
    <w:rsid w:val="001C6B0F"/>
    <w:rsid w:val="001C6DB4"/>
    <w:rsid w:val="001D20A7"/>
    <w:rsid w:val="001D224C"/>
    <w:rsid w:val="001D287E"/>
    <w:rsid w:val="001D5A02"/>
    <w:rsid w:val="001D64E6"/>
    <w:rsid w:val="001D69C8"/>
    <w:rsid w:val="001D6A17"/>
    <w:rsid w:val="001D71D1"/>
    <w:rsid w:val="001D7200"/>
    <w:rsid w:val="001D7279"/>
    <w:rsid w:val="001D7964"/>
    <w:rsid w:val="001D7BFD"/>
    <w:rsid w:val="001E36F0"/>
    <w:rsid w:val="001E54B7"/>
    <w:rsid w:val="001E650F"/>
    <w:rsid w:val="001E6548"/>
    <w:rsid w:val="001E654E"/>
    <w:rsid w:val="001E7CB1"/>
    <w:rsid w:val="001F1083"/>
    <w:rsid w:val="001F2FA5"/>
    <w:rsid w:val="001F512C"/>
    <w:rsid w:val="001F7558"/>
    <w:rsid w:val="001F7AED"/>
    <w:rsid w:val="00202826"/>
    <w:rsid w:val="0020449F"/>
    <w:rsid w:val="00205C80"/>
    <w:rsid w:val="00206986"/>
    <w:rsid w:val="0020741A"/>
    <w:rsid w:val="00207425"/>
    <w:rsid w:val="0021005E"/>
    <w:rsid w:val="0021043F"/>
    <w:rsid w:val="00210704"/>
    <w:rsid w:val="00213480"/>
    <w:rsid w:val="00213FF0"/>
    <w:rsid w:val="0021446E"/>
    <w:rsid w:val="00214DE9"/>
    <w:rsid w:val="00220E4C"/>
    <w:rsid w:val="0022118C"/>
    <w:rsid w:val="00221E71"/>
    <w:rsid w:val="0022220A"/>
    <w:rsid w:val="00222DCF"/>
    <w:rsid w:val="00222DEA"/>
    <w:rsid w:val="00223B35"/>
    <w:rsid w:val="002262E4"/>
    <w:rsid w:val="00226750"/>
    <w:rsid w:val="00231036"/>
    <w:rsid w:val="002314C6"/>
    <w:rsid w:val="00232372"/>
    <w:rsid w:val="00236252"/>
    <w:rsid w:val="002366BC"/>
    <w:rsid w:val="002375AF"/>
    <w:rsid w:val="002376D6"/>
    <w:rsid w:val="002401D7"/>
    <w:rsid w:val="00240DAA"/>
    <w:rsid w:val="00245837"/>
    <w:rsid w:val="00245B49"/>
    <w:rsid w:val="00245E8B"/>
    <w:rsid w:val="00245F80"/>
    <w:rsid w:val="00246E0F"/>
    <w:rsid w:val="002503AA"/>
    <w:rsid w:val="00251203"/>
    <w:rsid w:val="002552FC"/>
    <w:rsid w:val="00257F64"/>
    <w:rsid w:val="0026181C"/>
    <w:rsid w:val="002631D0"/>
    <w:rsid w:val="002637AC"/>
    <w:rsid w:val="00264BB5"/>
    <w:rsid w:val="00270022"/>
    <w:rsid w:val="00270946"/>
    <w:rsid w:val="00270B18"/>
    <w:rsid w:val="00270BF1"/>
    <w:rsid w:val="00270DB3"/>
    <w:rsid w:val="0027462F"/>
    <w:rsid w:val="0027479B"/>
    <w:rsid w:val="00276444"/>
    <w:rsid w:val="00276E57"/>
    <w:rsid w:val="0027778D"/>
    <w:rsid w:val="00280935"/>
    <w:rsid w:val="00281FBA"/>
    <w:rsid w:val="00283FA9"/>
    <w:rsid w:val="00284A43"/>
    <w:rsid w:val="00285AB2"/>
    <w:rsid w:val="00286FCD"/>
    <w:rsid w:val="0029273A"/>
    <w:rsid w:val="00293007"/>
    <w:rsid w:val="00294EA4"/>
    <w:rsid w:val="002958C8"/>
    <w:rsid w:val="00296943"/>
    <w:rsid w:val="002A1619"/>
    <w:rsid w:val="002A1B54"/>
    <w:rsid w:val="002A1EB3"/>
    <w:rsid w:val="002A2ABF"/>
    <w:rsid w:val="002A3AF5"/>
    <w:rsid w:val="002A3C3A"/>
    <w:rsid w:val="002A6B4D"/>
    <w:rsid w:val="002A6DE2"/>
    <w:rsid w:val="002A729B"/>
    <w:rsid w:val="002B1498"/>
    <w:rsid w:val="002B2CE3"/>
    <w:rsid w:val="002B33D8"/>
    <w:rsid w:val="002B372B"/>
    <w:rsid w:val="002B4523"/>
    <w:rsid w:val="002B4A93"/>
    <w:rsid w:val="002B61E7"/>
    <w:rsid w:val="002B7B7F"/>
    <w:rsid w:val="002C0DF1"/>
    <w:rsid w:val="002C1157"/>
    <w:rsid w:val="002C41BC"/>
    <w:rsid w:val="002C4AB7"/>
    <w:rsid w:val="002C55A1"/>
    <w:rsid w:val="002C584A"/>
    <w:rsid w:val="002C7733"/>
    <w:rsid w:val="002D67EC"/>
    <w:rsid w:val="002D73DC"/>
    <w:rsid w:val="002D7B29"/>
    <w:rsid w:val="002D7EDE"/>
    <w:rsid w:val="002E063A"/>
    <w:rsid w:val="002E1103"/>
    <w:rsid w:val="002E153A"/>
    <w:rsid w:val="002E5550"/>
    <w:rsid w:val="002E60E9"/>
    <w:rsid w:val="002E7CA0"/>
    <w:rsid w:val="002F0E33"/>
    <w:rsid w:val="00300EE7"/>
    <w:rsid w:val="00302D57"/>
    <w:rsid w:val="0030405C"/>
    <w:rsid w:val="00304689"/>
    <w:rsid w:val="00305AF1"/>
    <w:rsid w:val="00306451"/>
    <w:rsid w:val="00313C88"/>
    <w:rsid w:val="00313F22"/>
    <w:rsid w:val="003148A0"/>
    <w:rsid w:val="003148F9"/>
    <w:rsid w:val="00315BA0"/>
    <w:rsid w:val="003173BA"/>
    <w:rsid w:val="003179F5"/>
    <w:rsid w:val="003207AF"/>
    <w:rsid w:val="00321B3C"/>
    <w:rsid w:val="00321ED9"/>
    <w:rsid w:val="00323C56"/>
    <w:rsid w:val="003253FF"/>
    <w:rsid w:val="00325AEA"/>
    <w:rsid w:val="0032702A"/>
    <w:rsid w:val="00331054"/>
    <w:rsid w:val="003312E6"/>
    <w:rsid w:val="00331918"/>
    <w:rsid w:val="00331A07"/>
    <w:rsid w:val="00331C7E"/>
    <w:rsid w:val="003329C9"/>
    <w:rsid w:val="00333CB6"/>
    <w:rsid w:val="0033648E"/>
    <w:rsid w:val="00340AC3"/>
    <w:rsid w:val="00341233"/>
    <w:rsid w:val="003413D6"/>
    <w:rsid w:val="00346285"/>
    <w:rsid w:val="00346461"/>
    <w:rsid w:val="0034772B"/>
    <w:rsid w:val="0035083C"/>
    <w:rsid w:val="00351C4B"/>
    <w:rsid w:val="003520A5"/>
    <w:rsid w:val="00352691"/>
    <w:rsid w:val="00353B02"/>
    <w:rsid w:val="00355357"/>
    <w:rsid w:val="00357393"/>
    <w:rsid w:val="00361A58"/>
    <w:rsid w:val="00362EA2"/>
    <w:rsid w:val="003635C9"/>
    <w:rsid w:val="00364010"/>
    <w:rsid w:val="003665A2"/>
    <w:rsid w:val="00367ED4"/>
    <w:rsid w:val="00370C20"/>
    <w:rsid w:val="00370F96"/>
    <w:rsid w:val="00371BE2"/>
    <w:rsid w:val="003736C1"/>
    <w:rsid w:val="00373725"/>
    <w:rsid w:val="0037401E"/>
    <w:rsid w:val="00374B5B"/>
    <w:rsid w:val="0037569D"/>
    <w:rsid w:val="003765CD"/>
    <w:rsid w:val="003778F9"/>
    <w:rsid w:val="00380299"/>
    <w:rsid w:val="00385133"/>
    <w:rsid w:val="00385910"/>
    <w:rsid w:val="00386840"/>
    <w:rsid w:val="0038753A"/>
    <w:rsid w:val="00390BA9"/>
    <w:rsid w:val="00391E74"/>
    <w:rsid w:val="00393DD8"/>
    <w:rsid w:val="0039437C"/>
    <w:rsid w:val="00395DA5"/>
    <w:rsid w:val="00397BB4"/>
    <w:rsid w:val="003A0480"/>
    <w:rsid w:val="003A15DE"/>
    <w:rsid w:val="003A1815"/>
    <w:rsid w:val="003A287C"/>
    <w:rsid w:val="003A2DA5"/>
    <w:rsid w:val="003A4236"/>
    <w:rsid w:val="003A4A16"/>
    <w:rsid w:val="003A7189"/>
    <w:rsid w:val="003B2AAE"/>
    <w:rsid w:val="003B6A91"/>
    <w:rsid w:val="003C1A7A"/>
    <w:rsid w:val="003C4A55"/>
    <w:rsid w:val="003C5DDA"/>
    <w:rsid w:val="003C6139"/>
    <w:rsid w:val="003D0ADD"/>
    <w:rsid w:val="003D0BD7"/>
    <w:rsid w:val="003E281E"/>
    <w:rsid w:val="003E2C0A"/>
    <w:rsid w:val="003E44E6"/>
    <w:rsid w:val="003E517C"/>
    <w:rsid w:val="003E5700"/>
    <w:rsid w:val="003E6724"/>
    <w:rsid w:val="003E6A69"/>
    <w:rsid w:val="003F1026"/>
    <w:rsid w:val="003F51F8"/>
    <w:rsid w:val="003F78F4"/>
    <w:rsid w:val="004016E7"/>
    <w:rsid w:val="00401AC3"/>
    <w:rsid w:val="00403F78"/>
    <w:rsid w:val="004047B0"/>
    <w:rsid w:val="00407441"/>
    <w:rsid w:val="00411B68"/>
    <w:rsid w:val="004123F8"/>
    <w:rsid w:val="00413D48"/>
    <w:rsid w:val="00414244"/>
    <w:rsid w:val="00415A17"/>
    <w:rsid w:val="00415F52"/>
    <w:rsid w:val="004174AC"/>
    <w:rsid w:val="0042146A"/>
    <w:rsid w:val="00424FDD"/>
    <w:rsid w:val="00431CD6"/>
    <w:rsid w:val="00433F91"/>
    <w:rsid w:val="004346A7"/>
    <w:rsid w:val="00435D8B"/>
    <w:rsid w:val="00437CD2"/>
    <w:rsid w:val="0044014B"/>
    <w:rsid w:val="00441ABC"/>
    <w:rsid w:val="0044774E"/>
    <w:rsid w:val="00450BCC"/>
    <w:rsid w:val="00453030"/>
    <w:rsid w:val="00455554"/>
    <w:rsid w:val="00456608"/>
    <w:rsid w:val="004577BB"/>
    <w:rsid w:val="004604CB"/>
    <w:rsid w:val="0046124F"/>
    <w:rsid w:val="004618DD"/>
    <w:rsid w:val="00461E09"/>
    <w:rsid w:val="00465164"/>
    <w:rsid w:val="00465B88"/>
    <w:rsid w:val="0046665C"/>
    <w:rsid w:val="00467B53"/>
    <w:rsid w:val="00471D5B"/>
    <w:rsid w:val="00473E22"/>
    <w:rsid w:val="00475811"/>
    <w:rsid w:val="00475D50"/>
    <w:rsid w:val="00476842"/>
    <w:rsid w:val="00481CCB"/>
    <w:rsid w:val="00481D7B"/>
    <w:rsid w:val="00484268"/>
    <w:rsid w:val="0048542C"/>
    <w:rsid w:val="00490D08"/>
    <w:rsid w:val="00490D8E"/>
    <w:rsid w:val="00491672"/>
    <w:rsid w:val="00491E4B"/>
    <w:rsid w:val="00492693"/>
    <w:rsid w:val="00492945"/>
    <w:rsid w:val="00492A28"/>
    <w:rsid w:val="004930AB"/>
    <w:rsid w:val="00495745"/>
    <w:rsid w:val="004958FF"/>
    <w:rsid w:val="00497688"/>
    <w:rsid w:val="004979AC"/>
    <w:rsid w:val="004A0007"/>
    <w:rsid w:val="004A096A"/>
    <w:rsid w:val="004A2428"/>
    <w:rsid w:val="004A3DD8"/>
    <w:rsid w:val="004A532B"/>
    <w:rsid w:val="004A6818"/>
    <w:rsid w:val="004A7D2E"/>
    <w:rsid w:val="004B0044"/>
    <w:rsid w:val="004B1554"/>
    <w:rsid w:val="004B1DAE"/>
    <w:rsid w:val="004B1FD1"/>
    <w:rsid w:val="004B5955"/>
    <w:rsid w:val="004B6379"/>
    <w:rsid w:val="004B664F"/>
    <w:rsid w:val="004B7F94"/>
    <w:rsid w:val="004C4AAF"/>
    <w:rsid w:val="004C6B2F"/>
    <w:rsid w:val="004D0A2D"/>
    <w:rsid w:val="004D2F68"/>
    <w:rsid w:val="004D3271"/>
    <w:rsid w:val="004D38AD"/>
    <w:rsid w:val="004D3C22"/>
    <w:rsid w:val="004D425B"/>
    <w:rsid w:val="004D52E6"/>
    <w:rsid w:val="004E0468"/>
    <w:rsid w:val="004E0FD8"/>
    <w:rsid w:val="004E2533"/>
    <w:rsid w:val="004E34C1"/>
    <w:rsid w:val="004E6980"/>
    <w:rsid w:val="004F1238"/>
    <w:rsid w:val="004F26D2"/>
    <w:rsid w:val="004F3190"/>
    <w:rsid w:val="004F5A01"/>
    <w:rsid w:val="004F6F14"/>
    <w:rsid w:val="004F6F68"/>
    <w:rsid w:val="004F7AFB"/>
    <w:rsid w:val="00501306"/>
    <w:rsid w:val="00502E5B"/>
    <w:rsid w:val="00503061"/>
    <w:rsid w:val="00503E94"/>
    <w:rsid w:val="005059ED"/>
    <w:rsid w:val="00507191"/>
    <w:rsid w:val="005104B3"/>
    <w:rsid w:val="00511CFB"/>
    <w:rsid w:val="005136B7"/>
    <w:rsid w:val="00515F6C"/>
    <w:rsid w:val="0052265F"/>
    <w:rsid w:val="0052490E"/>
    <w:rsid w:val="005254AB"/>
    <w:rsid w:val="00526A01"/>
    <w:rsid w:val="00526BED"/>
    <w:rsid w:val="00526E7C"/>
    <w:rsid w:val="00530686"/>
    <w:rsid w:val="0053151E"/>
    <w:rsid w:val="00533D83"/>
    <w:rsid w:val="00542181"/>
    <w:rsid w:val="00542B5D"/>
    <w:rsid w:val="00542F52"/>
    <w:rsid w:val="00543378"/>
    <w:rsid w:val="00545512"/>
    <w:rsid w:val="00545BD5"/>
    <w:rsid w:val="0054720F"/>
    <w:rsid w:val="0055011D"/>
    <w:rsid w:val="00550254"/>
    <w:rsid w:val="00550EAC"/>
    <w:rsid w:val="00550FC8"/>
    <w:rsid w:val="00551C70"/>
    <w:rsid w:val="0055276F"/>
    <w:rsid w:val="00554CFA"/>
    <w:rsid w:val="00556797"/>
    <w:rsid w:val="00556F05"/>
    <w:rsid w:val="005608C1"/>
    <w:rsid w:val="00560D7F"/>
    <w:rsid w:val="00560D97"/>
    <w:rsid w:val="005618AE"/>
    <w:rsid w:val="00561ECF"/>
    <w:rsid w:val="005639E5"/>
    <w:rsid w:val="0056474D"/>
    <w:rsid w:val="00570BC5"/>
    <w:rsid w:val="0057275A"/>
    <w:rsid w:val="00574D21"/>
    <w:rsid w:val="005768F0"/>
    <w:rsid w:val="005828E9"/>
    <w:rsid w:val="00582F70"/>
    <w:rsid w:val="0058603E"/>
    <w:rsid w:val="005916C3"/>
    <w:rsid w:val="00591D45"/>
    <w:rsid w:val="0059280F"/>
    <w:rsid w:val="00592B57"/>
    <w:rsid w:val="00592CB4"/>
    <w:rsid w:val="0059302D"/>
    <w:rsid w:val="0059573C"/>
    <w:rsid w:val="0059690A"/>
    <w:rsid w:val="00596CCF"/>
    <w:rsid w:val="005A1C42"/>
    <w:rsid w:val="005A2657"/>
    <w:rsid w:val="005A29C4"/>
    <w:rsid w:val="005A32F4"/>
    <w:rsid w:val="005A3D63"/>
    <w:rsid w:val="005A5ECD"/>
    <w:rsid w:val="005A607F"/>
    <w:rsid w:val="005A7779"/>
    <w:rsid w:val="005B21F9"/>
    <w:rsid w:val="005B4397"/>
    <w:rsid w:val="005B63DA"/>
    <w:rsid w:val="005B6A56"/>
    <w:rsid w:val="005C1C13"/>
    <w:rsid w:val="005C2A3B"/>
    <w:rsid w:val="005C3FEC"/>
    <w:rsid w:val="005C4437"/>
    <w:rsid w:val="005C4692"/>
    <w:rsid w:val="005C4DDF"/>
    <w:rsid w:val="005C6A67"/>
    <w:rsid w:val="005C78BD"/>
    <w:rsid w:val="005C7F04"/>
    <w:rsid w:val="005C7F0E"/>
    <w:rsid w:val="005D0234"/>
    <w:rsid w:val="005D2142"/>
    <w:rsid w:val="005D2FC3"/>
    <w:rsid w:val="005D3EB2"/>
    <w:rsid w:val="005E04AC"/>
    <w:rsid w:val="005E41CD"/>
    <w:rsid w:val="005E42DF"/>
    <w:rsid w:val="005E7595"/>
    <w:rsid w:val="005F19F0"/>
    <w:rsid w:val="005F1F0B"/>
    <w:rsid w:val="005F24A3"/>
    <w:rsid w:val="005F4750"/>
    <w:rsid w:val="005F52CB"/>
    <w:rsid w:val="005F5B1A"/>
    <w:rsid w:val="00603D16"/>
    <w:rsid w:val="0060470F"/>
    <w:rsid w:val="00604DD2"/>
    <w:rsid w:val="00607427"/>
    <w:rsid w:val="006075AB"/>
    <w:rsid w:val="006134B8"/>
    <w:rsid w:val="006138B1"/>
    <w:rsid w:val="00615AB2"/>
    <w:rsid w:val="00617AF0"/>
    <w:rsid w:val="00623E89"/>
    <w:rsid w:val="00624B5C"/>
    <w:rsid w:val="006261CF"/>
    <w:rsid w:val="00626BD1"/>
    <w:rsid w:val="00633249"/>
    <w:rsid w:val="00633458"/>
    <w:rsid w:val="00634662"/>
    <w:rsid w:val="00635779"/>
    <w:rsid w:val="00640DC5"/>
    <w:rsid w:val="006504DC"/>
    <w:rsid w:val="00656472"/>
    <w:rsid w:val="00657E4D"/>
    <w:rsid w:val="006617D6"/>
    <w:rsid w:val="00663453"/>
    <w:rsid w:val="00663D57"/>
    <w:rsid w:val="00664616"/>
    <w:rsid w:val="006657C8"/>
    <w:rsid w:val="00673356"/>
    <w:rsid w:val="00673CB7"/>
    <w:rsid w:val="006776F4"/>
    <w:rsid w:val="00677DB8"/>
    <w:rsid w:val="00680FBA"/>
    <w:rsid w:val="0068132F"/>
    <w:rsid w:val="00682171"/>
    <w:rsid w:val="0068242B"/>
    <w:rsid w:val="006843D3"/>
    <w:rsid w:val="00685DB0"/>
    <w:rsid w:val="00686697"/>
    <w:rsid w:val="006866B9"/>
    <w:rsid w:val="006871E4"/>
    <w:rsid w:val="00687C6B"/>
    <w:rsid w:val="0069220D"/>
    <w:rsid w:val="00692C62"/>
    <w:rsid w:val="006944C9"/>
    <w:rsid w:val="00694EFE"/>
    <w:rsid w:val="00695E76"/>
    <w:rsid w:val="0069649E"/>
    <w:rsid w:val="006978A6"/>
    <w:rsid w:val="00697F9D"/>
    <w:rsid w:val="006A1715"/>
    <w:rsid w:val="006A2184"/>
    <w:rsid w:val="006A4943"/>
    <w:rsid w:val="006A5CFA"/>
    <w:rsid w:val="006B0621"/>
    <w:rsid w:val="006B12D5"/>
    <w:rsid w:val="006B4693"/>
    <w:rsid w:val="006B779B"/>
    <w:rsid w:val="006C0E68"/>
    <w:rsid w:val="006C2243"/>
    <w:rsid w:val="006C2F15"/>
    <w:rsid w:val="006C4041"/>
    <w:rsid w:val="006C5F4C"/>
    <w:rsid w:val="006C6298"/>
    <w:rsid w:val="006D177C"/>
    <w:rsid w:val="006D248C"/>
    <w:rsid w:val="006D4CCA"/>
    <w:rsid w:val="006D5803"/>
    <w:rsid w:val="006D71F3"/>
    <w:rsid w:val="006E1C31"/>
    <w:rsid w:val="006E28A3"/>
    <w:rsid w:val="006E43A2"/>
    <w:rsid w:val="006E6F8E"/>
    <w:rsid w:val="006E7B7E"/>
    <w:rsid w:val="006E7DDB"/>
    <w:rsid w:val="006F0C2B"/>
    <w:rsid w:val="006F12CE"/>
    <w:rsid w:val="006F1464"/>
    <w:rsid w:val="006F2F4E"/>
    <w:rsid w:val="006F454A"/>
    <w:rsid w:val="006F4A22"/>
    <w:rsid w:val="007011F0"/>
    <w:rsid w:val="00702332"/>
    <w:rsid w:val="00703737"/>
    <w:rsid w:val="00703BD1"/>
    <w:rsid w:val="00704AA0"/>
    <w:rsid w:val="00712320"/>
    <w:rsid w:val="00712CC9"/>
    <w:rsid w:val="00713A35"/>
    <w:rsid w:val="00716843"/>
    <w:rsid w:val="007178F8"/>
    <w:rsid w:val="00722CE0"/>
    <w:rsid w:val="00723C3B"/>
    <w:rsid w:val="0072482E"/>
    <w:rsid w:val="00725599"/>
    <w:rsid w:val="00725B71"/>
    <w:rsid w:val="00726DE2"/>
    <w:rsid w:val="00727337"/>
    <w:rsid w:val="0072759E"/>
    <w:rsid w:val="007321A8"/>
    <w:rsid w:val="007325C9"/>
    <w:rsid w:val="00732FF7"/>
    <w:rsid w:val="00733A72"/>
    <w:rsid w:val="00734146"/>
    <w:rsid w:val="00734B35"/>
    <w:rsid w:val="00735567"/>
    <w:rsid w:val="007368F2"/>
    <w:rsid w:val="00737326"/>
    <w:rsid w:val="00737C5E"/>
    <w:rsid w:val="00743A24"/>
    <w:rsid w:val="00745672"/>
    <w:rsid w:val="0074686C"/>
    <w:rsid w:val="00750909"/>
    <w:rsid w:val="007546D9"/>
    <w:rsid w:val="00754E5C"/>
    <w:rsid w:val="00755B91"/>
    <w:rsid w:val="00757190"/>
    <w:rsid w:val="00761C43"/>
    <w:rsid w:val="00763CD1"/>
    <w:rsid w:val="00770E5E"/>
    <w:rsid w:val="007732F1"/>
    <w:rsid w:val="007733AC"/>
    <w:rsid w:val="00774B2D"/>
    <w:rsid w:val="00775097"/>
    <w:rsid w:val="00777040"/>
    <w:rsid w:val="00782229"/>
    <w:rsid w:val="007837DE"/>
    <w:rsid w:val="007842DB"/>
    <w:rsid w:val="007847D7"/>
    <w:rsid w:val="00785941"/>
    <w:rsid w:val="007900C7"/>
    <w:rsid w:val="00793E05"/>
    <w:rsid w:val="00796CB9"/>
    <w:rsid w:val="00797BA5"/>
    <w:rsid w:val="007A39E3"/>
    <w:rsid w:val="007A3F8D"/>
    <w:rsid w:val="007A4512"/>
    <w:rsid w:val="007A462A"/>
    <w:rsid w:val="007A4C1D"/>
    <w:rsid w:val="007A4D31"/>
    <w:rsid w:val="007A5E7D"/>
    <w:rsid w:val="007A642A"/>
    <w:rsid w:val="007A7BFC"/>
    <w:rsid w:val="007B053D"/>
    <w:rsid w:val="007B4777"/>
    <w:rsid w:val="007B5A30"/>
    <w:rsid w:val="007C1152"/>
    <w:rsid w:val="007C3515"/>
    <w:rsid w:val="007C5C49"/>
    <w:rsid w:val="007C67A3"/>
    <w:rsid w:val="007C68D8"/>
    <w:rsid w:val="007C7207"/>
    <w:rsid w:val="007C7CC9"/>
    <w:rsid w:val="007D0118"/>
    <w:rsid w:val="007D28EA"/>
    <w:rsid w:val="007D42CF"/>
    <w:rsid w:val="007D5221"/>
    <w:rsid w:val="007D582C"/>
    <w:rsid w:val="007D60D8"/>
    <w:rsid w:val="007E175B"/>
    <w:rsid w:val="007E209A"/>
    <w:rsid w:val="007E3954"/>
    <w:rsid w:val="007E5BA8"/>
    <w:rsid w:val="007E5E0E"/>
    <w:rsid w:val="007F358A"/>
    <w:rsid w:val="007F563D"/>
    <w:rsid w:val="007F6104"/>
    <w:rsid w:val="007F75F1"/>
    <w:rsid w:val="007F76E6"/>
    <w:rsid w:val="0080086C"/>
    <w:rsid w:val="00802430"/>
    <w:rsid w:val="0080283E"/>
    <w:rsid w:val="00803F86"/>
    <w:rsid w:val="008042A5"/>
    <w:rsid w:val="00805186"/>
    <w:rsid w:val="0081112E"/>
    <w:rsid w:val="00814C22"/>
    <w:rsid w:val="0081739B"/>
    <w:rsid w:val="00821B59"/>
    <w:rsid w:val="008220F5"/>
    <w:rsid w:val="00823885"/>
    <w:rsid w:val="0082426A"/>
    <w:rsid w:val="00824884"/>
    <w:rsid w:val="00824E4F"/>
    <w:rsid w:val="00824E62"/>
    <w:rsid w:val="0082512E"/>
    <w:rsid w:val="00827D6B"/>
    <w:rsid w:val="00833DCE"/>
    <w:rsid w:val="008346B2"/>
    <w:rsid w:val="00835498"/>
    <w:rsid w:val="00835EDE"/>
    <w:rsid w:val="00837088"/>
    <w:rsid w:val="008438F6"/>
    <w:rsid w:val="008440A4"/>
    <w:rsid w:val="00844C02"/>
    <w:rsid w:val="00844E67"/>
    <w:rsid w:val="008528F4"/>
    <w:rsid w:val="00855653"/>
    <w:rsid w:val="008618FC"/>
    <w:rsid w:val="00864EA4"/>
    <w:rsid w:val="008656F3"/>
    <w:rsid w:val="00867F6B"/>
    <w:rsid w:val="00871A1B"/>
    <w:rsid w:val="008726E9"/>
    <w:rsid w:val="0087339D"/>
    <w:rsid w:val="00874A31"/>
    <w:rsid w:val="00874AFC"/>
    <w:rsid w:val="00876337"/>
    <w:rsid w:val="008813AD"/>
    <w:rsid w:val="008819BA"/>
    <w:rsid w:val="00881F6C"/>
    <w:rsid w:val="008912C0"/>
    <w:rsid w:val="00893A57"/>
    <w:rsid w:val="00895866"/>
    <w:rsid w:val="00896AF0"/>
    <w:rsid w:val="008974FD"/>
    <w:rsid w:val="008977A9"/>
    <w:rsid w:val="00897A7A"/>
    <w:rsid w:val="008A3456"/>
    <w:rsid w:val="008A5458"/>
    <w:rsid w:val="008A61EA"/>
    <w:rsid w:val="008A71D1"/>
    <w:rsid w:val="008B17E5"/>
    <w:rsid w:val="008B183B"/>
    <w:rsid w:val="008B3317"/>
    <w:rsid w:val="008B4486"/>
    <w:rsid w:val="008B59BD"/>
    <w:rsid w:val="008B6D8B"/>
    <w:rsid w:val="008C22AA"/>
    <w:rsid w:val="008C2B10"/>
    <w:rsid w:val="008C7576"/>
    <w:rsid w:val="008D33E2"/>
    <w:rsid w:val="008D4C98"/>
    <w:rsid w:val="008D6447"/>
    <w:rsid w:val="008D6D5C"/>
    <w:rsid w:val="008D7C6D"/>
    <w:rsid w:val="008E0EC0"/>
    <w:rsid w:val="008E1777"/>
    <w:rsid w:val="008E30B9"/>
    <w:rsid w:val="008E34E4"/>
    <w:rsid w:val="008F137A"/>
    <w:rsid w:val="008F2B03"/>
    <w:rsid w:val="008F42B7"/>
    <w:rsid w:val="008F4C9E"/>
    <w:rsid w:val="008F7842"/>
    <w:rsid w:val="00900346"/>
    <w:rsid w:val="009030B4"/>
    <w:rsid w:val="00903C40"/>
    <w:rsid w:val="00903FC9"/>
    <w:rsid w:val="009057A6"/>
    <w:rsid w:val="00905892"/>
    <w:rsid w:val="009059C0"/>
    <w:rsid w:val="00907890"/>
    <w:rsid w:val="00907E11"/>
    <w:rsid w:val="009102BC"/>
    <w:rsid w:val="009124E5"/>
    <w:rsid w:val="00912939"/>
    <w:rsid w:val="0091403D"/>
    <w:rsid w:val="00914AC2"/>
    <w:rsid w:val="00921C4E"/>
    <w:rsid w:val="00921CB4"/>
    <w:rsid w:val="00922C78"/>
    <w:rsid w:val="00922E6C"/>
    <w:rsid w:val="00923C34"/>
    <w:rsid w:val="00924E63"/>
    <w:rsid w:val="0092565F"/>
    <w:rsid w:val="009259E9"/>
    <w:rsid w:val="009260C3"/>
    <w:rsid w:val="00926CA9"/>
    <w:rsid w:val="00930B50"/>
    <w:rsid w:val="00932BEF"/>
    <w:rsid w:val="009335E0"/>
    <w:rsid w:val="0093490C"/>
    <w:rsid w:val="0093588C"/>
    <w:rsid w:val="009368E6"/>
    <w:rsid w:val="00942AAA"/>
    <w:rsid w:val="00946734"/>
    <w:rsid w:val="009474EB"/>
    <w:rsid w:val="00951B21"/>
    <w:rsid w:val="0095243A"/>
    <w:rsid w:val="0095248D"/>
    <w:rsid w:val="009552F5"/>
    <w:rsid w:val="0095564F"/>
    <w:rsid w:val="00955698"/>
    <w:rsid w:val="009566A5"/>
    <w:rsid w:val="00956902"/>
    <w:rsid w:val="00956C7E"/>
    <w:rsid w:val="00957E77"/>
    <w:rsid w:val="00962D0E"/>
    <w:rsid w:val="00963847"/>
    <w:rsid w:val="00963FBB"/>
    <w:rsid w:val="009646FB"/>
    <w:rsid w:val="009652C9"/>
    <w:rsid w:val="00965DC5"/>
    <w:rsid w:val="00965E43"/>
    <w:rsid w:val="009666FD"/>
    <w:rsid w:val="00966FAF"/>
    <w:rsid w:val="00970F7F"/>
    <w:rsid w:val="00970FC1"/>
    <w:rsid w:val="0097428E"/>
    <w:rsid w:val="0097536C"/>
    <w:rsid w:val="00976F97"/>
    <w:rsid w:val="00977F93"/>
    <w:rsid w:val="00980AC8"/>
    <w:rsid w:val="00981900"/>
    <w:rsid w:val="00981F41"/>
    <w:rsid w:val="0098363B"/>
    <w:rsid w:val="009852CF"/>
    <w:rsid w:val="009862E0"/>
    <w:rsid w:val="00987BCF"/>
    <w:rsid w:val="0099729C"/>
    <w:rsid w:val="009972C7"/>
    <w:rsid w:val="00997AF9"/>
    <w:rsid w:val="00997E21"/>
    <w:rsid w:val="00997EC5"/>
    <w:rsid w:val="009A200B"/>
    <w:rsid w:val="009A2051"/>
    <w:rsid w:val="009A3EE1"/>
    <w:rsid w:val="009A406B"/>
    <w:rsid w:val="009A5D48"/>
    <w:rsid w:val="009A68C8"/>
    <w:rsid w:val="009A7AAE"/>
    <w:rsid w:val="009B569C"/>
    <w:rsid w:val="009B5D56"/>
    <w:rsid w:val="009B5DFF"/>
    <w:rsid w:val="009C0658"/>
    <w:rsid w:val="009C0C06"/>
    <w:rsid w:val="009C0F32"/>
    <w:rsid w:val="009C19CD"/>
    <w:rsid w:val="009C5DEA"/>
    <w:rsid w:val="009C7021"/>
    <w:rsid w:val="009D0C4F"/>
    <w:rsid w:val="009D1890"/>
    <w:rsid w:val="009D3A1A"/>
    <w:rsid w:val="009D54FD"/>
    <w:rsid w:val="009D57E7"/>
    <w:rsid w:val="009E077E"/>
    <w:rsid w:val="009E288F"/>
    <w:rsid w:val="009F0753"/>
    <w:rsid w:val="009F1B42"/>
    <w:rsid w:val="009F2642"/>
    <w:rsid w:val="009F3046"/>
    <w:rsid w:val="009F5901"/>
    <w:rsid w:val="00A01DDD"/>
    <w:rsid w:val="00A032FA"/>
    <w:rsid w:val="00A04176"/>
    <w:rsid w:val="00A071C1"/>
    <w:rsid w:val="00A13640"/>
    <w:rsid w:val="00A137DC"/>
    <w:rsid w:val="00A177BE"/>
    <w:rsid w:val="00A17E5E"/>
    <w:rsid w:val="00A20811"/>
    <w:rsid w:val="00A20A27"/>
    <w:rsid w:val="00A25B41"/>
    <w:rsid w:val="00A25BEA"/>
    <w:rsid w:val="00A26C2D"/>
    <w:rsid w:val="00A27468"/>
    <w:rsid w:val="00A32CEB"/>
    <w:rsid w:val="00A32DC0"/>
    <w:rsid w:val="00A3396C"/>
    <w:rsid w:val="00A33D79"/>
    <w:rsid w:val="00A36233"/>
    <w:rsid w:val="00A37A4D"/>
    <w:rsid w:val="00A41376"/>
    <w:rsid w:val="00A42D93"/>
    <w:rsid w:val="00A436C8"/>
    <w:rsid w:val="00A44D4B"/>
    <w:rsid w:val="00A44EC2"/>
    <w:rsid w:val="00A477DE"/>
    <w:rsid w:val="00A47B9A"/>
    <w:rsid w:val="00A5050D"/>
    <w:rsid w:val="00A51F85"/>
    <w:rsid w:val="00A54484"/>
    <w:rsid w:val="00A55225"/>
    <w:rsid w:val="00A552EF"/>
    <w:rsid w:val="00A55787"/>
    <w:rsid w:val="00A5625A"/>
    <w:rsid w:val="00A57DBC"/>
    <w:rsid w:val="00A6265B"/>
    <w:rsid w:val="00A642AA"/>
    <w:rsid w:val="00A70CD8"/>
    <w:rsid w:val="00A7337B"/>
    <w:rsid w:val="00A7436C"/>
    <w:rsid w:val="00A77D4F"/>
    <w:rsid w:val="00A83024"/>
    <w:rsid w:val="00A83193"/>
    <w:rsid w:val="00A8691E"/>
    <w:rsid w:val="00A87395"/>
    <w:rsid w:val="00A87FDE"/>
    <w:rsid w:val="00A904F6"/>
    <w:rsid w:val="00A910D9"/>
    <w:rsid w:val="00A92595"/>
    <w:rsid w:val="00A93CE3"/>
    <w:rsid w:val="00A94534"/>
    <w:rsid w:val="00A94921"/>
    <w:rsid w:val="00A95082"/>
    <w:rsid w:val="00A9528E"/>
    <w:rsid w:val="00A96B9F"/>
    <w:rsid w:val="00A96BAA"/>
    <w:rsid w:val="00A97A15"/>
    <w:rsid w:val="00AA0003"/>
    <w:rsid w:val="00AA07D4"/>
    <w:rsid w:val="00AA1499"/>
    <w:rsid w:val="00AA17E7"/>
    <w:rsid w:val="00AA4BC4"/>
    <w:rsid w:val="00AA65A9"/>
    <w:rsid w:val="00AB2857"/>
    <w:rsid w:val="00AB2A8C"/>
    <w:rsid w:val="00AB3236"/>
    <w:rsid w:val="00AB4B10"/>
    <w:rsid w:val="00AB4BE2"/>
    <w:rsid w:val="00AB615C"/>
    <w:rsid w:val="00AB6D69"/>
    <w:rsid w:val="00AB7FE7"/>
    <w:rsid w:val="00AC22F0"/>
    <w:rsid w:val="00AC3019"/>
    <w:rsid w:val="00AC3374"/>
    <w:rsid w:val="00AC3A92"/>
    <w:rsid w:val="00AC44FC"/>
    <w:rsid w:val="00AC4A28"/>
    <w:rsid w:val="00AC5EC3"/>
    <w:rsid w:val="00AC6BB7"/>
    <w:rsid w:val="00AC6FEE"/>
    <w:rsid w:val="00AD047E"/>
    <w:rsid w:val="00AD05CA"/>
    <w:rsid w:val="00AD213C"/>
    <w:rsid w:val="00AD4DD7"/>
    <w:rsid w:val="00AD5A36"/>
    <w:rsid w:val="00AE09F6"/>
    <w:rsid w:val="00AE4A78"/>
    <w:rsid w:val="00AE54E2"/>
    <w:rsid w:val="00AE59CE"/>
    <w:rsid w:val="00AF02B4"/>
    <w:rsid w:val="00AF2B0E"/>
    <w:rsid w:val="00AF2BAA"/>
    <w:rsid w:val="00AF2DA0"/>
    <w:rsid w:val="00AF342C"/>
    <w:rsid w:val="00AF4092"/>
    <w:rsid w:val="00B00289"/>
    <w:rsid w:val="00B035EF"/>
    <w:rsid w:val="00B04486"/>
    <w:rsid w:val="00B06FE4"/>
    <w:rsid w:val="00B078A9"/>
    <w:rsid w:val="00B101B7"/>
    <w:rsid w:val="00B10507"/>
    <w:rsid w:val="00B108D9"/>
    <w:rsid w:val="00B12ECE"/>
    <w:rsid w:val="00B16DD1"/>
    <w:rsid w:val="00B23F51"/>
    <w:rsid w:val="00B24E86"/>
    <w:rsid w:val="00B25A23"/>
    <w:rsid w:val="00B32908"/>
    <w:rsid w:val="00B334E5"/>
    <w:rsid w:val="00B3548D"/>
    <w:rsid w:val="00B362DA"/>
    <w:rsid w:val="00B3679E"/>
    <w:rsid w:val="00B36A87"/>
    <w:rsid w:val="00B3727F"/>
    <w:rsid w:val="00B37484"/>
    <w:rsid w:val="00B37F87"/>
    <w:rsid w:val="00B41D9F"/>
    <w:rsid w:val="00B425CB"/>
    <w:rsid w:val="00B428E6"/>
    <w:rsid w:val="00B4683C"/>
    <w:rsid w:val="00B47979"/>
    <w:rsid w:val="00B509AF"/>
    <w:rsid w:val="00B50BF9"/>
    <w:rsid w:val="00B52FF2"/>
    <w:rsid w:val="00B54332"/>
    <w:rsid w:val="00B55AF5"/>
    <w:rsid w:val="00B578C8"/>
    <w:rsid w:val="00B609FF"/>
    <w:rsid w:val="00B61F9F"/>
    <w:rsid w:val="00B6266E"/>
    <w:rsid w:val="00B64EB0"/>
    <w:rsid w:val="00B656EA"/>
    <w:rsid w:val="00B67648"/>
    <w:rsid w:val="00B67888"/>
    <w:rsid w:val="00B67B9F"/>
    <w:rsid w:val="00B7091E"/>
    <w:rsid w:val="00B720A8"/>
    <w:rsid w:val="00B74026"/>
    <w:rsid w:val="00B74037"/>
    <w:rsid w:val="00B746A2"/>
    <w:rsid w:val="00B765B4"/>
    <w:rsid w:val="00B76688"/>
    <w:rsid w:val="00B77A1F"/>
    <w:rsid w:val="00B77C9E"/>
    <w:rsid w:val="00B801A7"/>
    <w:rsid w:val="00B822D9"/>
    <w:rsid w:val="00B831C1"/>
    <w:rsid w:val="00B850D4"/>
    <w:rsid w:val="00B854F3"/>
    <w:rsid w:val="00B862F8"/>
    <w:rsid w:val="00B86C89"/>
    <w:rsid w:val="00B9003C"/>
    <w:rsid w:val="00B91635"/>
    <w:rsid w:val="00B916E0"/>
    <w:rsid w:val="00B93267"/>
    <w:rsid w:val="00B93FD3"/>
    <w:rsid w:val="00B942DF"/>
    <w:rsid w:val="00B963E8"/>
    <w:rsid w:val="00BA1BC2"/>
    <w:rsid w:val="00BA1CE1"/>
    <w:rsid w:val="00BA26AA"/>
    <w:rsid w:val="00BA2C59"/>
    <w:rsid w:val="00BA303F"/>
    <w:rsid w:val="00BA4035"/>
    <w:rsid w:val="00BA5EE5"/>
    <w:rsid w:val="00BA6F2F"/>
    <w:rsid w:val="00BB03B2"/>
    <w:rsid w:val="00BB0FF9"/>
    <w:rsid w:val="00BB1573"/>
    <w:rsid w:val="00BB20F0"/>
    <w:rsid w:val="00BB40CE"/>
    <w:rsid w:val="00BB477A"/>
    <w:rsid w:val="00BB51DD"/>
    <w:rsid w:val="00BB5974"/>
    <w:rsid w:val="00BC2FC0"/>
    <w:rsid w:val="00BC35A8"/>
    <w:rsid w:val="00BC6EED"/>
    <w:rsid w:val="00BD0554"/>
    <w:rsid w:val="00BD0916"/>
    <w:rsid w:val="00BD239D"/>
    <w:rsid w:val="00BD46E6"/>
    <w:rsid w:val="00BD68BB"/>
    <w:rsid w:val="00BE06FA"/>
    <w:rsid w:val="00BE0D22"/>
    <w:rsid w:val="00BE28F9"/>
    <w:rsid w:val="00BF0476"/>
    <w:rsid w:val="00BF4331"/>
    <w:rsid w:val="00BF708B"/>
    <w:rsid w:val="00C01999"/>
    <w:rsid w:val="00C01BA2"/>
    <w:rsid w:val="00C0242A"/>
    <w:rsid w:val="00C02A10"/>
    <w:rsid w:val="00C0358C"/>
    <w:rsid w:val="00C054BB"/>
    <w:rsid w:val="00C061B4"/>
    <w:rsid w:val="00C066E1"/>
    <w:rsid w:val="00C07415"/>
    <w:rsid w:val="00C1035C"/>
    <w:rsid w:val="00C12386"/>
    <w:rsid w:val="00C14237"/>
    <w:rsid w:val="00C14C41"/>
    <w:rsid w:val="00C15964"/>
    <w:rsid w:val="00C16E46"/>
    <w:rsid w:val="00C16E56"/>
    <w:rsid w:val="00C1789E"/>
    <w:rsid w:val="00C17D45"/>
    <w:rsid w:val="00C17E8C"/>
    <w:rsid w:val="00C201F2"/>
    <w:rsid w:val="00C20737"/>
    <w:rsid w:val="00C20850"/>
    <w:rsid w:val="00C237FD"/>
    <w:rsid w:val="00C30360"/>
    <w:rsid w:val="00C30BEB"/>
    <w:rsid w:val="00C33DA6"/>
    <w:rsid w:val="00C34209"/>
    <w:rsid w:val="00C345CD"/>
    <w:rsid w:val="00C408AE"/>
    <w:rsid w:val="00C408F9"/>
    <w:rsid w:val="00C41261"/>
    <w:rsid w:val="00C412D2"/>
    <w:rsid w:val="00C427E4"/>
    <w:rsid w:val="00C45C03"/>
    <w:rsid w:val="00C46D2C"/>
    <w:rsid w:val="00C472A8"/>
    <w:rsid w:val="00C47899"/>
    <w:rsid w:val="00C47B1E"/>
    <w:rsid w:val="00C47E35"/>
    <w:rsid w:val="00C50B3D"/>
    <w:rsid w:val="00C50CFC"/>
    <w:rsid w:val="00C52921"/>
    <w:rsid w:val="00C55333"/>
    <w:rsid w:val="00C55D2B"/>
    <w:rsid w:val="00C55D9C"/>
    <w:rsid w:val="00C56594"/>
    <w:rsid w:val="00C56981"/>
    <w:rsid w:val="00C57CFF"/>
    <w:rsid w:val="00C63096"/>
    <w:rsid w:val="00C649B1"/>
    <w:rsid w:val="00C6638C"/>
    <w:rsid w:val="00C674C0"/>
    <w:rsid w:val="00C67A35"/>
    <w:rsid w:val="00C67BA8"/>
    <w:rsid w:val="00C70230"/>
    <w:rsid w:val="00C72AAE"/>
    <w:rsid w:val="00C72BED"/>
    <w:rsid w:val="00C74B60"/>
    <w:rsid w:val="00C750CB"/>
    <w:rsid w:val="00C83957"/>
    <w:rsid w:val="00C846DF"/>
    <w:rsid w:val="00C85FC7"/>
    <w:rsid w:val="00C91593"/>
    <w:rsid w:val="00C917D2"/>
    <w:rsid w:val="00C94D55"/>
    <w:rsid w:val="00C95802"/>
    <w:rsid w:val="00C9666A"/>
    <w:rsid w:val="00CA0930"/>
    <w:rsid w:val="00CA18D0"/>
    <w:rsid w:val="00CA2D3D"/>
    <w:rsid w:val="00CA3219"/>
    <w:rsid w:val="00CA6125"/>
    <w:rsid w:val="00CB09E9"/>
    <w:rsid w:val="00CB427C"/>
    <w:rsid w:val="00CB7150"/>
    <w:rsid w:val="00CB7292"/>
    <w:rsid w:val="00CC0045"/>
    <w:rsid w:val="00CC14D8"/>
    <w:rsid w:val="00CC19EA"/>
    <w:rsid w:val="00CC261B"/>
    <w:rsid w:val="00CC3C70"/>
    <w:rsid w:val="00CC477A"/>
    <w:rsid w:val="00CC51D8"/>
    <w:rsid w:val="00CC5E29"/>
    <w:rsid w:val="00CC7F04"/>
    <w:rsid w:val="00CD2141"/>
    <w:rsid w:val="00CD2E32"/>
    <w:rsid w:val="00CD5A54"/>
    <w:rsid w:val="00CD7430"/>
    <w:rsid w:val="00CE16F6"/>
    <w:rsid w:val="00CE1C77"/>
    <w:rsid w:val="00CF0439"/>
    <w:rsid w:val="00CF0A39"/>
    <w:rsid w:val="00CF260D"/>
    <w:rsid w:val="00CF3CDF"/>
    <w:rsid w:val="00CF4982"/>
    <w:rsid w:val="00CF60B3"/>
    <w:rsid w:val="00CF72B4"/>
    <w:rsid w:val="00D00A57"/>
    <w:rsid w:val="00D0120F"/>
    <w:rsid w:val="00D01537"/>
    <w:rsid w:val="00D04873"/>
    <w:rsid w:val="00D10728"/>
    <w:rsid w:val="00D10775"/>
    <w:rsid w:val="00D107E6"/>
    <w:rsid w:val="00D126FE"/>
    <w:rsid w:val="00D128ED"/>
    <w:rsid w:val="00D14CBE"/>
    <w:rsid w:val="00D205AC"/>
    <w:rsid w:val="00D22D7C"/>
    <w:rsid w:val="00D2334B"/>
    <w:rsid w:val="00D23F05"/>
    <w:rsid w:val="00D24332"/>
    <w:rsid w:val="00D24FC0"/>
    <w:rsid w:val="00D257A4"/>
    <w:rsid w:val="00D270D8"/>
    <w:rsid w:val="00D27938"/>
    <w:rsid w:val="00D27BFB"/>
    <w:rsid w:val="00D305ED"/>
    <w:rsid w:val="00D31E9C"/>
    <w:rsid w:val="00D32FC2"/>
    <w:rsid w:val="00D34252"/>
    <w:rsid w:val="00D36384"/>
    <w:rsid w:val="00D42350"/>
    <w:rsid w:val="00D42E5A"/>
    <w:rsid w:val="00D43BF0"/>
    <w:rsid w:val="00D43FD8"/>
    <w:rsid w:val="00D465B7"/>
    <w:rsid w:val="00D47688"/>
    <w:rsid w:val="00D47A0F"/>
    <w:rsid w:val="00D47E96"/>
    <w:rsid w:val="00D50133"/>
    <w:rsid w:val="00D51827"/>
    <w:rsid w:val="00D53441"/>
    <w:rsid w:val="00D551DD"/>
    <w:rsid w:val="00D555D8"/>
    <w:rsid w:val="00D621BB"/>
    <w:rsid w:val="00D623C9"/>
    <w:rsid w:val="00D63B8A"/>
    <w:rsid w:val="00D64BEF"/>
    <w:rsid w:val="00D65BAA"/>
    <w:rsid w:val="00D662F5"/>
    <w:rsid w:val="00D66BCB"/>
    <w:rsid w:val="00D76BEF"/>
    <w:rsid w:val="00D80A2F"/>
    <w:rsid w:val="00D81273"/>
    <w:rsid w:val="00D840ED"/>
    <w:rsid w:val="00D84847"/>
    <w:rsid w:val="00D850DB"/>
    <w:rsid w:val="00D863DF"/>
    <w:rsid w:val="00D8665A"/>
    <w:rsid w:val="00D8711D"/>
    <w:rsid w:val="00D87CFD"/>
    <w:rsid w:val="00D9086B"/>
    <w:rsid w:val="00D92C6C"/>
    <w:rsid w:val="00D93935"/>
    <w:rsid w:val="00D973F4"/>
    <w:rsid w:val="00D97EEC"/>
    <w:rsid w:val="00DA36CE"/>
    <w:rsid w:val="00DA4D42"/>
    <w:rsid w:val="00DB2062"/>
    <w:rsid w:val="00DB5228"/>
    <w:rsid w:val="00DB5F37"/>
    <w:rsid w:val="00DB6AA2"/>
    <w:rsid w:val="00DC1FB7"/>
    <w:rsid w:val="00DC21B1"/>
    <w:rsid w:val="00DC2A6A"/>
    <w:rsid w:val="00DC2F2F"/>
    <w:rsid w:val="00DD03D7"/>
    <w:rsid w:val="00DD0607"/>
    <w:rsid w:val="00DD06D9"/>
    <w:rsid w:val="00DD1C16"/>
    <w:rsid w:val="00DD5D81"/>
    <w:rsid w:val="00DD694F"/>
    <w:rsid w:val="00DD6B10"/>
    <w:rsid w:val="00DD76E8"/>
    <w:rsid w:val="00DD78B8"/>
    <w:rsid w:val="00DE084F"/>
    <w:rsid w:val="00DE1CD8"/>
    <w:rsid w:val="00DE2ABA"/>
    <w:rsid w:val="00DE44C3"/>
    <w:rsid w:val="00DE5592"/>
    <w:rsid w:val="00DE663B"/>
    <w:rsid w:val="00DE6F82"/>
    <w:rsid w:val="00DE72D1"/>
    <w:rsid w:val="00DE7B9F"/>
    <w:rsid w:val="00DF02AA"/>
    <w:rsid w:val="00DF5D9E"/>
    <w:rsid w:val="00E01189"/>
    <w:rsid w:val="00E02527"/>
    <w:rsid w:val="00E0289F"/>
    <w:rsid w:val="00E02E4C"/>
    <w:rsid w:val="00E030DF"/>
    <w:rsid w:val="00E0427E"/>
    <w:rsid w:val="00E05604"/>
    <w:rsid w:val="00E05B1E"/>
    <w:rsid w:val="00E10FC8"/>
    <w:rsid w:val="00E13520"/>
    <w:rsid w:val="00E16E22"/>
    <w:rsid w:val="00E20C04"/>
    <w:rsid w:val="00E22A7F"/>
    <w:rsid w:val="00E230EA"/>
    <w:rsid w:val="00E23669"/>
    <w:rsid w:val="00E24CAE"/>
    <w:rsid w:val="00E24D5F"/>
    <w:rsid w:val="00E25AD6"/>
    <w:rsid w:val="00E3073A"/>
    <w:rsid w:val="00E30B86"/>
    <w:rsid w:val="00E325FB"/>
    <w:rsid w:val="00E3679A"/>
    <w:rsid w:val="00E37496"/>
    <w:rsid w:val="00E40978"/>
    <w:rsid w:val="00E42148"/>
    <w:rsid w:val="00E424F0"/>
    <w:rsid w:val="00E42B8A"/>
    <w:rsid w:val="00E438AB"/>
    <w:rsid w:val="00E44A40"/>
    <w:rsid w:val="00E4500A"/>
    <w:rsid w:val="00E469DB"/>
    <w:rsid w:val="00E47033"/>
    <w:rsid w:val="00E47103"/>
    <w:rsid w:val="00E47281"/>
    <w:rsid w:val="00E47870"/>
    <w:rsid w:val="00E509C8"/>
    <w:rsid w:val="00E50A22"/>
    <w:rsid w:val="00E5480E"/>
    <w:rsid w:val="00E549F4"/>
    <w:rsid w:val="00E5564E"/>
    <w:rsid w:val="00E558AD"/>
    <w:rsid w:val="00E56C5F"/>
    <w:rsid w:val="00E571EE"/>
    <w:rsid w:val="00E60E7B"/>
    <w:rsid w:val="00E66B0E"/>
    <w:rsid w:val="00E70F41"/>
    <w:rsid w:val="00E734BE"/>
    <w:rsid w:val="00E74D73"/>
    <w:rsid w:val="00E768CC"/>
    <w:rsid w:val="00E76ACF"/>
    <w:rsid w:val="00E801C3"/>
    <w:rsid w:val="00E80344"/>
    <w:rsid w:val="00E80486"/>
    <w:rsid w:val="00E8056A"/>
    <w:rsid w:val="00E813AE"/>
    <w:rsid w:val="00E8170C"/>
    <w:rsid w:val="00E8361B"/>
    <w:rsid w:val="00E8777D"/>
    <w:rsid w:val="00E90FD2"/>
    <w:rsid w:val="00E9245C"/>
    <w:rsid w:val="00EA36A3"/>
    <w:rsid w:val="00EA3964"/>
    <w:rsid w:val="00EA535E"/>
    <w:rsid w:val="00EA5514"/>
    <w:rsid w:val="00EA7250"/>
    <w:rsid w:val="00EA72B0"/>
    <w:rsid w:val="00EB2608"/>
    <w:rsid w:val="00EB7143"/>
    <w:rsid w:val="00EB7825"/>
    <w:rsid w:val="00EC2665"/>
    <w:rsid w:val="00EC672F"/>
    <w:rsid w:val="00EC6D21"/>
    <w:rsid w:val="00EC71CC"/>
    <w:rsid w:val="00EC7A8F"/>
    <w:rsid w:val="00ED1899"/>
    <w:rsid w:val="00ED54FA"/>
    <w:rsid w:val="00ED6164"/>
    <w:rsid w:val="00ED67D0"/>
    <w:rsid w:val="00EE09D0"/>
    <w:rsid w:val="00EE0A16"/>
    <w:rsid w:val="00EE0AB9"/>
    <w:rsid w:val="00EE2C21"/>
    <w:rsid w:val="00EE2CF5"/>
    <w:rsid w:val="00EE36A0"/>
    <w:rsid w:val="00EE3D3E"/>
    <w:rsid w:val="00EE3EEE"/>
    <w:rsid w:val="00EE592F"/>
    <w:rsid w:val="00EF033B"/>
    <w:rsid w:val="00EF03C8"/>
    <w:rsid w:val="00EF0B2E"/>
    <w:rsid w:val="00EF18A7"/>
    <w:rsid w:val="00EF2D1A"/>
    <w:rsid w:val="00EF57D9"/>
    <w:rsid w:val="00F02A0B"/>
    <w:rsid w:val="00F052CA"/>
    <w:rsid w:val="00F05DBB"/>
    <w:rsid w:val="00F10747"/>
    <w:rsid w:val="00F1213F"/>
    <w:rsid w:val="00F129F4"/>
    <w:rsid w:val="00F12B49"/>
    <w:rsid w:val="00F12BB2"/>
    <w:rsid w:val="00F1314F"/>
    <w:rsid w:val="00F13B73"/>
    <w:rsid w:val="00F21F2D"/>
    <w:rsid w:val="00F2275C"/>
    <w:rsid w:val="00F24115"/>
    <w:rsid w:val="00F26E75"/>
    <w:rsid w:val="00F3171A"/>
    <w:rsid w:val="00F3703F"/>
    <w:rsid w:val="00F376D8"/>
    <w:rsid w:val="00F4082F"/>
    <w:rsid w:val="00F40B1B"/>
    <w:rsid w:val="00F4310C"/>
    <w:rsid w:val="00F45B02"/>
    <w:rsid w:val="00F5422A"/>
    <w:rsid w:val="00F577CC"/>
    <w:rsid w:val="00F57A89"/>
    <w:rsid w:val="00F60388"/>
    <w:rsid w:val="00F6101D"/>
    <w:rsid w:val="00F627EC"/>
    <w:rsid w:val="00F62E20"/>
    <w:rsid w:val="00F637D4"/>
    <w:rsid w:val="00F676E0"/>
    <w:rsid w:val="00F71E74"/>
    <w:rsid w:val="00F7447A"/>
    <w:rsid w:val="00F75CB1"/>
    <w:rsid w:val="00F75CFB"/>
    <w:rsid w:val="00F80511"/>
    <w:rsid w:val="00F80D22"/>
    <w:rsid w:val="00F8161E"/>
    <w:rsid w:val="00F81DB6"/>
    <w:rsid w:val="00F835E1"/>
    <w:rsid w:val="00F905B0"/>
    <w:rsid w:val="00F907EC"/>
    <w:rsid w:val="00F91981"/>
    <w:rsid w:val="00F920A4"/>
    <w:rsid w:val="00F92C17"/>
    <w:rsid w:val="00F92D27"/>
    <w:rsid w:val="00F948BC"/>
    <w:rsid w:val="00FA0124"/>
    <w:rsid w:val="00FA09B4"/>
    <w:rsid w:val="00FA09C4"/>
    <w:rsid w:val="00FA1575"/>
    <w:rsid w:val="00FA4A6A"/>
    <w:rsid w:val="00FA5378"/>
    <w:rsid w:val="00FA7243"/>
    <w:rsid w:val="00FA7276"/>
    <w:rsid w:val="00FB03EE"/>
    <w:rsid w:val="00FB0F65"/>
    <w:rsid w:val="00FB27F6"/>
    <w:rsid w:val="00FB2DB3"/>
    <w:rsid w:val="00FB30A0"/>
    <w:rsid w:val="00FB4487"/>
    <w:rsid w:val="00FB6CF1"/>
    <w:rsid w:val="00FC0766"/>
    <w:rsid w:val="00FC2990"/>
    <w:rsid w:val="00FC31BD"/>
    <w:rsid w:val="00FC3274"/>
    <w:rsid w:val="00FC3C96"/>
    <w:rsid w:val="00FC530A"/>
    <w:rsid w:val="00FC54FD"/>
    <w:rsid w:val="00FC744C"/>
    <w:rsid w:val="00FD10D3"/>
    <w:rsid w:val="00FE0972"/>
    <w:rsid w:val="00FE0D78"/>
    <w:rsid w:val="00FE0FE9"/>
    <w:rsid w:val="00FE1353"/>
    <w:rsid w:val="00FE2EF0"/>
    <w:rsid w:val="00FE6A46"/>
    <w:rsid w:val="00FE70B9"/>
    <w:rsid w:val="00FF2AB2"/>
    <w:rsid w:val="00FF4327"/>
    <w:rsid w:val="00FF4C7E"/>
    <w:rsid w:val="00FF50CD"/>
    <w:rsid w:val="00FF6AFC"/>
    <w:rsid w:val="00FF71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61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List Number" w:uiPriority="99"/>
    <w:lsdException w:name="List Number 2" w:uiPriority="99"/>
    <w:lsdException w:name="Date" w:qFormat="1"/>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4D425B"/>
    <w:rPr>
      <w:sz w:val="24"/>
      <w:szCs w:val="24"/>
      <w:lang w:eastAsia="en-US"/>
    </w:rPr>
  </w:style>
  <w:style w:type="paragraph" w:styleId="Heading1">
    <w:name w:val="heading 1"/>
    <w:basedOn w:val="Normal"/>
    <w:next w:val="Normal"/>
    <w:autoRedefine/>
    <w:qFormat/>
    <w:rsid w:val="000F1353"/>
    <w:pPr>
      <w:keepNext/>
      <w:spacing w:after="480"/>
      <w:jc w:val="right"/>
      <w:outlineLvl w:val="0"/>
    </w:pPr>
    <w:rPr>
      <w:rFonts w:ascii="Arial" w:hAnsi="Arial" w:cs="Arial"/>
      <w:b/>
      <w:bCs/>
      <w:kern w:val="32"/>
      <w:sz w:val="36"/>
      <w:szCs w:val="32"/>
    </w:rPr>
  </w:style>
  <w:style w:type="paragraph" w:styleId="Heading2">
    <w:name w:val="heading 2"/>
    <w:next w:val="Normal"/>
    <w:qFormat/>
    <w:rsid w:val="000F1353"/>
    <w:pPr>
      <w:pBdr>
        <w:bottom w:val="single" w:sz="4" w:space="1" w:color="auto"/>
      </w:pBdr>
      <w:jc w:val="right"/>
      <w:outlineLvl w:val="1"/>
    </w:pPr>
    <w:rPr>
      <w:rFonts w:ascii="Arial" w:hAnsi="Arial" w:cs="Arial"/>
      <w:b/>
      <w:bCs/>
      <w:sz w:val="30"/>
      <w:szCs w:val="24"/>
      <w:lang w:eastAsia="en-US"/>
    </w:rPr>
  </w:style>
  <w:style w:type="paragraph" w:styleId="Heading3">
    <w:name w:val="heading 3"/>
    <w:basedOn w:val="Normal"/>
    <w:next w:val="Normal"/>
    <w:link w:val="Heading3Char"/>
    <w:qFormat/>
    <w:rsid w:val="00E813AE"/>
    <w:pPr>
      <w:keepNext/>
      <w:spacing w:before="120" w:after="240"/>
      <w:outlineLvl w:val="2"/>
    </w:pPr>
    <w:rPr>
      <w:rFonts w:ascii="Arial" w:hAnsi="Arial" w:cs="Arial"/>
      <w:b/>
      <w:bCs/>
      <w:sz w:val="30"/>
      <w:szCs w:val="30"/>
    </w:rPr>
  </w:style>
  <w:style w:type="paragraph" w:styleId="Heading4">
    <w:name w:val="heading 4"/>
    <w:basedOn w:val="Numbered"/>
    <w:next w:val="Normal"/>
    <w:link w:val="Heading4Char"/>
    <w:qFormat/>
    <w:rsid w:val="00021467"/>
    <w:pPr>
      <w:keepNext/>
      <w:numPr>
        <w:numId w:val="0"/>
      </w:numPr>
      <w:outlineLvl w:val="3"/>
    </w:pPr>
    <w:rPr>
      <w:b/>
    </w:rPr>
  </w:style>
  <w:style w:type="paragraph" w:styleId="Heading5">
    <w:name w:val="heading 5"/>
    <w:basedOn w:val="Numbered"/>
    <w:next w:val="Normal"/>
    <w:link w:val="Heading5Char"/>
    <w:qFormat/>
    <w:rsid w:val="00AF2B0E"/>
    <w:pPr>
      <w:keepNext/>
      <w:numPr>
        <w:numId w:val="0"/>
      </w:numPr>
      <w:spacing w:before="120"/>
      <w:outlineLvl w:val="4"/>
    </w:pPr>
    <w:rPr>
      <w:i/>
    </w:rPr>
  </w:style>
  <w:style w:type="paragraph" w:styleId="Heading6">
    <w:name w:val="heading 6"/>
    <w:basedOn w:val="Normal"/>
    <w:next w:val="Normal"/>
    <w:link w:val="Heading6Char"/>
    <w:qFormat/>
    <w:rsid w:val="002C584A"/>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
    <w:name w:val="Numbered"/>
    <w:basedOn w:val="Normal"/>
    <w:link w:val="NumberedChar"/>
    <w:autoRedefine/>
    <w:rsid w:val="00F1213F"/>
    <w:pPr>
      <w:numPr>
        <w:numId w:val="2"/>
      </w:numPr>
      <w:spacing w:before="240" w:after="240"/>
    </w:pPr>
    <w:rPr>
      <w:rFonts w:ascii="Arial" w:hAnsi="Arial" w:cs="Arial"/>
      <w:sz w:val="22"/>
      <w:szCs w:val="22"/>
    </w:rPr>
  </w:style>
  <w:style w:type="character" w:styleId="Hyperlink">
    <w:name w:val="Hyperlink"/>
    <w:rPr>
      <w:color w:val="0000FF"/>
      <w:u w:val="single"/>
    </w:rPr>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character" w:customStyle="1" w:styleId="Heading4Char">
    <w:name w:val="Heading 4 Char"/>
    <w:link w:val="Heading4"/>
    <w:rsid w:val="00021467"/>
    <w:rPr>
      <w:rFonts w:ascii="Arial" w:hAnsi="Arial" w:cs="Arial"/>
      <w:b/>
      <w:sz w:val="22"/>
      <w:szCs w:val="22"/>
      <w:lang w:eastAsia="en-US"/>
    </w:rPr>
  </w:style>
  <w:style w:type="paragraph" w:customStyle="1" w:styleId="NormalParagraph">
    <w:name w:val="Normal Paragraph"/>
    <w:basedOn w:val="Numbered"/>
    <w:link w:val="NormalParagraphChar"/>
    <w:qFormat/>
    <w:rsid w:val="00987BCF"/>
    <w:pPr>
      <w:spacing w:before="120" w:after="120"/>
    </w:pPr>
  </w:style>
  <w:style w:type="paragraph" w:styleId="ListParagraph">
    <w:name w:val="List Paragraph"/>
    <w:basedOn w:val="ListBullet"/>
    <w:uiPriority w:val="34"/>
    <w:qFormat/>
    <w:rsid w:val="00A42D93"/>
    <w:pPr>
      <w:tabs>
        <w:tab w:val="clear" w:pos="360"/>
        <w:tab w:val="left" w:pos="993"/>
        <w:tab w:val="left" w:pos="1134"/>
      </w:tabs>
      <w:spacing w:before="120" w:after="120" w:line="360" w:lineRule="auto"/>
      <w:ind w:left="1287"/>
    </w:pPr>
    <w:rPr>
      <w:rFonts w:ascii="Arial" w:hAnsi="Arial"/>
      <w:sz w:val="22"/>
    </w:rPr>
  </w:style>
  <w:style w:type="character" w:customStyle="1" w:styleId="FooterChar">
    <w:name w:val="Footer Char"/>
    <w:link w:val="Footer"/>
    <w:uiPriority w:val="99"/>
    <w:rsid w:val="00497688"/>
    <w:rPr>
      <w:sz w:val="24"/>
      <w:szCs w:val="24"/>
      <w:lang w:eastAsia="en-US"/>
    </w:rPr>
  </w:style>
  <w:style w:type="paragraph" w:styleId="ListBullet">
    <w:name w:val="List Bullet"/>
    <w:basedOn w:val="Normal"/>
    <w:link w:val="ListBulletChar"/>
    <w:rsid w:val="007F75F1"/>
    <w:pPr>
      <w:numPr>
        <w:numId w:val="1"/>
      </w:numPr>
      <w:contextualSpacing/>
    </w:pPr>
  </w:style>
  <w:style w:type="paragraph" w:styleId="Date">
    <w:name w:val="Date"/>
    <w:basedOn w:val="Normal"/>
    <w:next w:val="Normal"/>
    <w:link w:val="DateChar"/>
    <w:qFormat/>
    <w:rsid w:val="00E23669"/>
    <w:pPr>
      <w:spacing w:after="240"/>
      <w:jc w:val="right"/>
    </w:pPr>
    <w:rPr>
      <w:rFonts w:ascii="Arial" w:hAnsi="Arial" w:cs="Arial"/>
      <w:b/>
      <w:sz w:val="28"/>
      <w:szCs w:val="28"/>
    </w:rPr>
  </w:style>
  <w:style w:type="character" w:customStyle="1" w:styleId="DateChar">
    <w:name w:val="Date Char"/>
    <w:link w:val="Date"/>
    <w:rsid w:val="00E23669"/>
    <w:rPr>
      <w:rFonts w:ascii="Arial" w:hAnsi="Arial" w:cs="Arial"/>
      <w:b/>
      <w:sz w:val="28"/>
      <w:szCs w:val="28"/>
      <w:lang w:eastAsia="en-US"/>
    </w:rPr>
  </w:style>
  <w:style w:type="paragraph" w:styleId="BalloonText">
    <w:name w:val="Balloon Text"/>
    <w:basedOn w:val="Normal"/>
    <w:link w:val="BalloonTextChar"/>
    <w:rsid w:val="002B61E7"/>
    <w:rPr>
      <w:rFonts w:ascii="Tahoma" w:hAnsi="Tahoma" w:cs="Tahoma"/>
      <w:sz w:val="16"/>
      <w:szCs w:val="16"/>
    </w:rPr>
  </w:style>
  <w:style w:type="character" w:customStyle="1" w:styleId="BalloonTextChar">
    <w:name w:val="Balloon Text Char"/>
    <w:link w:val="BalloonText"/>
    <w:rsid w:val="002B61E7"/>
    <w:rPr>
      <w:rFonts w:ascii="Tahoma" w:hAnsi="Tahoma" w:cs="Tahoma"/>
      <w:sz w:val="16"/>
      <w:szCs w:val="16"/>
      <w:lang w:eastAsia="en-US"/>
    </w:rPr>
  </w:style>
  <w:style w:type="paragraph" w:customStyle="1" w:styleId="commentbox">
    <w:name w:val="comment box"/>
    <w:basedOn w:val="NormalParagraph"/>
    <w:qFormat/>
    <w:rsid w:val="00E813AE"/>
    <w:pPr>
      <w:numPr>
        <w:numId w:val="0"/>
      </w:numPr>
      <w:shd w:val="clear" w:color="auto" w:fill="D9D9D9"/>
      <w:spacing w:before="240" w:after="240"/>
    </w:pPr>
  </w:style>
  <w:style w:type="paragraph" w:customStyle="1" w:styleId="ABCList">
    <w:name w:val="ABC List"/>
    <w:qFormat/>
    <w:rsid w:val="002314C6"/>
    <w:pPr>
      <w:numPr>
        <w:numId w:val="3"/>
      </w:numPr>
      <w:spacing w:after="120"/>
      <w:ind w:left="992" w:hanging="425"/>
    </w:pPr>
    <w:rPr>
      <w:rFonts w:ascii="Arial" w:hAnsi="Arial"/>
      <w:sz w:val="22"/>
      <w:szCs w:val="24"/>
      <w:lang w:eastAsia="en-US"/>
    </w:rPr>
  </w:style>
  <w:style w:type="character" w:styleId="CommentReference">
    <w:name w:val="annotation reference"/>
    <w:rsid w:val="00C50CFC"/>
    <w:rPr>
      <w:sz w:val="16"/>
      <w:szCs w:val="16"/>
    </w:rPr>
  </w:style>
  <w:style w:type="paragraph" w:styleId="CommentText">
    <w:name w:val="annotation text"/>
    <w:basedOn w:val="Normal"/>
    <w:link w:val="CommentTextChar"/>
    <w:rsid w:val="00C50CFC"/>
    <w:rPr>
      <w:sz w:val="20"/>
      <w:szCs w:val="20"/>
    </w:rPr>
  </w:style>
  <w:style w:type="character" w:customStyle="1" w:styleId="CommentTextChar">
    <w:name w:val="Comment Text Char"/>
    <w:link w:val="CommentText"/>
    <w:rsid w:val="00C50CFC"/>
    <w:rPr>
      <w:lang w:eastAsia="en-US"/>
    </w:rPr>
  </w:style>
  <w:style w:type="paragraph" w:styleId="CommentSubject">
    <w:name w:val="annotation subject"/>
    <w:basedOn w:val="CommentText"/>
    <w:next w:val="CommentText"/>
    <w:link w:val="CommentSubjectChar"/>
    <w:rsid w:val="00C50CFC"/>
    <w:rPr>
      <w:b/>
      <w:bCs/>
    </w:rPr>
  </w:style>
  <w:style w:type="character" w:customStyle="1" w:styleId="CommentSubjectChar">
    <w:name w:val="Comment Subject Char"/>
    <w:link w:val="CommentSubject"/>
    <w:rsid w:val="00C50CFC"/>
    <w:rPr>
      <w:b/>
      <w:bCs/>
      <w:lang w:eastAsia="en-US"/>
    </w:rPr>
  </w:style>
  <w:style w:type="paragraph" w:styleId="FootnoteText">
    <w:name w:val="footnote text"/>
    <w:basedOn w:val="Normal"/>
    <w:link w:val="FootnoteTextChar"/>
    <w:uiPriority w:val="99"/>
    <w:rsid w:val="0081112E"/>
    <w:pPr>
      <w:jc w:val="both"/>
    </w:pPr>
    <w:rPr>
      <w:sz w:val="20"/>
      <w:szCs w:val="20"/>
      <w:lang w:eastAsia="en-AU"/>
    </w:rPr>
  </w:style>
  <w:style w:type="character" w:customStyle="1" w:styleId="FootnoteTextChar">
    <w:name w:val="Footnote Text Char"/>
    <w:basedOn w:val="DefaultParagraphFont"/>
    <w:link w:val="FootnoteText"/>
    <w:uiPriority w:val="99"/>
    <w:rsid w:val="0081112E"/>
  </w:style>
  <w:style w:type="character" w:styleId="FootnoteReference">
    <w:name w:val="footnote reference"/>
    <w:rsid w:val="0081112E"/>
    <w:rPr>
      <w:position w:val="6"/>
      <w:sz w:val="16"/>
      <w:szCs w:val="16"/>
    </w:rPr>
  </w:style>
  <w:style w:type="paragraph" w:styleId="Revision">
    <w:name w:val="Revision"/>
    <w:hidden/>
    <w:uiPriority w:val="99"/>
    <w:semiHidden/>
    <w:rsid w:val="00A910D9"/>
    <w:rPr>
      <w:sz w:val="24"/>
      <w:szCs w:val="24"/>
      <w:lang w:eastAsia="en-US"/>
    </w:rPr>
  </w:style>
  <w:style w:type="character" w:customStyle="1" w:styleId="Heading5Char">
    <w:name w:val="Heading 5 Char"/>
    <w:link w:val="Heading5"/>
    <w:rsid w:val="00AF2B0E"/>
    <w:rPr>
      <w:rFonts w:ascii="Arial" w:hAnsi="Arial" w:cs="Arial"/>
      <w:i/>
      <w:sz w:val="22"/>
      <w:szCs w:val="22"/>
      <w:lang w:eastAsia="en-US"/>
    </w:rPr>
  </w:style>
  <w:style w:type="paragraph" w:customStyle="1" w:styleId="Bulletpoint">
    <w:name w:val="Bullet point"/>
    <w:basedOn w:val="ListBullet"/>
    <w:link w:val="BulletpointChar"/>
    <w:qFormat/>
    <w:rsid w:val="00E44A40"/>
    <w:pPr>
      <w:numPr>
        <w:numId w:val="8"/>
      </w:numPr>
      <w:tabs>
        <w:tab w:val="num" w:pos="1492"/>
      </w:tabs>
      <w:spacing w:before="120" w:after="120"/>
      <w:ind w:left="357" w:hanging="357"/>
      <w:contextualSpacing w:val="0"/>
    </w:pPr>
    <w:rPr>
      <w:rFonts w:ascii="Arial" w:eastAsia="Arial" w:hAnsi="Arial"/>
      <w:sz w:val="22"/>
      <w:szCs w:val="22"/>
    </w:rPr>
  </w:style>
  <w:style w:type="paragraph" w:styleId="ListNumber">
    <w:name w:val="List Number"/>
    <w:basedOn w:val="Normal"/>
    <w:uiPriority w:val="99"/>
    <w:rsid w:val="00E44A40"/>
    <w:pPr>
      <w:tabs>
        <w:tab w:val="num" w:pos="360"/>
      </w:tabs>
      <w:spacing w:before="120" w:after="120"/>
      <w:ind w:left="357" w:hanging="357"/>
    </w:pPr>
    <w:rPr>
      <w:rFonts w:ascii="Arial" w:eastAsia="Arial" w:hAnsi="Arial"/>
      <w:color w:val="000000"/>
      <w:sz w:val="22"/>
      <w:szCs w:val="22"/>
    </w:rPr>
  </w:style>
  <w:style w:type="paragraph" w:styleId="ListNumber2">
    <w:name w:val="List Number 2"/>
    <w:aliases w:val="List alphabet"/>
    <w:next w:val="Normal"/>
    <w:uiPriority w:val="99"/>
    <w:rsid w:val="00E44A40"/>
    <w:pPr>
      <w:tabs>
        <w:tab w:val="num" w:pos="720"/>
      </w:tabs>
      <w:spacing w:before="120"/>
      <w:ind w:left="357" w:hanging="357"/>
    </w:pPr>
    <w:rPr>
      <w:rFonts w:ascii="Arial" w:eastAsia="Arial" w:hAnsi="Arial"/>
      <w:sz w:val="22"/>
      <w:szCs w:val="22"/>
      <w:lang w:eastAsia="en-US"/>
    </w:rPr>
  </w:style>
  <w:style w:type="paragraph" w:customStyle="1" w:styleId="Numberedlist">
    <w:name w:val="Numbered list"/>
    <w:basedOn w:val="ListNumber"/>
    <w:link w:val="NumberedlistChar"/>
    <w:qFormat/>
    <w:rsid w:val="00E44A40"/>
    <w:pPr>
      <w:numPr>
        <w:numId w:val="7"/>
      </w:numPr>
      <w:ind w:left="357" w:hanging="357"/>
    </w:pPr>
  </w:style>
  <w:style w:type="character" w:customStyle="1" w:styleId="NumberedlistChar">
    <w:name w:val="Numbered list Char"/>
    <w:link w:val="Numberedlist"/>
    <w:rsid w:val="00E44A40"/>
    <w:rPr>
      <w:rFonts w:ascii="Arial" w:eastAsia="Arial" w:hAnsi="Arial"/>
      <w:color w:val="000000"/>
      <w:sz w:val="22"/>
      <w:szCs w:val="22"/>
      <w:lang w:eastAsia="en-US"/>
    </w:rPr>
  </w:style>
  <w:style w:type="table" w:styleId="TableGrid">
    <w:name w:val="Table Grid"/>
    <w:aliases w:val="ACCC Table"/>
    <w:basedOn w:val="TableNormal"/>
    <w:uiPriority w:val="59"/>
    <w:rsid w:val="009E077E"/>
    <w:pPr>
      <w:spacing w:before="60" w:after="60"/>
    </w:pPr>
    <w:rPr>
      <w:rFonts w:ascii="Arial" w:eastAsia="Arial" w:hAnsi="Arial"/>
      <w:szCs w:val="22"/>
      <w:lang w:eastAsia="en-US"/>
    </w:rPr>
    <w:tblPr>
      <w:tblBorders>
        <w:top w:val="single" w:sz="4" w:space="0" w:color="BFBFBF"/>
        <w:bottom w:val="single" w:sz="4" w:space="0" w:color="BFBF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left w:val="nil"/>
          <w:bottom w:val="single" w:sz="4" w:space="0" w:color="BFBF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paragraph" w:customStyle="1" w:styleId="Tabletext">
    <w:name w:val="Table text"/>
    <w:basedOn w:val="Normal"/>
    <w:link w:val="TabletextChar"/>
    <w:uiPriority w:val="1"/>
    <w:qFormat/>
    <w:rsid w:val="00C67BA8"/>
    <w:pPr>
      <w:widowControl w:val="0"/>
      <w:spacing w:before="120" w:after="60" w:line="240" w:lineRule="atLeast"/>
      <w:ind w:right="-595"/>
    </w:pPr>
    <w:rPr>
      <w:rFonts w:ascii="Arial" w:eastAsia="Arial" w:hAnsi="Arial" w:cs="Arial"/>
      <w:color w:val="000000"/>
      <w:sz w:val="20"/>
    </w:rPr>
  </w:style>
  <w:style w:type="character" w:customStyle="1" w:styleId="TabletextChar">
    <w:name w:val="Table text Char"/>
    <w:link w:val="Tabletext"/>
    <w:uiPriority w:val="1"/>
    <w:rsid w:val="00C67BA8"/>
    <w:rPr>
      <w:rFonts w:ascii="Arial" w:eastAsia="Arial" w:hAnsi="Arial" w:cs="Arial"/>
      <w:color w:val="000000"/>
      <w:szCs w:val="24"/>
      <w:lang w:eastAsia="en-US"/>
    </w:rPr>
  </w:style>
  <w:style w:type="paragraph" w:customStyle="1" w:styleId="Bulletpointlist2">
    <w:name w:val="Bullet point list 2"/>
    <w:basedOn w:val="Bulletpoint"/>
    <w:link w:val="Bulletpointlist2Char"/>
    <w:qFormat/>
    <w:rsid w:val="00C67BA8"/>
    <w:pPr>
      <w:widowControl w:val="0"/>
      <w:numPr>
        <w:numId w:val="0"/>
      </w:numPr>
      <w:tabs>
        <w:tab w:val="num" w:pos="567"/>
      </w:tabs>
      <w:spacing w:before="0" w:after="0" w:line="240" w:lineRule="atLeast"/>
      <w:ind w:left="357" w:right="-595" w:hanging="357"/>
    </w:pPr>
    <w:rPr>
      <w:b/>
      <w:color w:val="000000"/>
      <w:szCs w:val="24"/>
    </w:rPr>
  </w:style>
  <w:style w:type="character" w:customStyle="1" w:styleId="Bulletpointlist2Char">
    <w:name w:val="Bullet point list 2 Char"/>
    <w:link w:val="Bulletpointlist2"/>
    <w:rsid w:val="00C67BA8"/>
    <w:rPr>
      <w:rFonts w:ascii="Arial" w:eastAsia="Arial" w:hAnsi="Arial"/>
      <w:b/>
      <w:color w:val="000000"/>
      <w:sz w:val="22"/>
      <w:szCs w:val="24"/>
      <w:lang w:eastAsia="en-US"/>
    </w:rPr>
  </w:style>
  <w:style w:type="paragraph" w:styleId="Caption">
    <w:name w:val="caption"/>
    <w:basedOn w:val="Normal"/>
    <w:next w:val="Normal"/>
    <w:link w:val="CaptionChar"/>
    <w:unhideWhenUsed/>
    <w:qFormat/>
    <w:rsid w:val="00AF2B0E"/>
    <w:pPr>
      <w:keepNext/>
      <w:ind w:left="1440" w:hanging="1440"/>
    </w:pPr>
    <w:rPr>
      <w:rFonts w:ascii="Arial" w:hAnsi="Arial" w:cs="Arial"/>
      <w:b/>
      <w:bCs/>
      <w:sz w:val="20"/>
      <w:szCs w:val="20"/>
    </w:rPr>
  </w:style>
  <w:style w:type="character" w:customStyle="1" w:styleId="Heading6Char">
    <w:name w:val="Heading 6 Char"/>
    <w:link w:val="Heading6"/>
    <w:rsid w:val="002C584A"/>
    <w:rPr>
      <w:rFonts w:ascii="Calibri" w:eastAsia="Times New Roman" w:hAnsi="Calibri" w:cs="Times New Roman"/>
      <w:b/>
      <w:bCs/>
      <w:sz w:val="22"/>
      <w:szCs w:val="22"/>
      <w:lang w:eastAsia="en-US"/>
    </w:rPr>
  </w:style>
  <w:style w:type="paragraph" w:customStyle="1" w:styleId="Source1">
    <w:name w:val="Source 1"/>
    <w:basedOn w:val="Numbered"/>
    <w:link w:val="Source1Char"/>
    <w:qFormat/>
    <w:rsid w:val="00AF2B0E"/>
    <w:pPr>
      <w:numPr>
        <w:numId w:val="0"/>
      </w:numPr>
      <w:spacing w:before="0"/>
      <w:ind w:left="1276" w:hanging="709"/>
    </w:pPr>
    <w:rPr>
      <w:sz w:val="18"/>
      <w:szCs w:val="18"/>
    </w:rPr>
  </w:style>
  <w:style w:type="character" w:customStyle="1" w:styleId="NumberedChar">
    <w:name w:val="Numbered Char"/>
    <w:link w:val="Numbered"/>
    <w:rsid w:val="00F1213F"/>
    <w:rPr>
      <w:rFonts w:ascii="Arial" w:hAnsi="Arial" w:cs="Arial"/>
      <w:sz w:val="22"/>
      <w:szCs w:val="22"/>
      <w:lang w:eastAsia="en-US"/>
    </w:rPr>
  </w:style>
  <w:style w:type="character" w:customStyle="1" w:styleId="Source1Char">
    <w:name w:val="Source 1 Char"/>
    <w:link w:val="Source1"/>
    <w:rsid w:val="00AF2B0E"/>
    <w:rPr>
      <w:rFonts w:ascii="Arial" w:hAnsi="Arial" w:cs="Arial"/>
      <w:sz w:val="18"/>
      <w:szCs w:val="18"/>
      <w:lang w:eastAsia="en-US"/>
    </w:rPr>
  </w:style>
  <w:style w:type="paragraph" w:customStyle="1" w:styleId="bulletpoint2">
    <w:name w:val="bullet point 2"/>
    <w:basedOn w:val="Bulletpoint"/>
    <w:link w:val="bulletpoint2Char"/>
    <w:qFormat/>
    <w:rsid w:val="002B372B"/>
    <w:pPr>
      <w:tabs>
        <w:tab w:val="clear" w:pos="1492"/>
        <w:tab w:val="num" w:pos="567"/>
      </w:tabs>
      <w:spacing w:before="240"/>
      <w:ind w:left="567" w:hanging="567"/>
    </w:pPr>
    <w:rPr>
      <w:i/>
    </w:rPr>
  </w:style>
  <w:style w:type="character" w:customStyle="1" w:styleId="ListBulletChar">
    <w:name w:val="List Bullet Char"/>
    <w:link w:val="ListBullet"/>
    <w:rsid w:val="00140D2A"/>
    <w:rPr>
      <w:sz w:val="24"/>
      <w:szCs w:val="24"/>
      <w:lang w:eastAsia="en-US"/>
    </w:rPr>
  </w:style>
  <w:style w:type="character" w:customStyle="1" w:styleId="BulletpointChar">
    <w:name w:val="Bullet point Char"/>
    <w:link w:val="Bulletpoint"/>
    <w:rsid w:val="00140D2A"/>
    <w:rPr>
      <w:rFonts w:ascii="Arial" w:eastAsia="Arial" w:hAnsi="Arial"/>
      <w:sz w:val="22"/>
      <w:szCs w:val="22"/>
      <w:lang w:eastAsia="en-US"/>
    </w:rPr>
  </w:style>
  <w:style w:type="character" w:customStyle="1" w:styleId="bulletpoint2Char">
    <w:name w:val="bullet point 2 Char"/>
    <w:link w:val="bulletpoint2"/>
    <w:rsid w:val="002B372B"/>
    <w:rPr>
      <w:rFonts w:ascii="Arial" w:eastAsia="Arial" w:hAnsi="Arial"/>
      <w:i/>
      <w:sz w:val="22"/>
      <w:szCs w:val="22"/>
      <w:lang w:eastAsia="en-US"/>
    </w:rPr>
  </w:style>
  <w:style w:type="paragraph" w:customStyle="1" w:styleId="Figurestyle">
    <w:name w:val="Figure style"/>
    <w:basedOn w:val="Numbered"/>
    <w:link w:val="FigurestyleChar"/>
    <w:qFormat/>
    <w:rsid w:val="00AF2B0E"/>
    <w:pPr>
      <w:numPr>
        <w:numId w:val="0"/>
      </w:numPr>
      <w:spacing w:before="0" w:after="0"/>
      <w:ind w:left="567"/>
    </w:pPr>
  </w:style>
  <w:style w:type="paragraph" w:customStyle="1" w:styleId="Bulletpointinpagragraph">
    <w:name w:val="Bullet point in  pagragraph"/>
    <w:basedOn w:val="Numbered"/>
    <w:link w:val="BulletpointinpagragraphChar"/>
    <w:qFormat/>
    <w:rsid w:val="0082512E"/>
    <w:pPr>
      <w:numPr>
        <w:numId w:val="10"/>
      </w:numPr>
      <w:tabs>
        <w:tab w:val="clear" w:pos="567"/>
        <w:tab w:val="num" w:pos="993"/>
      </w:tabs>
      <w:ind w:left="993" w:hanging="426"/>
    </w:pPr>
  </w:style>
  <w:style w:type="character" w:customStyle="1" w:styleId="FigurestyleChar">
    <w:name w:val="Figure style Char"/>
    <w:link w:val="Figurestyle"/>
    <w:rsid w:val="00AF2B0E"/>
    <w:rPr>
      <w:rFonts w:ascii="Arial" w:hAnsi="Arial" w:cs="Arial"/>
      <w:sz w:val="22"/>
      <w:szCs w:val="22"/>
      <w:lang w:eastAsia="en-US"/>
    </w:rPr>
  </w:style>
  <w:style w:type="character" w:customStyle="1" w:styleId="BulletpointinpagragraphChar">
    <w:name w:val="Bullet point in  pagragraph Char"/>
    <w:link w:val="Bulletpointinpagragraph"/>
    <w:rsid w:val="0082512E"/>
    <w:rPr>
      <w:rFonts w:ascii="Arial" w:hAnsi="Arial" w:cs="Arial"/>
      <w:sz w:val="22"/>
      <w:szCs w:val="22"/>
      <w:lang w:eastAsia="en-US"/>
    </w:rPr>
  </w:style>
  <w:style w:type="character" w:customStyle="1" w:styleId="CaptionChar">
    <w:name w:val="Caption Char"/>
    <w:link w:val="Caption"/>
    <w:rsid w:val="00635779"/>
    <w:rPr>
      <w:rFonts w:ascii="Arial" w:hAnsi="Arial" w:cs="Arial"/>
      <w:b/>
      <w:bCs/>
      <w:lang w:eastAsia="en-US"/>
    </w:rPr>
  </w:style>
  <w:style w:type="paragraph" w:customStyle="1" w:styleId="Bulletpointinparagraph">
    <w:name w:val="Bullet point in paragraph"/>
    <w:basedOn w:val="Numbered"/>
    <w:link w:val="BulletpointinparagraphChar"/>
    <w:qFormat/>
    <w:rsid w:val="00635779"/>
    <w:pPr>
      <w:numPr>
        <w:numId w:val="0"/>
      </w:numPr>
      <w:tabs>
        <w:tab w:val="num" w:pos="1134"/>
      </w:tabs>
      <w:ind w:left="1134" w:hanging="567"/>
    </w:pPr>
  </w:style>
  <w:style w:type="character" w:customStyle="1" w:styleId="BulletpointinparagraphChar">
    <w:name w:val="Bullet point in paragraph Char"/>
    <w:link w:val="Bulletpointinparagraph"/>
    <w:rsid w:val="00635779"/>
    <w:rPr>
      <w:rFonts w:ascii="Arial" w:hAnsi="Arial" w:cs="Arial"/>
      <w:sz w:val="22"/>
      <w:szCs w:val="22"/>
      <w:lang w:eastAsia="en-US"/>
    </w:rPr>
  </w:style>
  <w:style w:type="character" w:customStyle="1" w:styleId="Heading3Char">
    <w:name w:val="Heading 3 Char"/>
    <w:link w:val="Heading3"/>
    <w:rsid w:val="001A3A59"/>
    <w:rPr>
      <w:rFonts w:ascii="Arial" w:hAnsi="Arial" w:cs="Arial"/>
      <w:b/>
      <w:bCs/>
      <w:sz w:val="30"/>
      <w:szCs w:val="30"/>
      <w:lang w:eastAsia="en-US"/>
    </w:rPr>
  </w:style>
  <w:style w:type="paragraph" w:customStyle="1" w:styleId="Annexureheading">
    <w:name w:val="Annexure heading"/>
    <w:basedOn w:val="Heading4"/>
    <w:link w:val="AnnexureheadingChar"/>
    <w:qFormat/>
    <w:rsid w:val="00C01999"/>
    <w:pPr>
      <w:ind w:left="2127" w:hanging="2127"/>
    </w:pPr>
  </w:style>
  <w:style w:type="character" w:customStyle="1" w:styleId="NormalParagraphChar">
    <w:name w:val="Normal Paragraph Char"/>
    <w:basedOn w:val="NumberedChar"/>
    <w:link w:val="NormalParagraph"/>
    <w:rsid w:val="00C01999"/>
    <w:rPr>
      <w:rFonts w:ascii="Arial" w:hAnsi="Arial" w:cs="Arial"/>
      <w:sz w:val="22"/>
      <w:szCs w:val="22"/>
      <w:lang w:eastAsia="en-US"/>
    </w:rPr>
  </w:style>
  <w:style w:type="character" w:customStyle="1" w:styleId="AnnexureheadingChar">
    <w:name w:val="Annexure heading Char"/>
    <w:basedOn w:val="NormalParagraphChar"/>
    <w:link w:val="Annexureheading"/>
    <w:rsid w:val="00C01999"/>
    <w:rPr>
      <w:rFonts w:ascii="Arial" w:hAnsi="Arial" w:cs="Arial"/>
      <w:b/>
      <w:sz w:val="22"/>
      <w:szCs w:val="22"/>
      <w:lang w:eastAsia="en-US"/>
    </w:rPr>
  </w:style>
  <w:style w:type="character" w:styleId="FollowedHyperlink">
    <w:name w:val="FollowedHyperlink"/>
    <w:basedOn w:val="DefaultParagraphFont"/>
    <w:rsid w:val="006D248C"/>
    <w:rPr>
      <w:color w:val="800080" w:themeColor="followedHyperlink"/>
      <w:u w:val="single"/>
    </w:rPr>
  </w:style>
  <w:style w:type="character" w:customStyle="1" w:styleId="HeaderChar">
    <w:name w:val="Header Char"/>
    <w:link w:val="Header"/>
    <w:rsid w:val="000E791D"/>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08961">
      <w:bodyDiv w:val="1"/>
      <w:marLeft w:val="0"/>
      <w:marRight w:val="0"/>
      <w:marTop w:val="0"/>
      <w:marBottom w:val="0"/>
      <w:divBdr>
        <w:top w:val="none" w:sz="0" w:space="0" w:color="auto"/>
        <w:left w:val="none" w:sz="0" w:space="0" w:color="auto"/>
        <w:bottom w:val="none" w:sz="0" w:space="0" w:color="auto"/>
        <w:right w:val="none" w:sz="0" w:space="0" w:color="auto"/>
      </w:divBdr>
    </w:div>
    <w:div w:id="484511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ergers@accc.gov.a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accc.gov.au/publications/informal-merger-review-process-guidelines-2013"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glossary.oilfield.slb.com/en/Terms/h/hpht.aspx" TargetMode="External"/><Relationship Id="rId3" Type="http://schemas.openxmlformats.org/officeDocument/2006/relationships/hyperlink" Target="http://www.halliburton.com/public/news/pubsdata/press_release/2014/HAL-BHI-Joint-Announcement-Press-Release.pdf" TargetMode="External"/><Relationship Id="rId7" Type="http://schemas.openxmlformats.org/officeDocument/2006/relationships/hyperlink" Target="http://www.glossary.oilfield.slb.com/en/Terms/d/deepwater_play.aspx" TargetMode="External"/><Relationship Id="rId12" Type="http://schemas.openxmlformats.org/officeDocument/2006/relationships/hyperlink" Target="http://condorenergy.com.au/news/australias-great-fraccing-contender/" TargetMode="External"/><Relationship Id="rId2" Type="http://schemas.openxmlformats.org/officeDocument/2006/relationships/hyperlink" Target="http://clients1.ibisworld.com.au/reports/au/enterprisefull/financials.aspx?entid=218" TargetMode="External"/><Relationship Id="rId1" Type="http://schemas.openxmlformats.org/officeDocument/2006/relationships/hyperlink" Target="http://clients1.ibisworld.com.au/reports/au/enterprisepremium/financials.aspx?entid=12860" TargetMode="External"/><Relationship Id="rId6" Type="http://schemas.openxmlformats.org/officeDocument/2006/relationships/hyperlink" Target="http://www.bakerhughes.com/products-and-services/integrated-operations/integrated-services" TargetMode="External"/><Relationship Id="rId11" Type="http://schemas.openxmlformats.org/officeDocument/2006/relationships/hyperlink" Target="http://www.slb.com/~/media/Files/ipm/catalogs/integrated_project_managment_catalog.pdf" TargetMode="External"/><Relationship Id="rId5" Type="http://schemas.openxmlformats.org/officeDocument/2006/relationships/hyperlink" Target="http://www.halliburton.com/public/news/pubsdata/press_release/2015/Halliburton-BakerHughes-announce-additional-divestiture.html" TargetMode="External"/><Relationship Id="rId10" Type="http://schemas.openxmlformats.org/officeDocument/2006/relationships/hyperlink" Target="http://www.glossary.oilfield.slb.com/en/Terms/t/turnkey.aspx" TargetMode="External"/><Relationship Id="rId4" Type="http://schemas.openxmlformats.org/officeDocument/2006/relationships/hyperlink" Target="http://www.halliburton.com/public/news/pubsdata/press_release/2015/halliburton-to-separately-market-for-sale-its-drill-bits.html" TargetMode="External"/><Relationship Id="rId9" Type="http://schemas.openxmlformats.org/officeDocument/2006/relationships/hyperlink" Target="http://www.halliburton.com/en-US/ps/project-management/project-management/integrated-services.page?node-id=hgoxc0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CF9BA2-0BBB-454C-AB97-F5AA969DA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E61E51A</Template>
  <TotalTime>0</TotalTime>
  <Pages>35</Pages>
  <Words>10792</Words>
  <Characters>60865</Characters>
  <Application>Microsoft Office Word</Application>
  <DocSecurity>0</DocSecurity>
  <Lines>507</Lines>
  <Paragraphs>143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71514</CharactersWithSpaces>
  <SharedDoc>false</SharedDoc>
  <HLinks>
    <vt:vector size="6" baseType="variant">
      <vt:variant>
        <vt:i4>5898250</vt:i4>
      </vt:variant>
      <vt:variant>
        <vt:i4>0</vt:i4>
      </vt:variant>
      <vt:variant>
        <vt:i4>0</vt:i4>
      </vt:variant>
      <vt:variant>
        <vt:i4>5</vt:i4>
      </vt:variant>
      <vt:variant>
        <vt:lpwstr>http://www.accc.gov.au/processguidelines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2015-10-22T11:13:00Z</dcterms:created>
  <dcterms:modified xsi:type="dcterms:W3CDTF">2015-10-22T11:22:00Z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rrfile">
    <vt:lpwstr>\\cdchnas-evs02\home$\rneil\halliburton baker hughes - draft - soi - statement of issues - september 2015 (MER2015-09054).docx</vt:lpwstr>
  </property>
  <property fmtid="{D5CDD505-2E9C-101B-9397-08002B2CF9AE}" pid="3" name="URI">
    <vt:lpwstr>8531343</vt:lpwstr>
  </property>
</Properties>
</file>