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83" w:rsidRPr="003D12D0" w:rsidRDefault="00C053B6" w:rsidP="00415883">
      <w:pPr>
        <w:pStyle w:val="Heading1"/>
        <w:rPr>
          <w:b w:val="0"/>
        </w:r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Australian Competition and Consumer Commission" style="width:171.65pt;height:91.25pt;visibility:visible">
            <v:imagedata r:id="rId9" o:title="Australian Competition and Consumer Commission"/>
          </v:shape>
        </w:pict>
      </w:r>
    </w:p>
    <w:p w:rsidR="00415883" w:rsidRPr="003D12D0" w:rsidRDefault="00415883" w:rsidP="0066554A">
      <w:pPr>
        <w:pStyle w:val="Heading1"/>
        <w:spacing w:after="360"/>
        <w:rPr>
          <w:sz w:val="32"/>
          <w:szCs w:val="32"/>
        </w:rPr>
      </w:pPr>
      <w:r w:rsidRPr="003D12D0">
        <w:rPr>
          <w:sz w:val="32"/>
          <w:szCs w:val="32"/>
        </w:rPr>
        <w:t>Public Competition Assessment</w:t>
      </w:r>
    </w:p>
    <w:p w:rsidR="00415883" w:rsidRPr="003D12D0" w:rsidRDefault="00171803" w:rsidP="00415883">
      <w:pPr>
        <w:pStyle w:val="Date1"/>
      </w:pPr>
      <w:r>
        <w:t xml:space="preserve">13 </w:t>
      </w:r>
      <w:bookmarkStart w:id="0" w:name="_GoBack"/>
      <w:bookmarkEnd w:id="0"/>
      <w:r w:rsidR="00270F25">
        <w:t xml:space="preserve">January </w:t>
      </w:r>
      <w:r w:rsidR="00415883" w:rsidRPr="003D12D0">
        <w:t>201</w:t>
      </w:r>
      <w:r w:rsidR="00270F25">
        <w:t>5</w:t>
      </w:r>
    </w:p>
    <w:p w:rsidR="00415883" w:rsidRPr="003D12D0" w:rsidRDefault="00002466" w:rsidP="00B56268">
      <w:pPr>
        <w:pStyle w:val="Heading2"/>
        <w:jc w:val="left"/>
      </w:pPr>
      <w:bookmarkStart w:id="1" w:name="Title"/>
      <w:bookmarkEnd w:id="1"/>
      <w:r>
        <w:t>Expedia, Inc</w:t>
      </w:r>
      <w:r w:rsidR="00415883" w:rsidRPr="003D12D0">
        <w:t xml:space="preserve"> </w:t>
      </w:r>
      <w:r w:rsidR="00CB57F3" w:rsidRPr="003D12D0">
        <w:t>–</w:t>
      </w:r>
      <w:r w:rsidR="00415883" w:rsidRPr="003D12D0">
        <w:t xml:space="preserve"> proposed</w:t>
      </w:r>
      <w:r w:rsidR="00CB57F3" w:rsidRPr="003D12D0">
        <w:t xml:space="preserve"> </w:t>
      </w:r>
      <w:r w:rsidR="00415883" w:rsidRPr="003D12D0">
        <w:t xml:space="preserve">acquisition of </w:t>
      </w:r>
      <w:r>
        <w:t>Wotif.com Holdings Limited</w:t>
      </w:r>
    </w:p>
    <w:p w:rsidR="00415883" w:rsidRPr="003D12D0" w:rsidRDefault="00415883" w:rsidP="00B56268">
      <w:pPr>
        <w:pStyle w:val="Heading3"/>
      </w:pPr>
      <w:r w:rsidRPr="003D12D0">
        <w:t>Introduction</w:t>
      </w:r>
    </w:p>
    <w:p w:rsidR="00B56268" w:rsidRDefault="00415883" w:rsidP="00962B5C">
      <w:pPr>
        <w:pStyle w:val="NormalParagraph"/>
        <w:tabs>
          <w:tab w:val="clear" w:pos="928"/>
          <w:tab w:val="left" w:pos="567"/>
        </w:tabs>
      </w:pPr>
      <w:r w:rsidRPr="003D12D0">
        <w:t xml:space="preserve">On </w:t>
      </w:r>
      <w:r w:rsidR="00C2085B" w:rsidRPr="00436746">
        <w:t>2</w:t>
      </w:r>
      <w:r w:rsidR="00F014DE" w:rsidRPr="003D12D0">
        <w:t xml:space="preserve"> </w:t>
      </w:r>
      <w:r w:rsidR="00F058BD">
        <w:t>October</w:t>
      </w:r>
      <w:r w:rsidRPr="003D12D0">
        <w:t xml:space="preserve"> </w:t>
      </w:r>
      <w:r w:rsidR="00F014DE" w:rsidRPr="003D12D0">
        <w:t>2014</w:t>
      </w:r>
      <w:r w:rsidRPr="003D12D0">
        <w:t>, the Australian Competition and Consumer Commission (</w:t>
      </w:r>
      <w:r w:rsidRPr="003D12D0">
        <w:rPr>
          <w:b/>
        </w:rPr>
        <w:t>ACCC</w:t>
      </w:r>
      <w:r w:rsidRPr="003D12D0">
        <w:t xml:space="preserve">) announced its </w:t>
      </w:r>
      <w:r w:rsidR="00177E5C" w:rsidRPr="003D12D0">
        <w:t>decision</w:t>
      </w:r>
      <w:r w:rsidR="006B5B58">
        <w:t xml:space="preserve"> not</w:t>
      </w:r>
      <w:r w:rsidR="00177E5C" w:rsidRPr="003D12D0">
        <w:t xml:space="preserve"> </w:t>
      </w:r>
      <w:r w:rsidRPr="003D12D0">
        <w:t xml:space="preserve">to oppose </w:t>
      </w:r>
      <w:bookmarkStart w:id="2" w:name="Target"/>
      <w:bookmarkEnd w:id="2"/>
      <w:r w:rsidR="00177E5C" w:rsidRPr="003D12D0">
        <w:t>the proposed acquisition</w:t>
      </w:r>
      <w:r w:rsidR="00C5094D" w:rsidRPr="003D12D0">
        <w:t xml:space="preserve"> by </w:t>
      </w:r>
      <w:r w:rsidR="00F058BD">
        <w:t>Expedia, Inc.</w:t>
      </w:r>
      <w:r w:rsidR="00C5094D" w:rsidRPr="003D12D0">
        <w:t xml:space="preserve"> (</w:t>
      </w:r>
      <w:r w:rsidR="00F058BD">
        <w:rPr>
          <w:b/>
        </w:rPr>
        <w:t>Expedia</w:t>
      </w:r>
      <w:r w:rsidR="00C5094D" w:rsidRPr="003D12D0">
        <w:t>)</w:t>
      </w:r>
      <w:r w:rsidR="00177E5C" w:rsidRPr="003D12D0">
        <w:t xml:space="preserve"> of </w:t>
      </w:r>
      <w:r w:rsidR="00F058BD">
        <w:t>Wotif.com Holdings</w:t>
      </w:r>
      <w:r w:rsidR="00177E5C" w:rsidRPr="003D12D0">
        <w:t xml:space="preserve"> </w:t>
      </w:r>
      <w:bookmarkStart w:id="3" w:name="Acquirer"/>
      <w:bookmarkEnd w:id="3"/>
      <w:r w:rsidRPr="003D12D0">
        <w:t>(</w:t>
      </w:r>
      <w:r w:rsidR="00F058BD" w:rsidRPr="00F058BD">
        <w:rPr>
          <w:b/>
        </w:rPr>
        <w:t>Wotif</w:t>
      </w:r>
      <w:r w:rsidRPr="003D12D0">
        <w:t>) (</w:t>
      </w:r>
      <w:r w:rsidRPr="003D12D0">
        <w:rPr>
          <w:b/>
        </w:rPr>
        <w:t>proposed acquisition</w:t>
      </w:r>
      <w:r w:rsidRPr="003D12D0">
        <w:t>).</w:t>
      </w:r>
    </w:p>
    <w:p w:rsidR="00B56268" w:rsidRDefault="00415883" w:rsidP="00962B5C">
      <w:pPr>
        <w:pStyle w:val="NormalParagraph"/>
        <w:tabs>
          <w:tab w:val="clear" w:pos="928"/>
          <w:tab w:val="left" w:pos="567"/>
        </w:tabs>
      </w:pPr>
      <w:r w:rsidRPr="003D12D0">
        <w:t>The ACCC decided that the proposed a</w:t>
      </w:r>
      <w:r w:rsidR="00F058BD">
        <w:t>cquisition was</w:t>
      </w:r>
      <w:r w:rsidRPr="003D12D0">
        <w:t xml:space="preserve"> </w:t>
      </w:r>
      <w:r w:rsidR="00F058BD">
        <w:t>un</w:t>
      </w:r>
      <w:r w:rsidR="00966554" w:rsidRPr="003D12D0">
        <w:t>likely</w:t>
      </w:r>
      <w:r w:rsidRPr="003D12D0">
        <w:t xml:space="preserve"> to have the effect of substantially lessening competition in a market in contravention of section 50 of the </w:t>
      </w:r>
      <w:r w:rsidRPr="00B56268">
        <w:rPr>
          <w:i/>
        </w:rPr>
        <w:t xml:space="preserve">Competition </w:t>
      </w:r>
      <w:r w:rsidRPr="003D12D0">
        <w:t>and</w:t>
      </w:r>
      <w:r w:rsidRPr="00B56268">
        <w:rPr>
          <w:i/>
        </w:rPr>
        <w:t xml:space="preserve"> Consumer Act 2010</w:t>
      </w:r>
      <w:r w:rsidRPr="003D12D0">
        <w:t xml:space="preserve"> (</w:t>
      </w:r>
      <w:r w:rsidRPr="00B56268">
        <w:rPr>
          <w:b/>
        </w:rPr>
        <w:t>the Act</w:t>
      </w:r>
      <w:r w:rsidRPr="003D12D0">
        <w:t>).</w:t>
      </w:r>
    </w:p>
    <w:p w:rsidR="00415883" w:rsidRPr="003D12D0" w:rsidRDefault="00415883" w:rsidP="00962B5C">
      <w:pPr>
        <w:pStyle w:val="NormalParagraph"/>
        <w:tabs>
          <w:tab w:val="clear" w:pos="928"/>
          <w:tab w:val="left" w:pos="567"/>
        </w:tabs>
      </w:pPr>
      <w:r w:rsidRPr="003D12D0">
        <w:t xml:space="preserve">The ACCC made its decision on the basis of the information provided by the parties to the acquisition (the </w:t>
      </w:r>
      <w:r w:rsidRPr="00B56268">
        <w:rPr>
          <w:b/>
        </w:rPr>
        <w:t>parties</w:t>
      </w:r>
      <w:r w:rsidRPr="003D12D0">
        <w:t>) and information arising from its market inquiries. This Public Competition Assessment outlines (subject to confidentiality considerations) the basis on which the ACCC has reached its decision.</w:t>
      </w:r>
    </w:p>
    <w:p w:rsidR="00415883" w:rsidRPr="003D12D0" w:rsidRDefault="00415883" w:rsidP="00B56268">
      <w:pPr>
        <w:pStyle w:val="Heading3"/>
      </w:pPr>
      <w:r w:rsidRPr="003D12D0">
        <w:t>Public Competition Assessment</w:t>
      </w:r>
      <w:r w:rsidR="00FD1FB6">
        <w:t>s</w:t>
      </w:r>
    </w:p>
    <w:p w:rsidR="00415883" w:rsidRPr="003D12D0" w:rsidRDefault="00415883" w:rsidP="00962B5C">
      <w:pPr>
        <w:pStyle w:val="NormalParagraph"/>
        <w:tabs>
          <w:tab w:val="clear" w:pos="928"/>
          <w:tab w:val="left" w:pos="567"/>
        </w:tabs>
      </w:pPr>
      <w:r w:rsidRPr="003D12D0">
        <w:t>To provide an enhanced level of transparency in its decision making process, the ACCC issues a Public Competition Assessment</w:t>
      </w:r>
      <w:r w:rsidR="00480999">
        <w:t xml:space="preserve"> where</w:t>
      </w:r>
      <w:r w:rsidRPr="003D12D0">
        <w:t>:</w:t>
      </w:r>
    </w:p>
    <w:p w:rsidR="00415883" w:rsidRPr="003D12D0" w:rsidRDefault="00415883" w:rsidP="00670880">
      <w:pPr>
        <w:pStyle w:val="NormalParagraph"/>
        <w:numPr>
          <w:ilvl w:val="0"/>
          <w:numId w:val="11"/>
        </w:numPr>
        <w:ind w:left="1134"/>
      </w:pPr>
      <w:r w:rsidRPr="003D12D0">
        <w:t>an acquisition is opposed;</w:t>
      </w:r>
    </w:p>
    <w:p w:rsidR="00415883" w:rsidRPr="003D12D0" w:rsidRDefault="00415883" w:rsidP="00670880">
      <w:pPr>
        <w:pStyle w:val="NormalParagraph"/>
        <w:numPr>
          <w:ilvl w:val="0"/>
          <w:numId w:val="11"/>
        </w:numPr>
        <w:ind w:left="1134"/>
      </w:pPr>
      <w:r w:rsidRPr="003D12D0">
        <w:t>an acquisition is subject to enforceable undertakings;</w:t>
      </w:r>
    </w:p>
    <w:p w:rsidR="00415883" w:rsidRPr="003D12D0" w:rsidRDefault="00415883" w:rsidP="00670880">
      <w:pPr>
        <w:pStyle w:val="NormalParagraph"/>
        <w:numPr>
          <w:ilvl w:val="0"/>
          <w:numId w:val="11"/>
        </w:numPr>
        <w:ind w:left="1134"/>
      </w:pPr>
      <w:r w:rsidRPr="003D12D0">
        <w:t>the parties to the acquisition seek such disclosure; or</w:t>
      </w:r>
    </w:p>
    <w:p w:rsidR="00415883" w:rsidRPr="003D12D0" w:rsidRDefault="00415883" w:rsidP="00670880">
      <w:pPr>
        <w:pStyle w:val="NormalParagraph"/>
        <w:numPr>
          <w:ilvl w:val="0"/>
          <w:numId w:val="11"/>
        </w:numPr>
        <w:ind w:left="1134"/>
      </w:pPr>
      <w:r w:rsidRPr="003D12D0">
        <w:t>an acquisition is not opposed but raises important issues that the ACCC considers should be made public.</w:t>
      </w:r>
    </w:p>
    <w:p w:rsidR="00962B5C" w:rsidRDefault="00415883" w:rsidP="00962B5C">
      <w:pPr>
        <w:pStyle w:val="NormalParagraph"/>
        <w:tabs>
          <w:tab w:val="clear" w:pos="928"/>
          <w:tab w:val="left" w:pos="567"/>
        </w:tabs>
      </w:pPr>
      <w:r w:rsidRPr="003D12D0">
        <w:t xml:space="preserve">This Public Competition Assessment has been issued because </w:t>
      </w:r>
      <w:bookmarkStart w:id="4" w:name="Acquirer2"/>
      <w:bookmarkEnd w:id="4"/>
      <w:r w:rsidRPr="003D12D0">
        <w:t xml:space="preserve">the proposed acquisition </w:t>
      </w:r>
      <w:r w:rsidR="00D940A8" w:rsidRPr="003D12D0">
        <w:t xml:space="preserve">was </w:t>
      </w:r>
      <w:r w:rsidR="00273BB3">
        <w:t xml:space="preserve">not </w:t>
      </w:r>
      <w:r w:rsidR="00D940A8" w:rsidRPr="003D12D0">
        <w:t>opposed by the ACCC</w:t>
      </w:r>
      <w:r w:rsidR="00273BB3">
        <w:t xml:space="preserve"> but raises some </w:t>
      </w:r>
      <w:r w:rsidR="00FD1FB6">
        <w:t xml:space="preserve">important </w:t>
      </w:r>
      <w:r w:rsidR="00273BB3">
        <w:t xml:space="preserve">issues </w:t>
      </w:r>
      <w:r w:rsidR="00FD1FB6">
        <w:t>that</w:t>
      </w:r>
      <w:r w:rsidR="00273BB3">
        <w:t xml:space="preserve"> the ACCC considers should be made public</w:t>
      </w:r>
      <w:r w:rsidRPr="003D12D0">
        <w:t>.</w:t>
      </w:r>
    </w:p>
    <w:p w:rsidR="00962B5C" w:rsidRDefault="00415883" w:rsidP="00962B5C">
      <w:pPr>
        <w:pStyle w:val="NormalParagraph"/>
        <w:tabs>
          <w:tab w:val="clear" w:pos="928"/>
          <w:tab w:val="left" w:pos="567"/>
        </w:tabs>
      </w:pPr>
      <w:r w:rsidRPr="003D12D0">
        <w:t>By issuing Public Competition Assessments, the ACCC</w:t>
      </w:r>
      <w:r w:rsidRPr="003D12D0" w:rsidDel="00E6344F">
        <w:t xml:space="preserve"> </w:t>
      </w:r>
      <w:r w:rsidRPr="003D12D0">
        <w:t xml:space="preserve">aims to provide the public with a better understanding of the ACCC's analysis of various markets and the associated competition issues. Public Competition Assessments can also alert the public to circumstances where the ACCC’s assessment of the competition conditions in particular markets is changing, or </w:t>
      </w:r>
      <w:r w:rsidR="00646999">
        <w:t xml:space="preserve">is </w:t>
      </w:r>
      <w:r w:rsidRPr="003D12D0">
        <w:t>likely to change.</w:t>
      </w:r>
    </w:p>
    <w:p w:rsidR="00962B5C" w:rsidRDefault="00415883" w:rsidP="00962B5C">
      <w:pPr>
        <w:pStyle w:val="NormalParagraph"/>
        <w:tabs>
          <w:tab w:val="clear" w:pos="928"/>
          <w:tab w:val="left" w:pos="567"/>
        </w:tabs>
      </w:pPr>
      <w:r w:rsidRPr="003D12D0">
        <w:lastRenderedPageBreak/>
        <w:t>Each Public Competition Assessment is specific to the particular transaction under review by the ACCC. While some transaction proposals may involve the same or related markets, it should not be assumed that the analysis outlined in one Public Competition Assessment will be conclusive of the ACCC’s view in respect of other transaction proposals, as each matter will be considered on a case-by-case basis.</w:t>
      </w:r>
      <w:bookmarkStart w:id="5" w:name="OLE_LINK2"/>
      <w:bookmarkStart w:id="6" w:name="OLE_LINK1"/>
      <w:bookmarkEnd w:id="5"/>
    </w:p>
    <w:p w:rsidR="00415883" w:rsidRPr="003D12D0" w:rsidRDefault="00415883" w:rsidP="00962B5C">
      <w:pPr>
        <w:pStyle w:val="NormalParagraph"/>
        <w:tabs>
          <w:tab w:val="clear" w:pos="928"/>
          <w:tab w:val="left" w:pos="567"/>
        </w:tabs>
      </w:pPr>
      <w:r w:rsidRPr="003D12D0">
        <w:t>Public Competition Assessments outline the ACCC’s principal reasons for</w:t>
      </w:r>
      <w:bookmarkEnd w:id="6"/>
      <w:r w:rsidRPr="003D12D0">
        <w:t xml:space="preserve"> forming views on a proposed acquisition. As such</w:t>
      </w:r>
      <w:r w:rsidR="00FD1FB6">
        <w:t>,</w:t>
      </w:r>
      <w:r w:rsidRPr="003D12D0">
        <w:t xml:space="preserve"> Public Competition Assessments may not definitively identify and explain all issues that the ACCC considers arise from a proposed acquisition. Further, the ACCC’s decisions generally involve consideration of confidential information provided by the parties and market participants. In order to maintain confidentiality, Public Competition Assessments do not contain any confidential information nor identify its sources.</w:t>
      </w:r>
    </w:p>
    <w:p w:rsidR="00415883" w:rsidRPr="003D12D0" w:rsidRDefault="00415883" w:rsidP="00B56268">
      <w:pPr>
        <w:pStyle w:val="Heading3"/>
      </w:pPr>
      <w:r w:rsidRPr="003D12D0">
        <w:t>The parties</w:t>
      </w:r>
    </w:p>
    <w:p w:rsidR="00415883" w:rsidRPr="003347A1" w:rsidRDefault="00415883" w:rsidP="003347A1">
      <w:pPr>
        <w:pStyle w:val="Heading4"/>
      </w:pPr>
      <w:r w:rsidRPr="003347A1">
        <w:t xml:space="preserve">The acquirer: </w:t>
      </w:r>
      <w:bookmarkStart w:id="7" w:name="Acquirer3"/>
      <w:bookmarkEnd w:id="7"/>
      <w:r w:rsidR="00D43E92" w:rsidRPr="003347A1">
        <w:t>Expedia</w:t>
      </w:r>
    </w:p>
    <w:p w:rsidR="00D43E92" w:rsidRDefault="00D43E92" w:rsidP="00962B5C">
      <w:pPr>
        <w:pStyle w:val="NormalParagraph"/>
        <w:tabs>
          <w:tab w:val="clear" w:pos="928"/>
          <w:tab w:val="left" w:pos="567"/>
        </w:tabs>
      </w:pPr>
      <w:r>
        <w:t>Expedia is a global online travel agency (</w:t>
      </w:r>
      <w:r>
        <w:rPr>
          <w:b/>
        </w:rPr>
        <w:t>OTA</w:t>
      </w:r>
      <w:r>
        <w:t xml:space="preserve">) that offers consumers the ability to book accommodation, flights, vacation packages, car rentals, cruises and </w:t>
      </w:r>
      <w:r w:rsidR="008D33AB">
        <w:t xml:space="preserve">other travel </w:t>
      </w:r>
      <w:r>
        <w:t>services.</w:t>
      </w:r>
      <w:r w:rsidR="008D33AB">
        <w:t xml:space="preserve"> Retail travel products can be booked through Expedia both online and via telephone.</w:t>
      </w:r>
      <w:r w:rsidR="008D33AB" w:rsidRPr="008D33AB">
        <w:t xml:space="preserve"> </w:t>
      </w:r>
      <w:r w:rsidR="008D33AB">
        <w:t>Expedia is also a relatively small supplier of corporate travel management services through its Egencia business.</w:t>
      </w:r>
    </w:p>
    <w:p w:rsidR="00D43E92" w:rsidRDefault="00D43E92" w:rsidP="00962B5C">
      <w:pPr>
        <w:pStyle w:val="NormalParagraph"/>
        <w:tabs>
          <w:tab w:val="clear" w:pos="928"/>
          <w:tab w:val="left" w:pos="567"/>
        </w:tabs>
      </w:pPr>
      <w:r>
        <w:t>Expedia’s online platforms provide an information service enabling consumers to compare the prices and attributes of accommodation offered by a large number of accommodation providers in Australia and abroad.</w:t>
      </w:r>
    </w:p>
    <w:p w:rsidR="00D43E92" w:rsidRDefault="00D43E92" w:rsidP="00962B5C">
      <w:pPr>
        <w:pStyle w:val="NormalParagraph"/>
        <w:tabs>
          <w:tab w:val="clear" w:pos="928"/>
          <w:tab w:val="left" w:pos="567"/>
        </w:tabs>
      </w:pPr>
      <w:r>
        <w:t>Expedia’s portfolio of brands include:</w:t>
      </w:r>
    </w:p>
    <w:p w:rsidR="00D43E92" w:rsidRDefault="00D43E92" w:rsidP="00670880">
      <w:pPr>
        <w:pStyle w:val="NormalParagraph"/>
        <w:numPr>
          <w:ilvl w:val="0"/>
          <w:numId w:val="11"/>
        </w:numPr>
        <w:ind w:left="1134"/>
      </w:pPr>
      <w:r>
        <w:t>Expedia.com</w:t>
      </w:r>
      <w:r w:rsidR="003013ED">
        <w:t xml:space="preserve"> </w:t>
      </w:r>
      <w:r w:rsidR="00571EC4">
        <w:t>–</w:t>
      </w:r>
      <w:r>
        <w:t xml:space="preserve"> a</w:t>
      </w:r>
      <w:r w:rsidR="00571EC4">
        <w:t xml:space="preserve"> </w:t>
      </w:r>
      <w:r>
        <w:t>full service OTA with localised sites in 31 countries</w:t>
      </w:r>
    </w:p>
    <w:p w:rsidR="00D43E92" w:rsidRDefault="00D43E92" w:rsidP="00670880">
      <w:pPr>
        <w:pStyle w:val="NormalParagraph"/>
        <w:numPr>
          <w:ilvl w:val="0"/>
          <w:numId w:val="11"/>
        </w:numPr>
        <w:ind w:left="1134"/>
      </w:pPr>
      <w:r w:rsidRPr="00D43E92">
        <w:t>Hotels.com</w:t>
      </w:r>
      <w:r w:rsidR="003013ED">
        <w:t xml:space="preserve"> </w:t>
      </w:r>
      <w:r w:rsidR="00571EC4">
        <w:t>–</w:t>
      </w:r>
      <w:r w:rsidRPr="00D43E92">
        <w:t xml:space="preserve"> an</w:t>
      </w:r>
      <w:r w:rsidR="00571EC4">
        <w:t xml:space="preserve"> </w:t>
      </w:r>
      <w:r w:rsidRPr="00D43E92">
        <w:t>accommodation specialist with sites in more than 60 countries</w:t>
      </w:r>
    </w:p>
    <w:p w:rsidR="00D43E92" w:rsidRDefault="00D43E92" w:rsidP="00670880">
      <w:pPr>
        <w:pStyle w:val="NormalParagraph"/>
        <w:numPr>
          <w:ilvl w:val="0"/>
          <w:numId w:val="11"/>
        </w:numPr>
        <w:ind w:left="1134"/>
      </w:pPr>
      <w:r w:rsidRPr="00D43E92">
        <w:t>Hotwire.com</w:t>
      </w:r>
      <w:r w:rsidR="003013ED">
        <w:t xml:space="preserve"> </w:t>
      </w:r>
      <w:r w:rsidR="00571EC4">
        <w:t>–</w:t>
      </w:r>
      <w:r w:rsidRPr="00D43E92">
        <w:t xml:space="preserve"> a</w:t>
      </w:r>
      <w:r w:rsidR="00571EC4">
        <w:t xml:space="preserve"> </w:t>
      </w:r>
      <w:r w:rsidRPr="00D43E92">
        <w:t>travel discount company with sites in 12 countries throughout North America, Europe and Asia</w:t>
      </w:r>
    </w:p>
    <w:p w:rsidR="00D43E92" w:rsidRDefault="00D43E92" w:rsidP="00670880">
      <w:pPr>
        <w:pStyle w:val="NormalParagraph"/>
        <w:numPr>
          <w:ilvl w:val="0"/>
          <w:numId w:val="11"/>
        </w:numPr>
        <w:ind w:left="1134"/>
      </w:pPr>
      <w:r w:rsidRPr="00D43E92">
        <w:t>Egencia</w:t>
      </w:r>
      <w:r w:rsidR="003013ED">
        <w:t xml:space="preserve"> </w:t>
      </w:r>
      <w:r w:rsidR="00571EC4">
        <w:t>–</w:t>
      </w:r>
      <w:r w:rsidRPr="00D43E92">
        <w:t xml:space="preserve"> a</w:t>
      </w:r>
      <w:r w:rsidR="00571EC4">
        <w:t xml:space="preserve"> </w:t>
      </w:r>
      <w:r w:rsidRPr="00D43E92">
        <w:t>corporate travel management company</w:t>
      </w:r>
    </w:p>
    <w:p w:rsidR="00D43E92" w:rsidRDefault="00D43E92" w:rsidP="00670880">
      <w:pPr>
        <w:pStyle w:val="NormalParagraph"/>
        <w:numPr>
          <w:ilvl w:val="0"/>
          <w:numId w:val="11"/>
        </w:numPr>
        <w:ind w:left="1134"/>
      </w:pPr>
      <w:r w:rsidRPr="00D43E92">
        <w:t>Venere.com</w:t>
      </w:r>
      <w:r w:rsidR="003013ED">
        <w:t xml:space="preserve"> </w:t>
      </w:r>
      <w:r w:rsidR="00571EC4">
        <w:t>–</w:t>
      </w:r>
      <w:r w:rsidRPr="00D43E92">
        <w:t xml:space="preserve"> an</w:t>
      </w:r>
      <w:r w:rsidR="00571EC4">
        <w:t xml:space="preserve"> </w:t>
      </w:r>
      <w:r w:rsidRPr="00D43E92">
        <w:t>online accommodation reservation specialist in Europe; and</w:t>
      </w:r>
    </w:p>
    <w:p w:rsidR="00D43E92" w:rsidRPr="00D43E92" w:rsidRDefault="00A67383" w:rsidP="00670880">
      <w:pPr>
        <w:pStyle w:val="NormalParagraph"/>
        <w:numPr>
          <w:ilvl w:val="0"/>
          <w:numId w:val="11"/>
        </w:numPr>
        <w:ind w:left="1134"/>
      </w:pPr>
      <w:r w:rsidRPr="006578A3">
        <w:t xml:space="preserve">a majority shareholding in </w:t>
      </w:r>
      <w:r w:rsidR="00D43E92" w:rsidRPr="006578A3">
        <w:t>trivago</w:t>
      </w:r>
      <w:r w:rsidR="003013ED">
        <w:t xml:space="preserve"> </w:t>
      </w:r>
      <w:r w:rsidR="00E51587">
        <w:t>–</w:t>
      </w:r>
      <w:r w:rsidR="00D43E92" w:rsidRPr="00D43E92">
        <w:t xml:space="preserve"> an</w:t>
      </w:r>
      <w:r w:rsidR="00E51587">
        <w:t xml:space="preserve"> </w:t>
      </w:r>
      <w:r w:rsidR="00D43E92" w:rsidRPr="00D43E92">
        <w:t>online accommodation metasearch company with sites in 45 countries.</w:t>
      </w:r>
    </w:p>
    <w:p w:rsidR="00415883" w:rsidRPr="003D12D0" w:rsidRDefault="00415883" w:rsidP="003347A1">
      <w:pPr>
        <w:pStyle w:val="Heading4"/>
      </w:pPr>
      <w:r w:rsidRPr="003D12D0">
        <w:t xml:space="preserve">The target: </w:t>
      </w:r>
      <w:bookmarkStart w:id="8" w:name="Target3"/>
      <w:bookmarkEnd w:id="8"/>
      <w:r w:rsidR="00D43E92">
        <w:t>Wotif</w:t>
      </w:r>
    </w:p>
    <w:p w:rsidR="00962B5C" w:rsidRDefault="00D43E92" w:rsidP="00962B5C">
      <w:pPr>
        <w:pStyle w:val="NormalParagraph"/>
        <w:tabs>
          <w:tab w:val="clear" w:pos="928"/>
          <w:tab w:val="left" w:pos="567"/>
        </w:tabs>
        <w:ind w:hanging="568"/>
      </w:pPr>
      <w:r>
        <w:t>Wotif is an ASX-listed and Australia</w:t>
      </w:r>
      <w:r w:rsidR="005E5A50">
        <w:t>n</w:t>
      </w:r>
      <w:r>
        <w:t>-based OTA that is predominantly active in relation to the supply of online accommodation booking services. These services represent approximately 87 per cent of its revenue.</w:t>
      </w:r>
      <w:r w:rsidR="00427196">
        <w:rPr>
          <w:rStyle w:val="FootnoteReference"/>
        </w:rPr>
        <w:footnoteReference w:id="1"/>
      </w:r>
      <w:r>
        <w:t xml:space="preserve"> Wotif is also active in the provision of booking services for flights, travel packages and other travel products. </w:t>
      </w:r>
    </w:p>
    <w:p w:rsidR="00D43E92" w:rsidRDefault="00D43E92" w:rsidP="00962B5C">
      <w:pPr>
        <w:pStyle w:val="NormalParagraph"/>
        <w:tabs>
          <w:tab w:val="clear" w:pos="928"/>
          <w:tab w:val="left" w:pos="567"/>
        </w:tabs>
        <w:ind w:hanging="568"/>
      </w:pPr>
      <w:r>
        <w:t>Wotif’s main brands include Wotif.com, lastminute.com.au, travel.com.au, Asia Web Direct, LateStays.com, Go Do and Arnold Travel Technology.</w:t>
      </w:r>
    </w:p>
    <w:p w:rsidR="00C217B7" w:rsidRPr="003D12D0" w:rsidRDefault="00C217B7" w:rsidP="003347A1">
      <w:pPr>
        <w:pStyle w:val="Heading4"/>
      </w:pPr>
      <w:r w:rsidRPr="003D12D0">
        <w:lastRenderedPageBreak/>
        <w:t xml:space="preserve">Other industry participants </w:t>
      </w:r>
    </w:p>
    <w:p w:rsidR="00415883" w:rsidRPr="003D12D0" w:rsidRDefault="005E5A50" w:rsidP="003347A1">
      <w:pPr>
        <w:pStyle w:val="Heading5"/>
      </w:pPr>
      <w:r>
        <w:t xml:space="preserve">The Priceline </w:t>
      </w:r>
      <w:r w:rsidRPr="003347A1">
        <w:t>Group</w:t>
      </w:r>
    </w:p>
    <w:p w:rsidR="005E5A50" w:rsidRDefault="005E5A50" w:rsidP="001B0A71">
      <w:pPr>
        <w:pStyle w:val="NormalParagraph"/>
        <w:tabs>
          <w:tab w:val="clear" w:pos="928"/>
          <w:tab w:val="num" w:pos="567"/>
        </w:tabs>
        <w:rPr>
          <w:rFonts w:cs="Arial"/>
        </w:rPr>
      </w:pPr>
      <w:r>
        <w:rPr>
          <w:rFonts w:cs="Arial"/>
        </w:rPr>
        <w:t xml:space="preserve">The Priceline Group </w:t>
      </w:r>
      <w:r w:rsidR="00A721D1">
        <w:rPr>
          <w:rFonts w:cs="Arial"/>
        </w:rPr>
        <w:t xml:space="preserve">provides online </w:t>
      </w:r>
      <w:r w:rsidR="0077144A">
        <w:rPr>
          <w:rFonts w:cs="Arial"/>
        </w:rPr>
        <w:t>accommodation, flights</w:t>
      </w:r>
      <w:r w:rsidR="00A721D1">
        <w:rPr>
          <w:rFonts w:cs="Arial"/>
        </w:rPr>
        <w:t xml:space="preserve"> and related </w:t>
      </w:r>
      <w:r w:rsidR="0077144A">
        <w:rPr>
          <w:rFonts w:cs="Arial"/>
        </w:rPr>
        <w:t xml:space="preserve">travel </w:t>
      </w:r>
      <w:r w:rsidR="00A721D1">
        <w:rPr>
          <w:rFonts w:cs="Arial"/>
        </w:rPr>
        <w:t xml:space="preserve">services through a number of brands globally. It has </w:t>
      </w:r>
      <w:r>
        <w:rPr>
          <w:rFonts w:cs="Arial"/>
        </w:rPr>
        <w:t>invest</w:t>
      </w:r>
      <w:r w:rsidR="00A721D1">
        <w:rPr>
          <w:rFonts w:cs="Arial"/>
        </w:rPr>
        <w:t xml:space="preserve">ed heavily </w:t>
      </w:r>
      <w:r>
        <w:rPr>
          <w:rFonts w:cs="Arial"/>
        </w:rPr>
        <w:t xml:space="preserve">in marketing </w:t>
      </w:r>
      <w:r w:rsidR="00A721D1">
        <w:rPr>
          <w:rFonts w:cs="Arial"/>
        </w:rPr>
        <w:t>and has a strong presence in Australia</w:t>
      </w:r>
      <w:r>
        <w:rPr>
          <w:rFonts w:cs="Arial"/>
        </w:rPr>
        <w:t xml:space="preserve">. Its </w:t>
      </w:r>
      <w:r w:rsidR="00A721D1">
        <w:rPr>
          <w:rFonts w:cs="Arial"/>
        </w:rPr>
        <w:t xml:space="preserve">major OTA </w:t>
      </w:r>
      <w:r>
        <w:rPr>
          <w:rFonts w:cs="Arial"/>
        </w:rPr>
        <w:t>brands include Booking.com, the most visited OTA website in Australia</w:t>
      </w:r>
      <w:r w:rsidRPr="00740334">
        <w:rPr>
          <w:rFonts w:cs="Arial"/>
        </w:rPr>
        <w:t>,</w:t>
      </w:r>
      <w:r w:rsidR="008B31FA" w:rsidRPr="00740334">
        <w:rPr>
          <w:rStyle w:val="FootnoteReference"/>
          <w:rFonts w:ascii="Arial" w:hAnsi="Arial" w:cs="Arial"/>
        </w:rPr>
        <w:footnoteReference w:id="2"/>
      </w:r>
      <w:r w:rsidRPr="00740334">
        <w:rPr>
          <w:rFonts w:cs="Arial"/>
        </w:rPr>
        <w:t xml:space="preserve"> </w:t>
      </w:r>
      <w:r w:rsidR="00A721D1">
        <w:rPr>
          <w:rFonts w:cs="Arial"/>
        </w:rPr>
        <w:t xml:space="preserve">and </w:t>
      </w:r>
      <w:r>
        <w:rPr>
          <w:rFonts w:cs="Arial"/>
        </w:rPr>
        <w:t>Agoda.</w:t>
      </w:r>
      <w:r w:rsidR="00A721D1">
        <w:rPr>
          <w:rFonts w:cs="Arial"/>
        </w:rPr>
        <w:t xml:space="preserve"> The Priceline Group also owns Kayak, a travel metasearch website and mobile application.</w:t>
      </w:r>
    </w:p>
    <w:p w:rsidR="005E5A50" w:rsidRDefault="005E5A50" w:rsidP="003347A1">
      <w:pPr>
        <w:pStyle w:val="Heading5"/>
      </w:pPr>
      <w:r>
        <w:t xml:space="preserve">Orbitz </w:t>
      </w:r>
      <w:r w:rsidRPr="003347A1">
        <w:t>Worldwide</w:t>
      </w:r>
    </w:p>
    <w:p w:rsidR="005E5A50" w:rsidRDefault="005E5A50" w:rsidP="001B0A71">
      <w:pPr>
        <w:pStyle w:val="NormalParagraph"/>
        <w:tabs>
          <w:tab w:val="clear" w:pos="928"/>
          <w:tab w:val="num" w:pos="567"/>
        </w:tabs>
        <w:rPr>
          <w:rFonts w:cs="Arial"/>
        </w:rPr>
      </w:pPr>
      <w:r>
        <w:rPr>
          <w:rFonts w:cs="Arial"/>
        </w:rPr>
        <w:t>Orbitz Worldwide is a global OTA with an Australian presence in online accommodation bookings through its HotelClub.com brand.</w:t>
      </w:r>
    </w:p>
    <w:p w:rsidR="005E5A50" w:rsidRDefault="005E5A50" w:rsidP="003347A1">
      <w:pPr>
        <w:pStyle w:val="Heading5"/>
      </w:pPr>
      <w:r>
        <w:t>Webjet</w:t>
      </w:r>
    </w:p>
    <w:p w:rsidR="001B0A71" w:rsidRDefault="005E5A50" w:rsidP="001B0A71">
      <w:pPr>
        <w:pStyle w:val="NormalParagraph"/>
        <w:tabs>
          <w:tab w:val="clear" w:pos="928"/>
          <w:tab w:val="num" w:pos="567"/>
        </w:tabs>
        <w:rPr>
          <w:rFonts w:cs="Arial"/>
        </w:rPr>
      </w:pPr>
      <w:r>
        <w:rPr>
          <w:rFonts w:cs="Arial"/>
        </w:rPr>
        <w:t xml:space="preserve">Webjet is an Australian-based OTA that has historically focused on flight sales, </w:t>
      </w:r>
      <w:r w:rsidR="00646999">
        <w:rPr>
          <w:rFonts w:cs="Arial"/>
        </w:rPr>
        <w:t>but</w:t>
      </w:r>
      <w:r w:rsidR="00437AEF">
        <w:rPr>
          <w:rFonts w:cs="Arial"/>
        </w:rPr>
        <w:t xml:space="preserve"> </w:t>
      </w:r>
      <w:r>
        <w:rPr>
          <w:rFonts w:cs="Arial"/>
        </w:rPr>
        <w:t xml:space="preserve">has expanded its accommodation business </w:t>
      </w:r>
      <w:r w:rsidR="00E57898">
        <w:rPr>
          <w:rFonts w:cs="Arial"/>
        </w:rPr>
        <w:t>with</w:t>
      </w:r>
      <w:r>
        <w:rPr>
          <w:rFonts w:cs="Arial"/>
        </w:rPr>
        <w:t xml:space="preserve"> the acquisition of Zuji in 2013. Zuji is an OTA which offers flights, accommodation, packages and car hire.</w:t>
      </w:r>
    </w:p>
    <w:p w:rsidR="005E5A50" w:rsidRDefault="005E5A50" w:rsidP="003347A1">
      <w:pPr>
        <w:pStyle w:val="Heading5"/>
      </w:pPr>
      <w:r>
        <w:t>Hooroo</w:t>
      </w:r>
    </w:p>
    <w:p w:rsidR="005E5A50" w:rsidRDefault="005E5A50" w:rsidP="001B0A71">
      <w:pPr>
        <w:pStyle w:val="NormalParagraph"/>
        <w:tabs>
          <w:tab w:val="clear" w:pos="928"/>
          <w:tab w:val="num" w:pos="567"/>
        </w:tabs>
        <w:rPr>
          <w:rFonts w:cs="Arial"/>
        </w:rPr>
      </w:pPr>
      <w:r>
        <w:rPr>
          <w:rFonts w:cs="Arial"/>
        </w:rPr>
        <w:t>Hooroo is part of the Qantas Group and offers online accommodation bookings through the Qantas, Jetstar and Hooroo websites.</w:t>
      </w:r>
    </w:p>
    <w:p w:rsidR="005E5A50" w:rsidRDefault="005E5A50" w:rsidP="003347A1">
      <w:pPr>
        <w:pStyle w:val="Heading5"/>
      </w:pPr>
      <w:r>
        <w:t>Flight Centre</w:t>
      </w:r>
    </w:p>
    <w:p w:rsidR="005E5A50" w:rsidRDefault="005E5A50" w:rsidP="001B0A71">
      <w:pPr>
        <w:pStyle w:val="NormalParagraph"/>
        <w:tabs>
          <w:tab w:val="clear" w:pos="928"/>
          <w:tab w:val="num" w:pos="567"/>
        </w:tabs>
        <w:rPr>
          <w:rFonts w:cs="Arial"/>
        </w:rPr>
      </w:pPr>
      <w:r>
        <w:rPr>
          <w:rFonts w:cs="Arial"/>
        </w:rPr>
        <w:t xml:space="preserve">Flight Centre is </w:t>
      </w:r>
      <w:r w:rsidR="00437AEF">
        <w:rPr>
          <w:rFonts w:cs="Arial"/>
        </w:rPr>
        <w:t xml:space="preserve">primarily </w:t>
      </w:r>
      <w:r>
        <w:rPr>
          <w:rFonts w:cs="Arial"/>
        </w:rPr>
        <w:t>a ‘bricks and mortar’ travel agent with retail outlets across Australia, offering accommodation bookings</w:t>
      </w:r>
      <w:r w:rsidR="006B5B58">
        <w:rPr>
          <w:rFonts w:cs="Arial"/>
        </w:rPr>
        <w:t xml:space="preserve"> (as well as other travel related services)</w:t>
      </w:r>
      <w:r>
        <w:rPr>
          <w:rFonts w:cs="Arial"/>
        </w:rPr>
        <w:t xml:space="preserve"> to </w:t>
      </w:r>
      <w:r w:rsidR="006D5D14">
        <w:rPr>
          <w:rFonts w:cs="Arial"/>
        </w:rPr>
        <w:t xml:space="preserve">consumers </w:t>
      </w:r>
      <w:r>
        <w:rPr>
          <w:rFonts w:cs="Arial"/>
        </w:rPr>
        <w:t>in-store and over the phone. Flight Centre also offers online accommodation bookings through its OTA business Quickbeds.</w:t>
      </w:r>
    </w:p>
    <w:p w:rsidR="005E5A50" w:rsidRPr="005E5A50" w:rsidRDefault="005E5A50" w:rsidP="003347A1">
      <w:pPr>
        <w:pStyle w:val="Heading5"/>
      </w:pPr>
      <w:r w:rsidRPr="005E5A50">
        <w:t>Helloworld</w:t>
      </w:r>
    </w:p>
    <w:p w:rsidR="005E5A50" w:rsidRDefault="005E5A50" w:rsidP="001B0A71">
      <w:pPr>
        <w:pStyle w:val="NormalParagraph"/>
        <w:tabs>
          <w:tab w:val="clear" w:pos="928"/>
          <w:tab w:val="num" w:pos="567"/>
        </w:tabs>
        <w:rPr>
          <w:rFonts w:cs="Arial"/>
        </w:rPr>
      </w:pPr>
      <w:r>
        <w:rPr>
          <w:rFonts w:cs="Arial"/>
        </w:rPr>
        <w:t>Helloworld (formerly Jetset Travelworld/Stella Travel) is another bricks and mortar travel agent chain, which has also launched an online booking arm. In 2013, Helloworld announced an alliance with Orbitz Worldwide, giving it access to Orbitz Worldwide’s global technology platform to power its new OTA, helloworld.com.au.</w:t>
      </w:r>
    </w:p>
    <w:p w:rsidR="005E5A50" w:rsidRDefault="005E5A50" w:rsidP="003347A1">
      <w:pPr>
        <w:pStyle w:val="Heading5"/>
      </w:pPr>
      <w:r>
        <w:t>STA Travel</w:t>
      </w:r>
    </w:p>
    <w:p w:rsidR="005E5A50" w:rsidRDefault="00936BC5" w:rsidP="001B0A71">
      <w:pPr>
        <w:pStyle w:val="NormalParagraph"/>
        <w:tabs>
          <w:tab w:val="clear" w:pos="928"/>
          <w:tab w:val="num" w:pos="567"/>
        </w:tabs>
        <w:rPr>
          <w:rFonts w:cs="Arial"/>
        </w:rPr>
      </w:pPr>
      <w:r>
        <w:rPr>
          <w:rFonts w:cs="Arial"/>
        </w:rPr>
        <w:t>STA Travel is a global travel agency brand owned by Zurich-based Diethelm Keller Ltd. In Australia it started life on university campuses as ‘Student Travel Australia’. It provides accommodation booking services through both its bricks and mortar stores and online.</w:t>
      </w:r>
    </w:p>
    <w:p w:rsidR="00E57898" w:rsidRDefault="00E57898" w:rsidP="00E57898">
      <w:pPr>
        <w:pStyle w:val="Heading5"/>
      </w:pPr>
      <w:r>
        <w:lastRenderedPageBreak/>
        <w:t xml:space="preserve">Metasearch </w:t>
      </w:r>
      <w:r w:rsidRPr="003347A1">
        <w:t>websites</w:t>
      </w:r>
    </w:p>
    <w:p w:rsidR="00E57898" w:rsidRDefault="00E57898" w:rsidP="00E57898">
      <w:pPr>
        <w:pStyle w:val="NormalParagraph"/>
        <w:tabs>
          <w:tab w:val="clear" w:pos="928"/>
          <w:tab w:val="num" w:pos="567"/>
        </w:tabs>
        <w:rPr>
          <w:rFonts w:cs="Arial"/>
        </w:rPr>
      </w:pPr>
      <w:r w:rsidRPr="00EF3B18">
        <w:rPr>
          <w:rFonts w:cs="Arial"/>
        </w:rPr>
        <w:t xml:space="preserve">Metasearch </w:t>
      </w:r>
      <w:r>
        <w:rPr>
          <w:rFonts w:cs="Arial"/>
        </w:rPr>
        <w:t xml:space="preserve">sites </w:t>
      </w:r>
      <w:r w:rsidRPr="00EF3B18">
        <w:rPr>
          <w:rFonts w:cs="Arial"/>
        </w:rPr>
        <w:t>aggregat</w:t>
      </w:r>
      <w:r w:rsidR="001E56FF">
        <w:rPr>
          <w:rFonts w:cs="Arial"/>
        </w:rPr>
        <w:t xml:space="preserve">e </w:t>
      </w:r>
      <w:r>
        <w:rPr>
          <w:rFonts w:cs="Arial"/>
        </w:rPr>
        <w:t>online listings of travel products from a range of OTAs and other sites and</w:t>
      </w:r>
      <w:r w:rsidRPr="00EF3B18">
        <w:rPr>
          <w:rFonts w:cs="Arial"/>
        </w:rPr>
        <w:t xml:space="preserve"> provid</w:t>
      </w:r>
      <w:r w:rsidR="001E56FF">
        <w:rPr>
          <w:rFonts w:cs="Arial"/>
        </w:rPr>
        <w:t>e</w:t>
      </w:r>
      <w:r w:rsidRPr="00EF3B18">
        <w:rPr>
          <w:rFonts w:cs="Arial"/>
        </w:rPr>
        <w:t xml:space="preserve"> reviews and price comparisons </w:t>
      </w:r>
      <w:r>
        <w:rPr>
          <w:rFonts w:cs="Arial"/>
        </w:rPr>
        <w:t>for those products</w:t>
      </w:r>
      <w:r w:rsidRPr="00EF3B18">
        <w:rPr>
          <w:rFonts w:cs="Arial"/>
        </w:rPr>
        <w:t xml:space="preserve">. A customer is usually redirected to an OTA or hotel website after clicking on a link to book </w:t>
      </w:r>
      <w:r>
        <w:rPr>
          <w:rFonts w:cs="Arial"/>
        </w:rPr>
        <w:t>the product</w:t>
      </w:r>
      <w:r w:rsidRPr="00EF3B18">
        <w:rPr>
          <w:rFonts w:cs="Arial"/>
        </w:rPr>
        <w:t>.</w:t>
      </w:r>
      <w:r>
        <w:rPr>
          <w:rFonts w:cs="Arial"/>
        </w:rPr>
        <w:t xml:space="preserve"> </w:t>
      </w:r>
    </w:p>
    <w:p w:rsidR="00E57898" w:rsidRDefault="00E57898" w:rsidP="00E57898">
      <w:pPr>
        <w:pStyle w:val="NormalParagraph"/>
        <w:tabs>
          <w:tab w:val="clear" w:pos="928"/>
          <w:tab w:val="num" w:pos="567"/>
        </w:tabs>
        <w:rPr>
          <w:rFonts w:cs="Arial"/>
        </w:rPr>
      </w:pPr>
      <w:r>
        <w:rPr>
          <w:rFonts w:cs="Arial"/>
        </w:rPr>
        <w:t>Metasearch sites which focus on accommodation listings and are popular in Australia include:</w:t>
      </w:r>
    </w:p>
    <w:p w:rsidR="00E57898" w:rsidRDefault="00E57898" w:rsidP="00E57898">
      <w:pPr>
        <w:pStyle w:val="NormalParagraph"/>
        <w:numPr>
          <w:ilvl w:val="0"/>
          <w:numId w:val="11"/>
        </w:numPr>
        <w:ind w:left="1134"/>
      </w:pPr>
      <w:r>
        <w:t xml:space="preserve">TripAdvisor, a Nasdaq-listed company which is </w:t>
      </w:r>
      <w:r w:rsidRPr="00EF3B18">
        <w:t>one of the largest accommodation metasearch website</w:t>
      </w:r>
      <w:r>
        <w:t>s globally and within Australia</w:t>
      </w:r>
    </w:p>
    <w:p w:rsidR="00E57898" w:rsidRDefault="003B3FCD" w:rsidP="00E57898">
      <w:pPr>
        <w:pStyle w:val="NormalParagraph"/>
        <w:numPr>
          <w:ilvl w:val="0"/>
          <w:numId w:val="11"/>
        </w:numPr>
        <w:ind w:left="1134"/>
      </w:pPr>
      <w:r>
        <w:t>t</w:t>
      </w:r>
      <w:r w:rsidR="00E57898">
        <w:t xml:space="preserve">rivago, which is </w:t>
      </w:r>
      <w:r w:rsidR="00E57898" w:rsidRPr="00D10056">
        <w:t>majority owned by Expedia,</w:t>
      </w:r>
      <w:r w:rsidR="00E57898">
        <w:t xml:space="preserve"> and</w:t>
      </w:r>
      <w:r w:rsidR="00E57898" w:rsidRPr="00EF3B18">
        <w:t xml:space="preserve"> </w:t>
      </w:r>
    </w:p>
    <w:p w:rsidR="00E57898" w:rsidRDefault="00E57898" w:rsidP="00E57898">
      <w:pPr>
        <w:pStyle w:val="NormalParagraph"/>
        <w:numPr>
          <w:ilvl w:val="0"/>
          <w:numId w:val="11"/>
        </w:numPr>
        <w:ind w:left="1134"/>
      </w:pPr>
      <w:r>
        <w:t>HotelsCombined.</w:t>
      </w:r>
    </w:p>
    <w:p w:rsidR="00E57898" w:rsidRDefault="00AF5B28" w:rsidP="00E57898">
      <w:pPr>
        <w:pStyle w:val="NormalParagraph"/>
        <w:tabs>
          <w:tab w:val="clear" w:pos="928"/>
          <w:tab w:val="num" w:pos="567"/>
        </w:tabs>
        <w:rPr>
          <w:rFonts w:cs="Arial"/>
        </w:rPr>
      </w:pPr>
      <w:r>
        <w:rPr>
          <w:rFonts w:cs="Arial"/>
        </w:rPr>
        <w:t>Metasearch websites</w:t>
      </w:r>
      <w:r w:rsidR="00E57898">
        <w:rPr>
          <w:rFonts w:cs="Arial"/>
        </w:rPr>
        <w:t xml:space="preserve"> are discussed in further detail from paragraph</w:t>
      </w:r>
      <w:r>
        <w:rPr>
          <w:rFonts w:cs="Arial"/>
        </w:rPr>
        <w:t xml:space="preserve"> 39</w:t>
      </w:r>
      <w:r w:rsidR="00E57898">
        <w:rPr>
          <w:rFonts w:cs="Arial"/>
        </w:rPr>
        <w:t>.</w:t>
      </w:r>
    </w:p>
    <w:p w:rsidR="00936BC5" w:rsidRDefault="00936BC5" w:rsidP="003347A1">
      <w:pPr>
        <w:pStyle w:val="Heading5"/>
      </w:pPr>
      <w:r>
        <w:t>Other</w:t>
      </w:r>
    </w:p>
    <w:p w:rsidR="00936BC5" w:rsidRDefault="00936BC5" w:rsidP="001B0A71">
      <w:pPr>
        <w:pStyle w:val="NormalParagraph"/>
        <w:tabs>
          <w:tab w:val="clear" w:pos="928"/>
          <w:tab w:val="num" w:pos="567"/>
        </w:tabs>
        <w:rPr>
          <w:rFonts w:cs="Arial"/>
        </w:rPr>
      </w:pPr>
      <w:r>
        <w:rPr>
          <w:rFonts w:cs="Arial"/>
        </w:rPr>
        <w:t>There are a range of companies which provide online distribution/booking services primarily for non-hotel accommodation in Australia and overseas, including Air</w:t>
      </w:r>
      <w:r w:rsidR="00781F82">
        <w:rPr>
          <w:rFonts w:cs="Arial"/>
        </w:rPr>
        <w:t>B</w:t>
      </w:r>
      <w:r>
        <w:rPr>
          <w:rFonts w:cs="Arial"/>
        </w:rPr>
        <w:t>n</w:t>
      </w:r>
      <w:r w:rsidR="00781F82">
        <w:rPr>
          <w:rFonts w:cs="Arial"/>
        </w:rPr>
        <w:t>B</w:t>
      </w:r>
      <w:r>
        <w:rPr>
          <w:rFonts w:cs="Arial"/>
        </w:rPr>
        <w:t>, Stayz and Hostelworld.</w:t>
      </w:r>
    </w:p>
    <w:p w:rsidR="00415883" w:rsidRPr="003D12D0" w:rsidRDefault="00415883" w:rsidP="00B56268">
      <w:pPr>
        <w:pStyle w:val="Heading3"/>
      </w:pPr>
      <w:r w:rsidRPr="003D12D0">
        <w:t xml:space="preserve">The proposed </w:t>
      </w:r>
      <w:r w:rsidR="002158DB">
        <w:t>acquisition</w:t>
      </w:r>
    </w:p>
    <w:p w:rsidR="00936BC5" w:rsidRDefault="00936BC5" w:rsidP="00670880">
      <w:pPr>
        <w:pStyle w:val="NormalParagraph"/>
        <w:tabs>
          <w:tab w:val="clear" w:pos="928"/>
          <w:tab w:val="left" w:pos="567"/>
        </w:tabs>
      </w:pPr>
      <w:r>
        <w:t>Expedia proposed to acquire</w:t>
      </w:r>
      <w:r w:rsidR="00F21EA6">
        <w:t xml:space="preserve"> </w:t>
      </w:r>
      <w:r>
        <w:t>100 per cent of the</w:t>
      </w:r>
      <w:r w:rsidR="004F1A81">
        <w:t xml:space="preserve"> issued </w:t>
      </w:r>
      <w:r>
        <w:t xml:space="preserve">shares in Wotif by way of a scheme of arrangement. </w:t>
      </w:r>
    </w:p>
    <w:p w:rsidR="00415883" w:rsidRPr="003D12D0" w:rsidRDefault="00415883" w:rsidP="00B56268">
      <w:pPr>
        <w:pStyle w:val="Heading3"/>
      </w:pPr>
      <w:r w:rsidRPr="003D12D0">
        <w:t>Review timeline</w:t>
      </w:r>
    </w:p>
    <w:p w:rsidR="00415883" w:rsidRPr="003D12D0" w:rsidRDefault="00415883" w:rsidP="00670880">
      <w:pPr>
        <w:pStyle w:val="NormalParagraph"/>
        <w:keepNext/>
        <w:tabs>
          <w:tab w:val="clear" w:pos="928"/>
          <w:tab w:val="left" w:pos="567"/>
        </w:tabs>
      </w:pPr>
      <w:r w:rsidRPr="003D12D0">
        <w:t>The following table outlines the timeline of key events in this matter.</w:t>
      </w:r>
    </w:p>
    <w:tbl>
      <w:tblPr>
        <w:tblW w:w="4954" w:type="pct"/>
        <w:tblCellMar>
          <w:top w:w="15" w:type="dxa"/>
          <w:left w:w="15" w:type="dxa"/>
          <w:bottom w:w="15" w:type="dxa"/>
          <w:right w:w="15" w:type="dxa"/>
        </w:tblCellMar>
        <w:tblLook w:val="04A0" w:firstRow="1" w:lastRow="0" w:firstColumn="1" w:lastColumn="0" w:noHBand="0" w:noVBand="1"/>
      </w:tblPr>
      <w:tblGrid>
        <w:gridCol w:w="2077"/>
        <w:gridCol w:w="6486"/>
      </w:tblGrid>
      <w:tr w:rsidR="005E617E"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D576A9" w:rsidP="00D576A9">
            <w:pPr>
              <w:keepNext/>
              <w:spacing w:after="120" w:line="315" w:lineRule="atLeast"/>
              <w:ind w:left="75"/>
              <w:jc w:val="center"/>
              <w:rPr>
                <w:rFonts w:ascii="Arial" w:hAnsi="Arial" w:cs="Arial"/>
                <w:color w:val="333333"/>
                <w:sz w:val="20"/>
                <w:szCs w:val="20"/>
              </w:rPr>
            </w:pPr>
            <w:r>
              <w:rPr>
                <w:rFonts w:ascii="Arial" w:hAnsi="Arial" w:cs="Arial"/>
                <w:color w:val="333333"/>
                <w:sz w:val="20"/>
                <w:szCs w:val="20"/>
              </w:rPr>
              <w:t>16</w:t>
            </w:r>
            <w:r w:rsidR="005E617E" w:rsidRPr="003D12D0">
              <w:rPr>
                <w:rFonts w:ascii="Arial" w:hAnsi="Arial" w:cs="Arial"/>
                <w:color w:val="333333"/>
                <w:sz w:val="20"/>
                <w:szCs w:val="20"/>
              </w:rPr>
              <w:t xml:space="preserve"> J</w:t>
            </w:r>
            <w:r>
              <w:rPr>
                <w:rFonts w:ascii="Arial" w:hAnsi="Arial" w:cs="Arial"/>
                <w:color w:val="333333"/>
                <w:sz w:val="20"/>
                <w:szCs w:val="20"/>
              </w:rPr>
              <w:t>ul</w:t>
            </w:r>
            <w:r w:rsidR="005E617E" w:rsidRPr="003D12D0">
              <w:rPr>
                <w:rFonts w:ascii="Arial" w:hAnsi="Arial" w:cs="Arial"/>
                <w:color w:val="333333"/>
                <w:sz w:val="20"/>
                <w:szCs w:val="20"/>
              </w:rPr>
              <w:t>y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5E617E" w:rsidP="00B85342">
            <w:pPr>
              <w:keepNext/>
              <w:spacing w:after="120" w:line="315" w:lineRule="atLeast"/>
              <w:ind w:left="75"/>
              <w:rPr>
                <w:rFonts w:ascii="Arial" w:hAnsi="Arial" w:cs="Arial"/>
                <w:color w:val="333333"/>
                <w:sz w:val="20"/>
                <w:szCs w:val="20"/>
              </w:rPr>
            </w:pPr>
            <w:r w:rsidRPr="003D12D0">
              <w:rPr>
                <w:rFonts w:ascii="Arial" w:hAnsi="Arial" w:cs="Arial"/>
                <w:color w:val="333333"/>
                <w:sz w:val="20"/>
                <w:szCs w:val="20"/>
              </w:rPr>
              <w:t>ACCC commenced review under the Merger Process Guidelines.</w:t>
            </w:r>
          </w:p>
        </w:tc>
      </w:tr>
      <w:tr w:rsidR="005E617E"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D576A9" w:rsidP="00D576A9">
            <w:pPr>
              <w:spacing w:after="120" w:line="315" w:lineRule="atLeast"/>
              <w:ind w:left="75"/>
              <w:jc w:val="center"/>
              <w:rPr>
                <w:rFonts w:ascii="Arial" w:hAnsi="Arial" w:cs="Arial"/>
                <w:color w:val="333333"/>
                <w:sz w:val="20"/>
                <w:szCs w:val="20"/>
              </w:rPr>
            </w:pPr>
            <w:r>
              <w:rPr>
                <w:rFonts w:ascii="Arial" w:hAnsi="Arial" w:cs="Arial"/>
                <w:color w:val="333333"/>
                <w:sz w:val="20"/>
                <w:szCs w:val="20"/>
              </w:rPr>
              <w:t>6</w:t>
            </w:r>
            <w:r w:rsidR="005E617E" w:rsidRPr="003D12D0">
              <w:rPr>
                <w:rFonts w:ascii="Arial" w:hAnsi="Arial" w:cs="Arial"/>
                <w:color w:val="333333"/>
                <w:sz w:val="20"/>
                <w:szCs w:val="20"/>
              </w:rPr>
              <w:t xml:space="preserve"> </w:t>
            </w:r>
            <w:r>
              <w:rPr>
                <w:rFonts w:ascii="Arial" w:hAnsi="Arial" w:cs="Arial"/>
                <w:color w:val="333333"/>
                <w:sz w:val="20"/>
                <w:szCs w:val="20"/>
              </w:rPr>
              <w:t>August</w:t>
            </w:r>
            <w:r w:rsidR="005E617E" w:rsidRPr="003D12D0">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5E617E" w:rsidP="0066554A">
            <w:pPr>
              <w:spacing w:after="120" w:line="315" w:lineRule="atLeast"/>
              <w:ind w:left="75"/>
              <w:rPr>
                <w:rFonts w:ascii="Arial" w:hAnsi="Arial" w:cs="Arial"/>
                <w:color w:val="333333"/>
                <w:sz w:val="20"/>
                <w:szCs w:val="20"/>
              </w:rPr>
            </w:pPr>
            <w:r w:rsidRPr="003D12D0">
              <w:rPr>
                <w:rFonts w:ascii="Arial" w:hAnsi="Arial" w:cs="Arial"/>
                <w:color w:val="333333"/>
                <w:sz w:val="20"/>
                <w:szCs w:val="20"/>
              </w:rPr>
              <w:t>Closing date for submissions from interested parties.</w:t>
            </w:r>
          </w:p>
        </w:tc>
      </w:tr>
      <w:tr w:rsidR="005E617E"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D576A9" w:rsidP="00684DB3">
            <w:pPr>
              <w:spacing w:after="120" w:line="315" w:lineRule="atLeast"/>
              <w:ind w:left="75"/>
              <w:jc w:val="center"/>
              <w:rPr>
                <w:rFonts w:ascii="Arial" w:hAnsi="Arial" w:cs="Arial"/>
                <w:color w:val="333333"/>
                <w:sz w:val="20"/>
                <w:szCs w:val="20"/>
              </w:rPr>
            </w:pPr>
            <w:r>
              <w:rPr>
                <w:rFonts w:ascii="Arial" w:hAnsi="Arial" w:cs="Arial"/>
                <w:color w:val="333333"/>
                <w:sz w:val="20"/>
                <w:szCs w:val="20"/>
              </w:rPr>
              <w:t>15 August</w:t>
            </w:r>
            <w:r w:rsidR="005E617E" w:rsidRPr="003D12D0">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5E617E" w:rsidP="00D576A9">
            <w:pPr>
              <w:spacing w:after="120" w:line="315" w:lineRule="atLeast"/>
              <w:ind w:left="75"/>
              <w:rPr>
                <w:rFonts w:ascii="Arial" w:hAnsi="Arial" w:cs="Arial"/>
                <w:color w:val="333333"/>
                <w:sz w:val="20"/>
                <w:szCs w:val="20"/>
              </w:rPr>
            </w:pPr>
            <w:r w:rsidRPr="003D12D0">
              <w:rPr>
                <w:rFonts w:ascii="Arial" w:hAnsi="Arial" w:cs="Arial"/>
                <w:color w:val="333333"/>
                <w:sz w:val="20"/>
                <w:szCs w:val="20"/>
              </w:rPr>
              <w:t>ACCC reques</w:t>
            </w:r>
            <w:r w:rsidR="00D576A9">
              <w:rPr>
                <w:rFonts w:ascii="Arial" w:hAnsi="Arial" w:cs="Arial"/>
                <w:color w:val="333333"/>
                <w:sz w:val="20"/>
                <w:szCs w:val="20"/>
              </w:rPr>
              <w:t>ted further information from Expedia</w:t>
            </w:r>
            <w:r w:rsidRPr="003D12D0">
              <w:rPr>
                <w:rFonts w:ascii="Arial" w:hAnsi="Arial" w:cs="Arial"/>
                <w:color w:val="333333"/>
                <w:sz w:val="20"/>
                <w:szCs w:val="20"/>
              </w:rPr>
              <w:t>.</w:t>
            </w:r>
          </w:p>
        </w:tc>
      </w:tr>
      <w:tr w:rsidR="005E617E"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D576A9" w:rsidP="00D576A9">
            <w:pPr>
              <w:spacing w:after="120" w:line="315" w:lineRule="atLeast"/>
              <w:ind w:left="75"/>
              <w:jc w:val="center"/>
              <w:rPr>
                <w:rFonts w:ascii="Arial" w:hAnsi="Arial" w:cs="Arial"/>
                <w:color w:val="333333"/>
                <w:sz w:val="20"/>
                <w:szCs w:val="20"/>
              </w:rPr>
            </w:pPr>
            <w:r>
              <w:rPr>
                <w:rFonts w:ascii="Arial" w:hAnsi="Arial" w:cs="Arial"/>
                <w:color w:val="333333"/>
                <w:sz w:val="20"/>
                <w:szCs w:val="20"/>
              </w:rPr>
              <w:t>1</w:t>
            </w:r>
            <w:r w:rsidR="005E617E" w:rsidRPr="003D12D0">
              <w:rPr>
                <w:rFonts w:ascii="Arial" w:hAnsi="Arial" w:cs="Arial"/>
                <w:color w:val="333333"/>
                <w:sz w:val="20"/>
                <w:szCs w:val="20"/>
              </w:rPr>
              <w:t xml:space="preserve">8 </w:t>
            </w:r>
            <w:r>
              <w:rPr>
                <w:rFonts w:ascii="Arial" w:hAnsi="Arial" w:cs="Arial"/>
                <w:color w:val="333333"/>
                <w:sz w:val="20"/>
                <w:szCs w:val="20"/>
              </w:rPr>
              <w:t>August</w:t>
            </w:r>
            <w:r w:rsidR="005E617E" w:rsidRPr="003D12D0">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5E617E" w:rsidRPr="003D12D0" w:rsidRDefault="00D576A9" w:rsidP="005431B8">
            <w:pPr>
              <w:spacing w:after="120" w:line="315" w:lineRule="atLeast"/>
              <w:ind w:left="75"/>
              <w:rPr>
                <w:rFonts w:ascii="Arial" w:hAnsi="Arial" w:cs="Arial"/>
                <w:color w:val="333333"/>
                <w:sz w:val="20"/>
                <w:szCs w:val="20"/>
              </w:rPr>
            </w:pPr>
            <w:r>
              <w:rPr>
                <w:rFonts w:ascii="Arial" w:hAnsi="Arial" w:cs="Arial"/>
                <w:color w:val="333333"/>
                <w:sz w:val="20"/>
                <w:szCs w:val="20"/>
              </w:rPr>
              <w:t>ACCC requested further information from Wotif</w:t>
            </w:r>
            <w:r w:rsidR="009A16C3">
              <w:rPr>
                <w:rFonts w:ascii="Arial" w:hAnsi="Arial" w:cs="Arial"/>
                <w:color w:val="333333"/>
                <w:sz w:val="20"/>
                <w:szCs w:val="20"/>
              </w:rPr>
              <w:t>.</w:t>
            </w:r>
          </w:p>
        </w:tc>
      </w:tr>
      <w:tr w:rsidR="00117E34"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117E34" w:rsidRPr="003D12D0" w:rsidRDefault="00D576A9" w:rsidP="00D576A9">
            <w:pPr>
              <w:spacing w:after="120" w:line="315" w:lineRule="atLeast"/>
              <w:ind w:left="75"/>
              <w:jc w:val="center"/>
              <w:rPr>
                <w:rFonts w:ascii="Arial" w:hAnsi="Arial" w:cs="Arial"/>
                <w:color w:val="333333"/>
                <w:sz w:val="20"/>
                <w:szCs w:val="20"/>
              </w:rPr>
            </w:pPr>
            <w:r>
              <w:rPr>
                <w:rFonts w:ascii="Arial" w:hAnsi="Arial" w:cs="Arial"/>
                <w:color w:val="333333"/>
                <w:sz w:val="20"/>
                <w:szCs w:val="20"/>
              </w:rPr>
              <w:t>4</w:t>
            </w:r>
            <w:r w:rsidR="00117E34" w:rsidRPr="003D12D0">
              <w:rPr>
                <w:rFonts w:ascii="Arial" w:hAnsi="Arial" w:cs="Arial"/>
                <w:color w:val="333333"/>
                <w:sz w:val="20"/>
                <w:szCs w:val="20"/>
              </w:rPr>
              <w:t xml:space="preserve"> </w:t>
            </w:r>
            <w:r>
              <w:rPr>
                <w:rFonts w:ascii="Arial" w:hAnsi="Arial" w:cs="Arial"/>
                <w:color w:val="333333"/>
                <w:sz w:val="20"/>
                <w:szCs w:val="20"/>
              </w:rPr>
              <w:t>September</w:t>
            </w:r>
            <w:r w:rsidR="00117E34" w:rsidRPr="003D12D0">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117E34" w:rsidRPr="003D12D0" w:rsidRDefault="00117E34" w:rsidP="0066554A">
            <w:pPr>
              <w:spacing w:after="120" w:line="315" w:lineRule="atLeast"/>
              <w:ind w:left="75"/>
              <w:rPr>
                <w:rFonts w:ascii="Arial" w:hAnsi="Arial" w:cs="Arial"/>
                <w:color w:val="333333"/>
                <w:sz w:val="20"/>
                <w:szCs w:val="20"/>
              </w:rPr>
            </w:pPr>
            <w:r w:rsidRPr="003D12D0">
              <w:rPr>
                <w:rFonts w:ascii="Arial" w:hAnsi="Arial" w:cs="Arial"/>
                <w:color w:val="333333"/>
                <w:sz w:val="20"/>
                <w:szCs w:val="20"/>
              </w:rPr>
              <w:t>ACCC published a Statement of Issues outlining preliminary competition concerns.</w:t>
            </w:r>
          </w:p>
        </w:tc>
      </w:tr>
      <w:tr w:rsidR="00117E34"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117E34" w:rsidRPr="003D12D0" w:rsidRDefault="00D576A9" w:rsidP="00D576A9">
            <w:pPr>
              <w:spacing w:after="120" w:line="315" w:lineRule="atLeast"/>
              <w:ind w:left="75"/>
              <w:jc w:val="center"/>
              <w:rPr>
                <w:rFonts w:ascii="Arial" w:hAnsi="Arial" w:cs="Arial"/>
                <w:color w:val="333333"/>
                <w:sz w:val="20"/>
                <w:szCs w:val="20"/>
              </w:rPr>
            </w:pPr>
            <w:r>
              <w:rPr>
                <w:rFonts w:ascii="Arial" w:hAnsi="Arial" w:cs="Arial"/>
                <w:color w:val="333333"/>
                <w:sz w:val="20"/>
                <w:szCs w:val="20"/>
              </w:rPr>
              <w:t>17</w:t>
            </w:r>
            <w:r w:rsidR="00117E34" w:rsidRPr="003D12D0">
              <w:rPr>
                <w:rFonts w:ascii="Arial" w:hAnsi="Arial" w:cs="Arial"/>
                <w:color w:val="333333"/>
                <w:sz w:val="20"/>
                <w:szCs w:val="20"/>
              </w:rPr>
              <w:t xml:space="preserve"> </w:t>
            </w:r>
            <w:r>
              <w:rPr>
                <w:rFonts w:ascii="Arial" w:hAnsi="Arial" w:cs="Arial"/>
                <w:color w:val="333333"/>
                <w:sz w:val="20"/>
                <w:szCs w:val="20"/>
              </w:rPr>
              <w:t>September</w:t>
            </w:r>
            <w:r w:rsidR="00117E34" w:rsidRPr="003D12D0">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hideMark/>
          </w:tcPr>
          <w:p w:rsidR="00117E34" w:rsidRPr="003D12D0" w:rsidRDefault="00117E34" w:rsidP="0066554A">
            <w:pPr>
              <w:spacing w:after="120" w:line="315" w:lineRule="atLeast"/>
              <w:ind w:left="75"/>
              <w:rPr>
                <w:rFonts w:ascii="Arial" w:hAnsi="Arial" w:cs="Arial"/>
                <w:color w:val="333333"/>
                <w:sz w:val="20"/>
                <w:szCs w:val="20"/>
              </w:rPr>
            </w:pPr>
            <w:r w:rsidRPr="003D12D0">
              <w:rPr>
                <w:rFonts w:ascii="Arial" w:hAnsi="Arial" w:cs="Arial"/>
                <w:color w:val="333333"/>
                <w:sz w:val="20"/>
                <w:szCs w:val="20"/>
              </w:rPr>
              <w:t>Closing date for submissions relating to Statement of Issues.</w:t>
            </w:r>
          </w:p>
        </w:tc>
      </w:tr>
      <w:tr w:rsidR="00117E34" w:rsidRPr="003D12D0" w:rsidTr="00965BFE">
        <w:tc>
          <w:tcPr>
            <w:tcW w:w="1213"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tcPr>
          <w:p w:rsidR="00117E34" w:rsidRPr="003D12D0" w:rsidRDefault="00117E34" w:rsidP="00D576A9">
            <w:pPr>
              <w:spacing w:after="120" w:line="315" w:lineRule="atLeast"/>
              <w:ind w:left="75"/>
              <w:jc w:val="center"/>
              <w:rPr>
                <w:rFonts w:ascii="Arial" w:hAnsi="Arial" w:cs="Arial"/>
                <w:color w:val="333333"/>
                <w:sz w:val="20"/>
                <w:szCs w:val="20"/>
              </w:rPr>
            </w:pPr>
            <w:r w:rsidRPr="00436746">
              <w:rPr>
                <w:rFonts w:ascii="Arial" w:hAnsi="Arial" w:cs="Arial"/>
                <w:color w:val="333333"/>
                <w:sz w:val="20"/>
                <w:szCs w:val="20"/>
              </w:rPr>
              <w:t xml:space="preserve">2 </w:t>
            </w:r>
            <w:r w:rsidR="00D576A9" w:rsidRPr="00436746">
              <w:rPr>
                <w:rFonts w:ascii="Arial" w:hAnsi="Arial" w:cs="Arial"/>
                <w:color w:val="333333"/>
                <w:sz w:val="20"/>
                <w:szCs w:val="20"/>
              </w:rPr>
              <w:t>October</w:t>
            </w:r>
            <w:r w:rsidRPr="00436746">
              <w:rPr>
                <w:rFonts w:ascii="Arial" w:hAnsi="Arial" w:cs="Arial"/>
                <w:color w:val="333333"/>
                <w:sz w:val="20"/>
                <w:szCs w:val="20"/>
              </w:rPr>
              <w:t xml:space="preserve"> 2014</w:t>
            </w:r>
          </w:p>
        </w:tc>
        <w:tc>
          <w:tcPr>
            <w:tcW w:w="3787" w:type="pct"/>
            <w:tcBorders>
              <w:top w:val="single" w:sz="4" w:space="0" w:color="auto"/>
              <w:left w:val="single" w:sz="4" w:space="0" w:color="auto"/>
              <w:bottom w:val="single" w:sz="4" w:space="0" w:color="auto"/>
              <w:right w:val="single" w:sz="4" w:space="0" w:color="auto"/>
            </w:tcBorders>
            <w:tcMar>
              <w:top w:w="45" w:type="dxa"/>
              <w:left w:w="150" w:type="dxa"/>
              <w:bottom w:w="45" w:type="dxa"/>
              <w:right w:w="45" w:type="dxa"/>
            </w:tcMar>
          </w:tcPr>
          <w:p w:rsidR="00117E34" w:rsidRPr="003D12D0" w:rsidRDefault="00117E34" w:rsidP="0066554A">
            <w:pPr>
              <w:spacing w:after="120" w:line="315" w:lineRule="atLeast"/>
              <w:ind w:left="75"/>
              <w:rPr>
                <w:rFonts w:ascii="Arial" w:hAnsi="Arial" w:cs="Arial"/>
                <w:color w:val="333333"/>
                <w:sz w:val="20"/>
                <w:szCs w:val="20"/>
              </w:rPr>
            </w:pPr>
            <w:r w:rsidRPr="003D12D0">
              <w:rPr>
                <w:rFonts w:ascii="Arial" w:hAnsi="Arial" w:cs="Arial"/>
                <w:color w:val="333333"/>
                <w:sz w:val="20"/>
                <w:szCs w:val="20"/>
              </w:rPr>
              <w:t xml:space="preserve">ACCC announced it would </w:t>
            </w:r>
            <w:r w:rsidR="00D576A9">
              <w:rPr>
                <w:rFonts w:ascii="Arial" w:hAnsi="Arial" w:cs="Arial"/>
                <w:color w:val="333333"/>
                <w:sz w:val="20"/>
                <w:szCs w:val="20"/>
              </w:rPr>
              <w:t xml:space="preserve">not </w:t>
            </w:r>
            <w:r w:rsidRPr="003D12D0">
              <w:rPr>
                <w:rFonts w:ascii="Arial" w:hAnsi="Arial" w:cs="Arial"/>
                <w:color w:val="333333"/>
                <w:sz w:val="20"/>
                <w:szCs w:val="20"/>
              </w:rPr>
              <w:t>oppose the proposed acquisition.</w:t>
            </w:r>
          </w:p>
        </w:tc>
      </w:tr>
    </w:tbl>
    <w:p w:rsidR="00415883" w:rsidRPr="003D12D0" w:rsidRDefault="00415883" w:rsidP="00B56268">
      <w:pPr>
        <w:pStyle w:val="Heading3"/>
      </w:pPr>
      <w:r w:rsidRPr="003D12D0">
        <w:t>Market inquiries</w:t>
      </w:r>
    </w:p>
    <w:p w:rsidR="00415883" w:rsidRPr="003D12D0" w:rsidRDefault="00415883" w:rsidP="00670880">
      <w:pPr>
        <w:pStyle w:val="NormalParagraph"/>
        <w:tabs>
          <w:tab w:val="clear" w:pos="928"/>
          <w:tab w:val="left" w:pos="567"/>
        </w:tabs>
      </w:pPr>
      <w:r w:rsidRPr="003D12D0">
        <w:t xml:space="preserve">The ACCC conducted market inquiries with a range of industry participants and interested parties, including </w:t>
      </w:r>
      <w:r w:rsidR="009A16C3">
        <w:t>hotel operators, other accommodation providers, airlines and competing OTAs.</w:t>
      </w:r>
      <w:r w:rsidR="001B67ED" w:rsidRPr="003D12D0">
        <w:t xml:space="preserve"> </w:t>
      </w:r>
      <w:r w:rsidR="00BA3112">
        <w:t>The ACCC also liaised with the N</w:t>
      </w:r>
      <w:r w:rsidR="00C14F2B">
        <w:t xml:space="preserve">ew </w:t>
      </w:r>
      <w:r w:rsidR="00BA3112">
        <w:t>Z</w:t>
      </w:r>
      <w:r w:rsidR="00C14F2B">
        <w:t xml:space="preserve">ealand </w:t>
      </w:r>
      <w:r w:rsidR="00BA3112">
        <w:lastRenderedPageBreak/>
        <w:t>C</w:t>
      </w:r>
      <w:r w:rsidR="00C14F2B">
        <w:t xml:space="preserve">ommerce </w:t>
      </w:r>
      <w:r w:rsidR="00BA3112">
        <w:t>C</w:t>
      </w:r>
      <w:r w:rsidR="00C14F2B">
        <w:t>ommission</w:t>
      </w:r>
      <w:r w:rsidR="00BA3112">
        <w:t xml:space="preserve"> which was conducting a merger review of the acquisition in New Zealand </w:t>
      </w:r>
      <w:r w:rsidR="00EF3B18">
        <w:t xml:space="preserve">at </w:t>
      </w:r>
      <w:r w:rsidR="00BA3112">
        <w:t xml:space="preserve">the same </w:t>
      </w:r>
      <w:r w:rsidR="00A67383">
        <w:t xml:space="preserve">time </w:t>
      </w:r>
      <w:r w:rsidR="00BA3112">
        <w:t>as the ACCC</w:t>
      </w:r>
      <w:r w:rsidR="00A67383">
        <w:t>’s</w:t>
      </w:r>
      <w:r w:rsidR="00BA3112">
        <w:t xml:space="preserve"> review.</w:t>
      </w:r>
      <w:r w:rsidR="001B67ED" w:rsidRPr="003D12D0">
        <w:t xml:space="preserve">  </w:t>
      </w:r>
    </w:p>
    <w:p w:rsidR="00415883" w:rsidRPr="003D12D0" w:rsidRDefault="00415883" w:rsidP="00B56268">
      <w:pPr>
        <w:pStyle w:val="Heading3"/>
      </w:pPr>
      <w:r w:rsidRPr="003D12D0">
        <w:t>Statement of Issues</w:t>
      </w:r>
      <w:r w:rsidR="002D7E09" w:rsidRPr="003D12D0">
        <w:t xml:space="preserve"> </w:t>
      </w:r>
    </w:p>
    <w:p w:rsidR="009A16C3" w:rsidRDefault="00415883" w:rsidP="00670880">
      <w:pPr>
        <w:pStyle w:val="NormalParagraph"/>
        <w:tabs>
          <w:tab w:val="clear" w:pos="928"/>
          <w:tab w:val="left" w:pos="567"/>
        </w:tabs>
      </w:pPr>
      <w:r w:rsidRPr="003D12D0">
        <w:t xml:space="preserve">The ACCC published a </w:t>
      </w:r>
      <w:r w:rsidRPr="003D12D0">
        <w:rPr>
          <w:i/>
        </w:rPr>
        <w:t xml:space="preserve">Statement of </w:t>
      </w:r>
      <w:r w:rsidRPr="003D12D0">
        <w:rPr>
          <w:i/>
          <w:szCs w:val="24"/>
        </w:rPr>
        <w:t>Issues</w:t>
      </w:r>
      <w:r w:rsidRPr="003D12D0">
        <w:rPr>
          <w:szCs w:val="24"/>
        </w:rPr>
        <w:t xml:space="preserve"> on </w:t>
      </w:r>
      <w:r w:rsidR="009A16C3">
        <w:rPr>
          <w:szCs w:val="24"/>
        </w:rPr>
        <w:t>4</w:t>
      </w:r>
      <w:r w:rsidR="001B67ED" w:rsidRPr="003D12D0">
        <w:rPr>
          <w:szCs w:val="24"/>
        </w:rPr>
        <w:t xml:space="preserve"> </w:t>
      </w:r>
      <w:r w:rsidR="009A16C3">
        <w:rPr>
          <w:szCs w:val="24"/>
        </w:rPr>
        <w:t>September</w:t>
      </w:r>
      <w:r w:rsidR="001B67ED" w:rsidRPr="003D12D0">
        <w:rPr>
          <w:szCs w:val="24"/>
        </w:rPr>
        <w:t xml:space="preserve"> 2014</w:t>
      </w:r>
      <w:r w:rsidRPr="003D12D0">
        <w:t xml:space="preserve">. In the </w:t>
      </w:r>
      <w:r w:rsidRPr="003D12D0">
        <w:rPr>
          <w:i/>
        </w:rPr>
        <w:t xml:space="preserve">Statement of </w:t>
      </w:r>
      <w:r w:rsidRPr="003D12D0">
        <w:rPr>
          <w:i/>
          <w:szCs w:val="24"/>
        </w:rPr>
        <w:t>Issues</w:t>
      </w:r>
      <w:r w:rsidRPr="003D12D0">
        <w:rPr>
          <w:szCs w:val="24"/>
        </w:rPr>
        <w:t xml:space="preserve"> </w:t>
      </w:r>
      <w:r w:rsidRPr="003D12D0">
        <w:t xml:space="preserve">the </w:t>
      </w:r>
      <w:r w:rsidRPr="003D12D0">
        <w:rPr>
          <w:bCs/>
          <w:color w:val="000000"/>
        </w:rPr>
        <w:t xml:space="preserve">ACCC expressed </w:t>
      </w:r>
      <w:r w:rsidR="003F59CF">
        <w:rPr>
          <w:bCs/>
          <w:color w:val="000000"/>
        </w:rPr>
        <w:t>the</w:t>
      </w:r>
      <w:r w:rsidRPr="003D12D0">
        <w:rPr>
          <w:bCs/>
          <w:color w:val="000000"/>
        </w:rPr>
        <w:t xml:space="preserve"> </w:t>
      </w:r>
      <w:r w:rsidRPr="003D12D0">
        <w:t>preliminary</w:t>
      </w:r>
      <w:r w:rsidRPr="003D12D0">
        <w:rPr>
          <w:bCs/>
          <w:color w:val="000000"/>
        </w:rPr>
        <w:t xml:space="preserve"> view that the proposed acquisition </w:t>
      </w:r>
      <w:r w:rsidR="009A16C3">
        <w:t>may</w:t>
      </w:r>
      <w:r w:rsidRPr="003D12D0">
        <w:t xml:space="preserve"> raise competition concerns in the market for the</w:t>
      </w:r>
      <w:r w:rsidR="009A16C3">
        <w:t xml:space="preserve"> </w:t>
      </w:r>
      <w:r w:rsidR="00F21EA6">
        <w:t>online distribution</w:t>
      </w:r>
      <w:r w:rsidR="004F1A81">
        <w:t>/booking</w:t>
      </w:r>
      <w:r w:rsidR="009A16C3">
        <w:t xml:space="preserve"> of Australian accommodation</w:t>
      </w:r>
      <w:r w:rsidR="004F1A81">
        <w:t>. In particular, the ACCC expressed concern that the proposed acquisition may result in the following effects:</w:t>
      </w:r>
      <w:r w:rsidR="00F21EA6">
        <w:t xml:space="preserve"> </w:t>
      </w:r>
    </w:p>
    <w:p w:rsidR="00F21EA6" w:rsidRDefault="00D1078A" w:rsidP="00670880">
      <w:pPr>
        <w:pStyle w:val="NormalParagraph"/>
        <w:numPr>
          <w:ilvl w:val="0"/>
          <w:numId w:val="11"/>
        </w:numPr>
        <w:ind w:left="1134"/>
      </w:pPr>
      <w:r>
        <w:t xml:space="preserve">an </w:t>
      </w:r>
      <w:r w:rsidR="004F1A81">
        <w:t>increase in the commission rate</w:t>
      </w:r>
      <w:r>
        <w:t>s</w:t>
      </w:r>
      <w:r w:rsidR="004F1A81">
        <w:t xml:space="preserve"> </w:t>
      </w:r>
      <w:r>
        <w:t>charged</w:t>
      </w:r>
      <w:r w:rsidR="001406C7">
        <w:t xml:space="preserve"> by Expedia</w:t>
      </w:r>
      <w:r>
        <w:t xml:space="preserve"> to </w:t>
      </w:r>
      <w:r w:rsidR="008D33AB">
        <w:t xml:space="preserve">Australian </w:t>
      </w:r>
      <w:r>
        <w:t>accommodation providers;</w:t>
      </w:r>
    </w:p>
    <w:p w:rsidR="00D1078A" w:rsidRDefault="00D1078A" w:rsidP="00670880">
      <w:pPr>
        <w:pStyle w:val="NormalParagraph"/>
        <w:numPr>
          <w:ilvl w:val="0"/>
          <w:numId w:val="11"/>
        </w:numPr>
        <w:ind w:left="1134"/>
      </w:pPr>
      <w:r>
        <w:t>a reduction in the amount of promotional opportunities offered by OTAs</w:t>
      </w:r>
      <w:r w:rsidR="008B31FA">
        <w:t xml:space="preserve"> to </w:t>
      </w:r>
      <w:r w:rsidR="008D33AB">
        <w:t xml:space="preserve">Australian </w:t>
      </w:r>
      <w:r w:rsidR="008B31FA">
        <w:t>accommodation providers</w:t>
      </w:r>
      <w:r>
        <w:t xml:space="preserve">.  </w:t>
      </w:r>
    </w:p>
    <w:p w:rsidR="000D3142" w:rsidRPr="003D12D0" w:rsidRDefault="000D3142" w:rsidP="00670880">
      <w:pPr>
        <w:pStyle w:val="NormalParagraph"/>
        <w:tabs>
          <w:tab w:val="clear" w:pos="928"/>
          <w:tab w:val="left" w:pos="567"/>
        </w:tabs>
      </w:pPr>
      <w:r w:rsidRPr="003D12D0">
        <w:t xml:space="preserve">The ACCC also expressed </w:t>
      </w:r>
      <w:r w:rsidR="003F59CF">
        <w:t>the</w:t>
      </w:r>
      <w:r w:rsidR="003F59CF" w:rsidRPr="003D12D0">
        <w:t xml:space="preserve"> </w:t>
      </w:r>
      <w:r w:rsidRPr="003D12D0">
        <w:t>preliminary view that the proposed acquisition was unlikely to raise competition concerns in</w:t>
      </w:r>
      <w:r w:rsidR="00F21EA6">
        <w:t xml:space="preserve"> </w:t>
      </w:r>
      <w:r w:rsidR="008B31FA">
        <w:t>the following</w:t>
      </w:r>
      <w:r w:rsidRPr="003D12D0">
        <w:t xml:space="preserve"> related markets:</w:t>
      </w:r>
    </w:p>
    <w:p w:rsidR="00F21EA6" w:rsidRDefault="00F21EA6" w:rsidP="00670880">
      <w:pPr>
        <w:pStyle w:val="NormalParagraph"/>
        <w:numPr>
          <w:ilvl w:val="0"/>
          <w:numId w:val="11"/>
        </w:numPr>
        <w:ind w:left="1134"/>
      </w:pPr>
      <w:r>
        <w:t>the consumer side of the two-sided market for the online distribution/booking of Australian accommodation;</w:t>
      </w:r>
      <w:r w:rsidR="00571EC4" w:rsidRPr="00540BE6">
        <w:rPr>
          <w:rStyle w:val="FootnoteReference"/>
          <w:rFonts w:ascii="Arial" w:hAnsi="Arial" w:cs="Arial"/>
        </w:rPr>
        <w:footnoteReference w:id="3"/>
      </w:r>
      <w:r w:rsidRPr="00540BE6">
        <w:rPr>
          <w:rFonts w:cs="Arial"/>
        </w:rPr>
        <w:t xml:space="preserve"> </w:t>
      </w:r>
    </w:p>
    <w:p w:rsidR="00F21EA6" w:rsidRDefault="008D33AB" w:rsidP="00670880">
      <w:pPr>
        <w:pStyle w:val="NormalParagraph"/>
        <w:numPr>
          <w:ilvl w:val="0"/>
          <w:numId w:val="11"/>
        </w:numPr>
        <w:ind w:left="1134"/>
      </w:pPr>
      <w:r>
        <w:t>the</w:t>
      </w:r>
      <w:r w:rsidR="00F21EA6">
        <w:t xml:space="preserve"> market for online distribution/booking of air travel (which is also a two-sided market);</w:t>
      </w:r>
    </w:p>
    <w:p w:rsidR="000D3142" w:rsidRPr="003D12D0" w:rsidRDefault="00F21EA6" w:rsidP="00670880">
      <w:pPr>
        <w:pStyle w:val="NormalParagraph"/>
        <w:numPr>
          <w:ilvl w:val="0"/>
          <w:numId w:val="11"/>
        </w:numPr>
        <w:ind w:left="1134"/>
      </w:pPr>
      <w:r>
        <w:t>markets for the distribution/booking of other travel products, including holiday packages, car hire and cruises (which are also two-sided markets).</w:t>
      </w:r>
    </w:p>
    <w:p w:rsidR="00415883" w:rsidRPr="003D12D0" w:rsidRDefault="00415883" w:rsidP="00B56268">
      <w:pPr>
        <w:pStyle w:val="Heading3"/>
      </w:pPr>
      <w:r w:rsidRPr="003D12D0">
        <w:t>Areas of overlap</w:t>
      </w:r>
    </w:p>
    <w:p w:rsidR="004E3C13" w:rsidRPr="003D12D0" w:rsidRDefault="00D4200F" w:rsidP="00670880">
      <w:pPr>
        <w:pStyle w:val="NormalParagraph"/>
        <w:tabs>
          <w:tab w:val="clear" w:pos="928"/>
          <w:tab w:val="left" w:pos="567"/>
        </w:tabs>
      </w:pPr>
      <w:r>
        <w:t xml:space="preserve">The activities of Expedia and Wotif overlap in the areas of online booking services for accommodation, flights, holiday packages, car hire, cruises and other travel products.  Of these different products, the primary area of overlap </w:t>
      </w:r>
      <w:r w:rsidR="00B135A6">
        <w:t xml:space="preserve">that the ACCC focused on was </w:t>
      </w:r>
      <w:r w:rsidR="0052503C">
        <w:t xml:space="preserve">online booking </w:t>
      </w:r>
      <w:r w:rsidR="00405050">
        <w:t xml:space="preserve">services for </w:t>
      </w:r>
      <w:r w:rsidR="0052503C">
        <w:t xml:space="preserve">Australian </w:t>
      </w:r>
      <w:r>
        <w:t>accommodation.</w:t>
      </w:r>
    </w:p>
    <w:p w:rsidR="00200DB6" w:rsidRPr="003D12D0" w:rsidRDefault="00200DB6" w:rsidP="00B56268">
      <w:pPr>
        <w:pStyle w:val="Heading3"/>
      </w:pPr>
      <w:r w:rsidRPr="003D12D0">
        <w:t xml:space="preserve">Future with and without the </w:t>
      </w:r>
      <w:r w:rsidR="002158DB">
        <w:t xml:space="preserve">proposed </w:t>
      </w:r>
      <w:r w:rsidRPr="003D12D0">
        <w:t xml:space="preserve">acquisition </w:t>
      </w:r>
    </w:p>
    <w:p w:rsidR="00200DB6" w:rsidRPr="003D12D0" w:rsidRDefault="00200DB6" w:rsidP="007C7FE2">
      <w:pPr>
        <w:pStyle w:val="NormalParagraph"/>
        <w:tabs>
          <w:tab w:val="clear" w:pos="928"/>
          <w:tab w:val="num" w:pos="567"/>
        </w:tabs>
      </w:pPr>
      <w:r w:rsidRPr="003D12D0">
        <w:t>In assessing a proposed acquisition pursuant to section 50 of the Act, the ACCC considers the effects of the acquisition by comparing the likely future competitive environment if the acquisition proceeds (the “with” position) to the likely future competitive environment if the acquisition does not proceed (the “without” position) to determine whether the proposed acquisition is likely to substantially lessen competition in any relevant market.</w:t>
      </w:r>
    </w:p>
    <w:p w:rsidR="00200DB6" w:rsidRPr="003D12D0" w:rsidRDefault="00200DB6" w:rsidP="00D4200F">
      <w:pPr>
        <w:pStyle w:val="NormalParagraph"/>
        <w:tabs>
          <w:tab w:val="clear" w:pos="928"/>
          <w:tab w:val="left" w:pos="567"/>
        </w:tabs>
      </w:pPr>
      <w:r w:rsidRPr="003D12D0">
        <w:t xml:space="preserve">The ACCC’s view </w:t>
      </w:r>
      <w:r w:rsidR="004E1FAE">
        <w:t>is that</w:t>
      </w:r>
      <w:r w:rsidRPr="003D12D0">
        <w:t xml:space="preserve"> absent the proposed acquisition</w:t>
      </w:r>
      <w:r w:rsidR="00A92C50" w:rsidRPr="003D12D0">
        <w:t xml:space="preserve"> (the “without” position)</w:t>
      </w:r>
      <w:r w:rsidRPr="003D12D0">
        <w:t xml:space="preserve">, </w:t>
      </w:r>
      <w:r w:rsidR="00F21EA6">
        <w:t xml:space="preserve">Wotif </w:t>
      </w:r>
      <w:r w:rsidR="004E1FAE">
        <w:t xml:space="preserve">is </w:t>
      </w:r>
      <w:r w:rsidR="00F21EA6">
        <w:t xml:space="preserve">likely to continue to operate </w:t>
      </w:r>
      <w:r w:rsidRPr="003D12D0">
        <w:t xml:space="preserve">as an independent competitor in the relevant markets. </w:t>
      </w:r>
    </w:p>
    <w:p w:rsidR="001F6227" w:rsidRPr="003D12D0" w:rsidRDefault="001F6227" w:rsidP="00B56268">
      <w:pPr>
        <w:pStyle w:val="Heading3"/>
      </w:pPr>
      <w:r w:rsidRPr="003D12D0">
        <w:t>Industry background</w:t>
      </w:r>
    </w:p>
    <w:p w:rsidR="00D4200F" w:rsidRDefault="00D4200F" w:rsidP="00D4200F">
      <w:pPr>
        <w:pStyle w:val="NormalParagraph"/>
        <w:tabs>
          <w:tab w:val="clear" w:pos="928"/>
          <w:tab w:val="left" w:pos="567"/>
        </w:tabs>
      </w:pPr>
      <w:r>
        <w:t>There are a number of media platforms through which accommodation is distributed both online and offline, with the primary ones being:</w:t>
      </w:r>
    </w:p>
    <w:p w:rsidR="00D4200F" w:rsidRDefault="00D4200F" w:rsidP="00670880">
      <w:pPr>
        <w:pStyle w:val="NormalParagraph"/>
        <w:numPr>
          <w:ilvl w:val="0"/>
          <w:numId w:val="12"/>
        </w:numPr>
        <w:ind w:left="1134"/>
      </w:pPr>
      <w:r w:rsidRPr="00D4200F">
        <w:rPr>
          <w:b/>
        </w:rPr>
        <w:lastRenderedPageBreak/>
        <w:t>Online travel agencies</w:t>
      </w:r>
      <w:r w:rsidRPr="00D4200F">
        <w:t xml:space="preserve"> – OTAs sell one or multiple travel tourism products direct to </w:t>
      </w:r>
      <w:r w:rsidR="006D5D14" w:rsidRPr="00D4200F">
        <w:t>c</w:t>
      </w:r>
      <w:r w:rsidR="006D5D14">
        <w:t>onsume</w:t>
      </w:r>
      <w:r w:rsidR="006D5D14" w:rsidRPr="00D4200F">
        <w:t>rs</w:t>
      </w:r>
      <w:r w:rsidRPr="00D4200F">
        <w:t xml:space="preserve">, allowing </w:t>
      </w:r>
      <w:r w:rsidR="00FC0CCC">
        <w:t>consumers</w:t>
      </w:r>
      <w:r w:rsidR="00FC0CCC" w:rsidRPr="00D4200F">
        <w:t xml:space="preserve"> </w:t>
      </w:r>
      <w:r w:rsidRPr="00D4200F">
        <w:t xml:space="preserve">to search, compare and book </w:t>
      </w:r>
      <w:r w:rsidR="00E74736">
        <w:t xml:space="preserve">accommodation via their websites </w:t>
      </w:r>
      <w:r w:rsidRPr="00D4200F">
        <w:t>(e.g. Expedia</w:t>
      </w:r>
      <w:r w:rsidR="00E74736">
        <w:t>.com</w:t>
      </w:r>
      <w:r w:rsidRPr="00D4200F">
        <w:t>, Wotif</w:t>
      </w:r>
      <w:r w:rsidR="00E74736">
        <w:t>.com</w:t>
      </w:r>
      <w:r w:rsidRPr="00D4200F">
        <w:t>).</w:t>
      </w:r>
    </w:p>
    <w:p w:rsidR="00D4200F" w:rsidRDefault="00D4200F" w:rsidP="00670880">
      <w:pPr>
        <w:pStyle w:val="NormalParagraph"/>
        <w:numPr>
          <w:ilvl w:val="0"/>
          <w:numId w:val="12"/>
        </w:numPr>
        <w:ind w:left="1134"/>
      </w:pPr>
      <w:r w:rsidRPr="00D4200F">
        <w:rPr>
          <w:b/>
        </w:rPr>
        <w:t>Directly via accommodation providers</w:t>
      </w:r>
      <w:r w:rsidRPr="00AF5B28">
        <w:t xml:space="preserve"> </w:t>
      </w:r>
      <w:r w:rsidRPr="00D4200F">
        <w:t>– many accommodation providers have their own websites where consumers can book rooms directly. Consumers may also book directly with the provider by phone, email or as a “walk-in”.</w:t>
      </w:r>
    </w:p>
    <w:p w:rsidR="00D4200F" w:rsidRDefault="00D4200F" w:rsidP="00670880">
      <w:pPr>
        <w:pStyle w:val="NormalParagraph"/>
        <w:numPr>
          <w:ilvl w:val="0"/>
          <w:numId w:val="12"/>
        </w:numPr>
        <w:ind w:left="1134"/>
      </w:pPr>
      <w:r w:rsidRPr="00D4200F">
        <w:rPr>
          <w:b/>
        </w:rPr>
        <w:t xml:space="preserve">Bricks and mortar </w:t>
      </w:r>
      <w:r w:rsidR="0052503C">
        <w:rPr>
          <w:b/>
        </w:rPr>
        <w:t xml:space="preserve">travel </w:t>
      </w:r>
      <w:r w:rsidRPr="00D4200F">
        <w:rPr>
          <w:b/>
        </w:rPr>
        <w:t>agencies</w:t>
      </w:r>
      <w:r w:rsidRPr="00D4200F">
        <w:t xml:space="preserve"> – </w:t>
      </w:r>
      <w:r w:rsidR="00FC0CCC">
        <w:t xml:space="preserve">many travel agents </w:t>
      </w:r>
      <w:r w:rsidRPr="00D4200F">
        <w:t xml:space="preserve">have a physical </w:t>
      </w:r>
      <w:r w:rsidR="00FC0CCC">
        <w:t xml:space="preserve">retail </w:t>
      </w:r>
      <w:r w:rsidRPr="00D4200F">
        <w:t>presence that involves consumers meeting directly with</w:t>
      </w:r>
      <w:r w:rsidR="00FC0CCC">
        <w:t xml:space="preserve"> the</w:t>
      </w:r>
      <w:r w:rsidRPr="00D4200F">
        <w:t xml:space="preserve"> travel agent. Some bricks and mortar agencies also have an online presence. </w:t>
      </w:r>
    </w:p>
    <w:p w:rsidR="00D4200F" w:rsidRDefault="00D4200F" w:rsidP="00670880">
      <w:pPr>
        <w:pStyle w:val="NormalParagraph"/>
        <w:numPr>
          <w:ilvl w:val="0"/>
          <w:numId w:val="12"/>
        </w:numPr>
        <w:ind w:left="1134"/>
      </w:pPr>
      <w:r w:rsidRPr="00D4200F">
        <w:rPr>
          <w:b/>
        </w:rPr>
        <w:t>Corporate travel booking services</w:t>
      </w:r>
      <w:r w:rsidRPr="00D4200F">
        <w:t xml:space="preserve"> – companies such as Corporate Travel Management and Carlson Wagonlit supply accommodation to organisations.</w:t>
      </w:r>
    </w:p>
    <w:p w:rsidR="00D4200F" w:rsidRPr="00D4200F" w:rsidRDefault="00D4200F" w:rsidP="00670880">
      <w:pPr>
        <w:pStyle w:val="NormalParagraph"/>
        <w:numPr>
          <w:ilvl w:val="0"/>
          <w:numId w:val="12"/>
        </w:numPr>
        <w:ind w:left="1134"/>
      </w:pPr>
      <w:r w:rsidRPr="00D4200F">
        <w:rPr>
          <w:b/>
        </w:rPr>
        <w:t>Destination websites</w:t>
      </w:r>
      <w:r w:rsidRPr="00D4200F">
        <w:t xml:space="preserve"> – some local tourism organisations operate websites which offer accommodation bookings, for example Tourism Noosa.</w:t>
      </w:r>
    </w:p>
    <w:p w:rsidR="00D4200F" w:rsidRDefault="00D4200F" w:rsidP="00D4200F">
      <w:pPr>
        <w:pStyle w:val="NormalParagraph"/>
        <w:tabs>
          <w:tab w:val="clear" w:pos="928"/>
          <w:tab w:val="num" w:pos="567"/>
        </w:tabs>
      </w:pPr>
      <w:r>
        <w:t>There has been significant growth in online travel bookings in recent years and this trend is expected to continue, with increases in the usage of mobile devices and tablets fo</w:t>
      </w:r>
      <w:r w:rsidR="00300DDB">
        <w:t>r bookings driving this growth.</w:t>
      </w:r>
    </w:p>
    <w:p w:rsidR="00D4200F" w:rsidRDefault="00D4200F" w:rsidP="00F6687B">
      <w:pPr>
        <w:pStyle w:val="NormalParagraph"/>
        <w:keepNext/>
        <w:tabs>
          <w:tab w:val="clear" w:pos="928"/>
          <w:tab w:val="num" w:pos="567"/>
        </w:tabs>
      </w:pPr>
      <w:r>
        <w:t>OTAs generally operate by two models:</w:t>
      </w:r>
    </w:p>
    <w:p w:rsidR="00D4200F" w:rsidRPr="004C3C25" w:rsidRDefault="00D4200F" w:rsidP="00670880">
      <w:pPr>
        <w:pStyle w:val="NormalParagraph"/>
        <w:numPr>
          <w:ilvl w:val="0"/>
          <w:numId w:val="12"/>
        </w:numPr>
        <w:ind w:left="1134"/>
      </w:pPr>
      <w:r>
        <w:rPr>
          <w:b/>
        </w:rPr>
        <w:t>M</w:t>
      </w:r>
      <w:r w:rsidRPr="00D4200F">
        <w:rPr>
          <w:b/>
        </w:rPr>
        <w:t>erchant model</w:t>
      </w:r>
      <w:r w:rsidRPr="004C3C25">
        <w:t xml:space="preserve"> – the OTA acts as a wholesaler, selling inventory at a rate comprising the hotel’s net rate and the OTA’s commission fee. Hotels are paid by the OTA after the </w:t>
      </w:r>
      <w:r w:rsidR="008B31FA">
        <w:t>consumer</w:t>
      </w:r>
      <w:r w:rsidR="008B31FA" w:rsidRPr="004C3C25">
        <w:t xml:space="preserve"> </w:t>
      </w:r>
      <w:r w:rsidRPr="004C3C25">
        <w:t xml:space="preserve">has concluded their stay. </w:t>
      </w:r>
      <w:r>
        <w:t>OTAs that use the merchant model</w:t>
      </w:r>
      <w:r w:rsidRPr="004C3C25">
        <w:t xml:space="preserve"> include Expedia and Orbitz</w:t>
      </w:r>
      <w:r w:rsidR="00F6687B">
        <w:t>.</w:t>
      </w:r>
    </w:p>
    <w:p w:rsidR="00D4200F" w:rsidRPr="004C3C25" w:rsidRDefault="00F6687B" w:rsidP="00670880">
      <w:pPr>
        <w:pStyle w:val="NormalParagraph"/>
        <w:numPr>
          <w:ilvl w:val="0"/>
          <w:numId w:val="12"/>
        </w:numPr>
        <w:ind w:left="1134"/>
      </w:pPr>
      <w:r>
        <w:rPr>
          <w:b/>
        </w:rPr>
        <w:t>Re</w:t>
      </w:r>
      <w:r w:rsidR="00D4200F" w:rsidRPr="004C3C25">
        <w:rPr>
          <w:b/>
        </w:rPr>
        <w:t xml:space="preserve">tail model </w:t>
      </w:r>
      <w:r w:rsidR="00D4200F" w:rsidRPr="004C3C25">
        <w:t xml:space="preserve">– the </w:t>
      </w:r>
      <w:r w:rsidR="008B31FA">
        <w:t>consumer</w:t>
      </w:r>
      <w:r w:rsidR="008B31FA" w:rsidRPr="004C3C25">
        <w:t xml:space="preserve"> </w:t>
      </w:r>
      <w:r w:rsidR="00D4200F" w:rsidRPr="004C3C25">
        <w:t>books through an OTA and pays the hotel</w:t>
      </w:r>
      <w:r w:rsidR="00DA2788">
        <w:t xml:space="preserve"> directly</w:t>
      </w:r>
      <w:r w:rsidR="00D4200F" w:rsidRPr="004C3C25">
        <w:t xml:space="preserve">. The hotel will then pay the OTA a commission on the booking. This model is also referred to as the published model. </w:t>
      </w:r>
      <w:r w:rsidR="00D10056">
        <w:t xml:space="preserve">Expedia and Orbitz also </w:t>
      </w:r>
      <w:r w:rsidR="00D4200F" w:rsidRPr="004C3C25">
        <w:t>operate this model</w:t>
      </w:r>
      <w:r w:rsidR="00D10056">
        <w:t xml:space="preserve"> in addition to </w:t>
      </w:r>
      <w:r w:rsidR="00D10056" w:rsidRPr="004C3C25">
        <w:t>Booking.com</w:t>
      </w:r>
      <w:r w:rsidR="00D4200F" w:rsidRPr="004C3C25">
        <w:t>.</w:t>
      </w:r>
    </w:p>
    <w:p w:rsidR="00D84985" w:rsidRDefault="00D84985" w:rsidP="001406C7">
      <w:pPr>
        <w:pStyle w:val="NormalParagraph"/>
        <w:tabs>
          <w:tab w:val="clear" w:pos="928"/>
          <w:tab w:val="num" w:pos="567"/>
        </w:tabs>
      </w:pPr>
      <w:r>
        <w:t xml:space="preserve">Wotif operates a </w:t>
      </w:r>
      <w:r w:rsidR="00402D03">
        <w:t xml:space="preserve">model </w:t>
      </w:r>
      <w:r w:rsidR="00BF36D3">
        <w:t xml:space="preserve">similar to the merchant model except that </w:t>
      </w:r>
      <w:r w:rsidR="00402D03">
        <w:t>the consum</w:t>
      </w:r>
      <w:r>
        <w:t>er pay</w:t>
      </w:r>
      <w:r w:rsidR="00402D03">
        <w:t>s</w:t>
      </w:r>
      <w:r>
        <w:t xml:space="preserve"> </w:t>
      </w:r>
      <w:r w:rsidR="00FC0CCC">
        <w:t xml:space="preserve">Wotif </w:t>
      </w:r>
      <w:r>
        <w:t>a</w:t>
      </w:r>
      <w:r w:rsidR="00FC0CCC">
        <w:t>n additional</w:t>
      </w:r>
      <w:r>
        <w:t xml:space="preserve"> booking fee of $5.50</w:t>
      </w:r>
      <w:r w:rsidR="00BF36D3">
        <w:t xml:space="preserve"> </w:t>
      </w:r>
      <w:r>
        <w:t>at the time of booking</w:t>
      </w:r>
      <w:r w:rsidR="00FC0CCC">
        <w:t>.</w:t>
      </w:r>
    </w:p>
    <w:p w:rsidR="00D4200F" w:rsidRDefault="00D4200F" w:rsidP="001406C7">
      <w:pPr>
        <w:pStyle w:val="NormalParagraph"/>
        <w:tabs>
          <w:tab w:val="clear" w:pos="928"/>
          <w:tab w:val="num" w:pos="567"/>
        </w:tabs>
      </w:pPr>
      <w:r>
        <w:t xml:space="preserve">OTAs generally charge a base </w:t>
      </w:r>
      <w:r w:rsidR="00FC0CCC">
        <w:t xml:space="preserve">commission </w:t>
      </w:r>
      <w:r>
        <w:t>rate to accommodation providers</w:t>
      </w:r>
      <w:r w:rsidR="00FC0CCC">
        <w:t xml:space="preserve">, and then </w:t>
      </w:r>
      <w:r>
        <w:t xml:space="preserve">charge a higher </w:t>
      </w:r>
      <w:r w:rsidR="00FC0CCC">
        <w:t xml:space="preserve">commission </w:t>
      </w:r>
      <w:r>
        <w:t xml:space="preserve">rate to </w:t>
      </w:r>
      <w:r w:rsidR="00FC0CCC">
        <w:t xml:space="preserve">those accommodation providers that wish </w:t>
      </w:r>
      <w:r>
        <w:t xml:space="preserve">to appear on the front page of the </w:t>
      </w:r>
      <w:r w:rsidR="00FC0CCC">
        <w:t xml:space="preserve">OTA’s </w:t>
      </w:r>
      <w:r>
        <w:t>unrefined</w:t>
      </w:r>
      <w:r w:rsidR="00FC0CCC">
        <w:t>/unfiltered</w:t>
      </w:r>
      <w:r>
        <w:t xml:space="preserve"> search results. An exception to this is Wotif, which lists </w:t>
      </w:r>
      <w:r w:rsidR="00FC0CCC">
        <w:t xml:space="preserve">accommodation providers </w:t>
      </w:r>
      <w:r>
        <w:t xml:space="preserve">alphabetically by star rating. </w:t>
      </w:r>
      <w:r w:rsidR="008B31FA">
        <w:t xml:space="preserve">Consumers </w:t>
      </w:r>
      <w:r>
        <w:t>are able to refine</w:t>
      </w:r>
      <w:r w:rsidR="00FC0CCC">
        <w:t>/filter</w:t>
      </w:r>
      <w:r>
        <w:t xml:space="preserve"> results on OTA sites by price, customer reviews, specific locations or features of the room and/or hotel.</w:t>
      </w:r>
    </w:p>
    <w:p w:rsidR="00402D03" w:rsidRDefault="00D4200F" w:rsidP="00402D03">
      <w:pPr>
        <w:pStyle w:val="NormalParagraph"/>
        <w:tabs>
          <w:tab w:val="clear" w:pos="928"/>
          <w:tab w:val="num" w:pos="567"/>
        </w:tabs>
      </w:pPr>
      <w:r>
        <w:t xml:space="preserve">OTAs attract </w:t>
      </w:r>
      <w:r w:rsidR="008B31FA">
        <w:t xml:space="preserve">consumers </w:t>
      </w:r>
      <w:r>
        <w:t>to their websites by advertising through both online (e.g. Google AdWords), and offline media (e.g. TV and print media) in addition to providing an attractive and functional website with a broad range of accommodation inventory.</w:t>
      </w:r>
      <w:r w:rsidR="00402D03">
        <w:t xml:space="preserve"> The ACCC understands that the primary form of competition between OTAs </w:t>
      </w:r>
      <w:r w:rsidR="00EA674F">
        <w:t xml:space="preserve">centres </w:t>
      </w:r>
      <w:r w:rsidR="00781F82">
        <w:t xml:space="preserve">on </w:t>
      </w:r>
      <w:r w:rsidR="00821C1B">
        <w:t>attracting consumers to their websites</w:t>
      </w:r>
      <w:r w:rsidR="005D603C">
        <w:t>, which is in part dependent on OTAs being able to offer a broad range of accommodation inventory.</w:t>
      </w:r>
      <w:r w:rsidR="00EA674F">
        <w:t xml:space="preserve"> </w:t>
      </w:r>
    </w:p>
    <w:p w:rsidR="00B51D6F" w:rsidRDefault="00B51D6F" w:rsidP="003347A1">
      <w:pPr>
        <w:pStyle w:val="Heading5"/>
      </w:pPr>
      <w:r>
        <w:t xml:space="preserve">Metasearch </w:t>
      </w:r>
      <w:r w:rsidRPr="003347A1">
        <w:t>websites</w:t>
      </w:r>
    </w:p>
    <w:p w:rsidR="00B51D6F" w:rsidRDefault="00D6228F" w:rsidP="00B51D6F">
      <w:pPr>
        <w:pStyle w:val="NormalParagraph"/>
        <w:tabs>
          <w:tab w:val="clear" w:pos="928"/>
          <w:tab w:val="num" w:pos="567"/>
        </w:tabs>
        <w:rPr>
          <w:rFonts w:cs="Arial"/>
        </w:rPr>
      </w:pPr>
      <w:r>
        <w:rPr>
          <w:rFonts w:cs="Arial"/>
        </w:rPr>
        <w:t>Metasearch sites such as TripAdvisor</w:t>
      </w:r>
      <w:r w:rsidR="009D315B">
        <w:rPr>
          <w:rFonts w:cs="Arial"/>
        </w:rPr>
        <w:t xml:space="preserve"> allow consumers to compare a range of accommodation options (based on ratings, price, availability, location </w:t>
      </w:r>
      <w:r w:rsidR="0024021F">
        <w:rPr>
          <w:rFonts w:cs="Arial"/>
        </w:rPr>
        <w:t>etc.</w:t>
      </w:r>
      <w:r w:rsidR="009D315B">
        <w:rPr>
          <w:rFonts w:cs="Arial"/>
        </w:rPr>
        <w:t xml:space="preserve">) and </w:t>
      </w:r>
      <w:r w:rsidR="009D315B">
        <w:rPr>
          <w:rFonts w:cs="Arial"/>
        </w:rPr>
        <w:lastRenderedPageBreak/>
        <w:t xml:space="preserve">then provide booking options for each hotel (unless the hotel has chosen not to make bookings available). TripAdvisor’s TripConnect function allows OTAs (and the hotel itself) to bid against each other to appear in the booking options for a particular hotel. The value of the bids determines the ranking of each booking option, and the OTA or hotel is charged if </w:t>
      </w:r>
      <w:r w:rsidR="00405050">
        <w:rPr>
          <w:rFonts w:cs="Arial"/>
        </w:rPr>
        <w:t xml:space="preserve">a </w:t>
      </w:r>
      <w:r w:rsidR="009D315B">
        <w:rPr>
          <w:rFonts w:cs="Arial"/>
        </w:rPr>
        <w:t>consumer clicks on their link.</w:t>
      </w:r>
    </w:p>
    <w:p w:rsidR="009D315B" w:rsidRDefault="009D315B" w:rsidP="00B51D6F">
      <w:pPr>
        <w:pStyle w:val="NormalParagraph"/>
        <w:tabs>
          <w:tab w:val="clear" w:pos="928"/>
          <w:tab w:val="num" w:pos="567"/>
        </w:tabs>
        <w:rPr>
          <w:rFonts w:cs="Arial"/>
        </w:rPr>
      </w:pPr>
      <w:r>
        <w:rPr>
          <w:rFonts w:cs="Arial"/>
        </w:rPr>
        <w:t xml:space="preserve">TripAdvisor also offers accommodation providers a ‘Business Listings’ product.  This is a subscription service </w:t>
      </w:r>
      <w:r w:rsidR="00D6228F">
        <w:rPr>
          <w:rFonts w:cs="Arial"/>
        </w:rPr>
        <w:t xml:space="preserve">(rather than a cost-per-click product) </w:t>
      </w:r>
      <w:r>
        <w:rPr>
          <w:rFonts w:cs="Arial"/>
        </w:rPr>
        <w:t>which allows the accommodation provider to display its direct contact details (including a link to its own website) on the TripAdvisor page for its property. An accommodation provider can also post special offers on its TripAdvisor page. However, the</w:t>
      </w:r>
      <w:r w:rsidR="005D603C">
        <w:rPr>
          <w:rFonts w:cs="Arial"/>
        </w:rPr>
        <w:t xml:space="preserve"> display of the</w:t>
      </w:r>
      <w:r>
        <w:rPr>
          <w:rFonts w:cs="Arial"/>
        </w:rPr>
        <w:t xml:space="preserve"> Business Listings contact and special offer information is smaller and less prominent than the booking buttons provided by the TripConnect function.</w:t>
      </w:r>
    </w:p>
    <w:p w:rsidR="00415883" w:rsidRPr="003D12D0" w:rsidRDefault="00415883" w:rsidP="00B56268">
      <w:pPr>
        <w:pStyle w:val="Heading3"/>
      </w:pPr>
      <w:r w:rsidRPr="00300DDB">
        <w:t>Market definition</w:t>
      </w:r>
    </w:p>
    <w:p w:rsidR="00415883" w:rsidRPr="003D12D0" w:rsidRDefault="00AF16A8" w:rsidP="00A815A3">
      <w:pPr>
        <w:pStyle w:val="NormalParagraph"/>
        <w:tabs>
          <w:tab w:val="clear" w:pos="928"/>
          <w:tab w:val="left" w:pos="567"/>
        </w:tabs>
        <w:rPr>
          <w:rFonts w:cs="Arial"/>
        </w:rPr>
      </w:pPr>
      <w:r w:rsidRPr="003D12D0">
        <w:rPr>
          <w:rFonts w:cs="Arial"/>
        </w:rPr>
        <w:t xml:space="preserve">The </w:t>
      </w:r>
      <w:r w:rsidR="00415883" w:rsidRPr="003D12D0">
        <w:rPr>
          <w:rFonts w:cs="Arial"/>
        </w:rPr>
        <w:t xml:space="preserve">ACCC assessed the impact of the proposed acquisition in the context of the following </w:t>
      </w:r>
      <w:r w:rsidR="004B58ED">
        <w:rPr>
          <w:rFonts w:cs="Arial"/>
        </w:rPr>
        <w:t xml:space="preserve">online </w:t>
      </w:r>
      <w:r w:rsidR="00415883" w:rsidRPr="003D12D0">
        <w:rPr>
          <w:rFonts w:cs="Arial"/>
        </w:rPr>
        <w:t>markets</w:t>
      </w:r>
      <w:r w:rsidR="004B58ED">
        <w:rPr>
          <w:rFonts w:cs="Arial"/>
        </w:rPr>
        <w:t xml:space="preserve"> for the </w:t>
      </w:r>
      <w:r w:rsidR="004B58ED">
        <w:t>distribution/booking of</w:t>
      </w:r>
      <w:r w:rsidR="00415883" w:rsidRPr="003D12D0">
        <w:rPr>
          <w:rFonts w:cs="Arial"/>
        </w:rPr>
        <w:t>:</w:t>
      </w:r>
    </w:p>
    <w:p w:rsidR="001406C7" w:rsidRDefault="001406C7" w:rsidP="00A815A3">
      <w:pPr>
        <w:pStyle w:val="ListParagraph"/>
      </w:pPr>
      <w:r>
        <w:t>Australian accommodation. This is a two-sided market where there are two groups of customers:</w:t>
      </w:r>
    </w:p>
    <w:p w:rsidR="00A815A3" w:rsidRDefault="001406C7" w:rsidP="00A815A3">
      <w:pPr>
        <w:pStyle w:val="ListParagraph"/>
        <w:numPr>
          <w:ilvl w:val="0"/>
          <w:numId w:val="19"/>
        </w:numPr>
        <w:ind w:left="1843"/>
      </w:pPr>
      <w:r>
        <w:t>accommodation providers who wish to attract co</w:t>
      </w:r>
      <w:r w:rsidR="00A815A3">
        <w:t>nsumers to their properties; and</w:t>
      </w:r>
    </w:p>
    <w:p w:rsidR="001406C7" w:rsidRDefault="001406C7" w:rsidP="00A815A3">
      <w:pPr>
        <w:pStyle w:val="ListParagraph"/>
        <w:numPr>
          <w:ilvl w:val="0"/>
          <w:numId w:val="19"/>
        </w:numPr>
        <w:ind w:left="1843"/>
      </w:pPr>
      <w:r>
        <w:t>consumers who wish to book accommodation.</w:t>
      </w:r>
    </w:p>
    <w:p w:rsidR="001406C7" w:rsidRDefault="001406C7" w:rsidP="00A815A3">
      <w:pPr>
        <w:pStyle w:val="ListParagraph"/>
      </w:pPr>
      <w:r>
        <w:t>air travel (which is also a two-sided market); and</w:t>
      </w:r>
    </w:p>
    <w:p w:rsidR="001406C7" w:rsidRDefault="001406C7" w:rsidP="00A815A3">
      <w:pPr>
        <w:pStyle w:val="ListParagraph"/>
      </w:pPr>
      <w:r>
        <w:t>other travel products, including packages, car hire and cruises (which are also two-sided markets).</w:t>
      </w:r>
    </w:p>
    <w:p w:rsidR="00B40A87" w:rsidRPr="003D12D0" w:rsidRDefault="00965BFE" w:rsidP="00B40A87">
      <w:pPr>
        <w:pStyle w:val="NormalParagraph"/>
        <w:tabs>
          <w:tab w:val="clear" w:pos="928"/>
          <w:tab w:val="num" w:pos="567"/>
        </w:tabs>
      </w:pPr>
      <w:r w:rsidRPr="00171B6F">
        <w:t xml:space="preserve">The </w:t>
      </w:r>
      <w:r w:rsidR="005230A9">
        <w:t>relevant</w:t>
      </w:r>
      <w:r w:rsidR="005230A9" w:rsidRPr="00171B6F">
        <w:t xml:space="preserve"> </w:t>
      </w:r>
      <w:r w:rsidRPr="00171B6F">
        <w:t xml:space="preserve">markets </w:t>
      </w:r>
      <w:r w:rsidR="005230A9">
        <w:t xml:space="preserve">identified above </w:t>
      </w:r>
      <w:r w:rsidRPr="00171B6F">
        <w:t xml:space="preserve">are </w:t>
      </w:r>
      <w:r w:rsidR="005230A9">
        <w:t>consistent with</w:t>
      </w:r>
      <w:r w:rsidRPr="00171B6F">
        <w:t xml:space="preserve"> those outlined in the </w:t>
      </w:r>
      <w:r w:rsidRPr="00171B6F">
        <w:rPr>
          <w:i/>
        </w:rPr>
        <w:t>Statement of Issues</w:t>
      </w:r>
      <w:r w:rsidR="0049111A" w:rsidRPr="00171B6F">
        <w:t>. The consumer side of market</w:t>
      </w:r>
      <w:r w:rsidR="00A07768" w:rsidRPr="00171B6F">
        <w:t xml:space="preserve"> </w:t>
      </w:r>
      <w:r w:rsidR="00EC3E6F" w:rsidRPr="00171B6F">
        <w:t>(</w:t>
      </w:r>
      <w:r w:rsidR="00A07768" w:rsidRPr="00171B6F">
        <w:t>i</w:t>
      </w:r>
      <w:r w:rsidR="00EC3E6F" w:rsidRPr="00171B6F">
        <w:t>)</w:t>
      </w:r>
      <w:r w:rsidR="00A07768" w:rsidRPr="00171B6F">
        <w:t>,</w:t>
      </w:r>
      <w:r w:rsidR="0049111A" w:rsidRPr="00171B6F">
        <w:t xml:space="preserve"> and the markets comprising </w:t>
      </w:r>
      <w:r w:rsidR="00EC3E6F" w:rsidRPr="00171B6F">
        <w:t>(</w:t>
      </w:r>
      <w:r w:rsidR="00A07768" w:rsidRPr="00171B6F">
        <w:t>ii</w:t>
      </w:r>
      <w:r w:rsidR="00EC3E6F" w:rsidRPr="00171B6F">
        <w:t>)</w:t>
      </w:r>
      <w:r w:rsidR="00A07768" w:rsidRPr="00171B6F">
        <w:t xml:space="preserve"> and </w:t>
      </w:r>
      <w:r w:rsidR="00EC3E6F" w:rsidRPr="00171B6F">
        <w:t>(</w:t>
      </w:r>
      <w:r w:rsidR="00A07768" w:rsidRPr="00171B6F">
        <w:t>i</w:t>
      </w:r>
      <w:r w:rsidR="0049111A" w:rsidRPr="00171B6F">
        <w:t>ii</w:t>
      </w:r>
      <w:r w:rsidR="00EC3E6F" w:rsidRPr="00171B6F">
        <w:t>)</w:t>
      </w:r>
      <w:r w:rsidR="00A07768" w:rsidRPr="00171B6F">
        <w:t xml:space="preserve"> were identified in the </w:t>
      </w:r>
      <w:r w:rsidR="00A07768" w:rsidRPr="00171B6F">
        <w:rPr>
          <w:i/>
        </w:rPr>
        <w:t xml:space="preserve">Statement of Issues </w:t>
      </w:r>
      <w:r w:rsidR="00A07768" w:rsidRPr="00171B6F">
        <w:t xml:space="preserve">as markets </w:t>
      </w:r>
      <w:r w:rsidR="00C24F7C" w:rsidRPr="00171B6F">
        <w:t xml:space="preserve">where the proposed acquisition was </w:t>
      </w:r>
      <w:r w:rsidR="00A07768" w:rsidRPr="00171B6F">
        <w:t xml:space="preserve">unlikely to raise concerns. </w:t>
      </w:r>
      <w:r w:rsidR="003161D0" w:rsidRPr="00171B6F">
        <w:t>M</w:t>
      </w:r>
      <w:r w:rsidR="00A07768" w:rsidRPr="00171B6F">
        <w:t xml:space="preserve">arket inquiries following the </w:t>
      </w:r>
      <w:r w:rsidR="00A07768" w:rsidRPr="00171B6F">
        <w:rPr>
          <w:i/>
        </w:rPr>
        <w:t xml:space="preserve">Statement of Issues </w:t>
      </w:r>
      <w:r w:rsidR="00A07768" w:rsidRPr="00171B6F">
        <w:t xml:space="preserve">did not reveal any further information to change the ACCC’s views in relation to these markets and as such </w:t>
      </w:r>
      <w:r w:rsidR="00F77A02" w:rsidRPr="00171B6F">
        <w:t xml:space="preserve">these are </w:t>
      </w:r>
      <w:r w:rsidR="00A07768" w:rsidRPr="00171B6F">
        <w:t>not consider</w:t>
      </w:r>
      <w:r w:rsidR="00F77A02" w:rsidRPr="00171B6F">
        <w:t xml:space="preserve">ed further. </w:t>
      </w:r>
      <w:r w:rsidR="00B40A87" w:rsidRPr="003D12D0">
        <w:t xml:space="preserve">This </w:t>
      </w:r>
      <w:r w:rsidR="00B40A87" w:rsidRPr="003D12D0">
        <w:rPr>
          <w:i/>
        </w:rPr>
        <w:t xml:space="preserve">Public Competition Assessment </w:t>
      </w:r>
      <w:r w:rsidR="00B40A87" w:rsidRPr="003D12D0">
        <w:t xml:space="preserve">therefore </w:t>
      </w:r>
      <w:r w:rsidR="00B40A87">
        <w:t>only analyses competition impacts in the market for the online distribution/booking of Australian accommodation, focussing on the impact on Australian accommodation providers.</w:t>
      </w:r>
    </w:p>
    <w:p w:rsidR="00A07768" w:rsidRPr="003D12D0" w:rsidRDefault="005B4861" w:rsidP="00B56268">
      <w:pPr>
        <w:pStyle w:val="Heading3"/>
      </w:pPr>
      <w:r w:rsidRPr="00C2085B">
        <w:t>Market for online distribution/booking of Australian accommodation</w:t>
      </w:r>
    </w:p>
    <w:p w:rsidR="002E1BF0" w:rsidRPr="003D12D0" w:rsidRDefault="00862936" w:rsidP="003347A1">
      <w:pPr>
        <w:pStyle w:val="Heading4"/>
      </w:pPr>
      <w:r w:rsidRPr="003D12D0">
        <w:t xml:space="preserve">Product dimension </w:t>
      </w:r>
      <w:r w:rsidR="002E1BF0" w:rsidRPr="003D12D0">
        <w:t>of the market</w:t>
      </w:r>
    </w:p>
    <w:p w:rsidR="00FF4545" w:rsidRDefault="007E7D32" w:rsidP="00DA66AD">
      <w:pPr>
        <w:pStyle w:val="NormalParagraph"/>
        <w:tabs>
          <w:tab w:val="clear" w:pos="928"/>
          <w:tab w:val="num" w:pos="567"/>
        </w:tabs>
      </w:pPr>
      <w:r>
        <w:t>The market for the online distribution/booking of Australian accommodation is a tw</w:t>
      </w:r>
      <w:r w:rsidR="00FF4545">
        <w:t>o-sided market where positive network effects exi</w:t>
      </w:r>
      <w:r w:rsidR="00DA66AD">
        <w:t>s</w:t>
      </w:r>
      <w:r w:rsidR="00FF4545">
        <w:t>t</w:t>
      </w:r>
      <w:r w:rsidR="00DA66AD">
        <w:t>.</w:t>
      </w:r>
      <w:r w:rsidR="00DA66AD" w:rsidRPr="009C7C72">
        <w:rPr>
          <w:rStyle w:val="FootnoteReference"/>
          <w:rFonts w:ascii="Arial" w:hAnsi="Arial" w:cs="Arial"/>
        </w:rPr>
        <w:footnoteReference w:id="4"/>
      </w:r>
      <w:r w:rsidR="00DA66AD" w:rsidRPr="009C7C72">
        <w:rPr>
          <w:rFonts w:cs="Arial"/>
        </w:rPr>
        <w:t xml:space="preserve"> </w:t>
      </w:r>
      <w:r w:rsidR="005F58C3">
        <w:t xml:space="preserve">The importance of an OTA to an accommodation provider is directly related to the volume of traffic </w:t>
      </w:r>
      <w:r w:rsidR="009E3F4E">
        <w:t>that</w:t>
      </w:r>
      <w:r w:rsidR="005F58C3">
        <w:t xml:space="preserve"> </w:t>
      </w:r>
      <w:r w:rsidR="009C7C72">
        <w:t xml:space="preserve">an </w:t>
      </w:r>
      <w:r w:rsidR="005F58C3">
        <w:t>OTA generates through its access to consumer ‘eyeballs’</w:t>
      </w:r>
      <w:r w:rsidR="009E3F4E">
        <w:t xml:space="preserve">. </w:t>
      </w:r>
      <w:r w:rsidR="000334E9">
        <w:t>T</w:t>
      </w:r>
      <w:r w:rsidR="005F58C3">
        <w:t>he</w:t>
      </w:r>
      <w:r w:rsidR="000334E9">
        <w:t xml:space="preserve">refore, </w:t>
      </w:r>
      <w:r w:rsidR="00E30A06">
        <w:t xml:space="preserve">most </w:t>
      </w:r>
      <w:r w:rsidR="00DA66AD">
        <w:lastRenderedPageBreak/>
        <w:t xml:space="preserve">fees </w:t>
      </w:r>
      <w:r w:rsidR="00E30A06">
        <w:t>tend to be</w:t>
      </w:r>
      <w:r w:rsidR="00DA66AD">
        <w:t xml:space="preserve"> levied on accommodation providers </w:t>
      </w:r>
      <w:r w:rsidR="00E30A06">
        <w:t xml:space="preserve">rather than consumers </w:t>
      </w:r>
      <w:r w:rsidR="00DA66AD">
        <w:t>because their demand is</w:t>
      </w:r>
      <w:r w:rsidR="00E30A06">
        <w:t xml:space="preserve"> likely to be</w:t>
      </w:r>
      <w:r w:rsidR="00DA66AD">
        <w:t xml:space="preserve"> less elasti</w:t>
      </w:r>
      <w:r w:rsidR="00BE3539">
        <w:t>c than</w:t>
      </w:r>
      <w:r w:rsidR="00FE1210">
        <w:t xml:space="preserve"> </w:t>
      </w:r>
      <w:r w:rsidR="009B3BBC">
        <w:t>that of</w:t>
      </w:r>
      <w:r w:rsidR="00BE3539">
        <w:t xml:space="preserve"> consumers</w:t>
      </w:r>
      <w:r w:rsidR="000334E9">
        <w:t>, who are readily able to switch between OTAs and access similar accommodation</w:t>
      </w:r>
      <w:r w:rsidR="005F58C3">
        <w:t>.</w:t>
      </w:r>
      <w:r w:rsidR="000334E9">
        <w:t xml:space="preserve"> It is the </w:t>
      </w:r>
      <w:r w:rsidR="005F58C3">
        <w:t>eyeballs that OTAs</w:t>
      </w:r>
      <w:r w:rsidR="00BE3539">
        <w:t xml:space="preserve"> generate through their large investment in adve</w:t>
      </w:r>
      <w:r w:rsidR="005F58C3">
        <w:t>rtising and promotion</w:t>
      </w:r>
      <w:r w:rsidR="000334E9">
        <w:t xml:space="preserve"> (</w:t>
      </w:r>
      <w:r w:rsidR="009E3F4E">
        <w:t>a sunk cost incurred by OTAs</w:t>
      </w:r>
      <w:r w:rsidR="000334E9">
        <w:t>) that</w:t>
      </w:r>
      <w:r w:rsidR="009E3F4E">
        <w:t xml:space="preserve"> are of value to </w:t>
      </w:r>
      <w:r w:rsidR="000334E9">
        <w:t xml:space="preserve">accommodation </w:t>
      </w:r>
      <w:r w:rsidR="009E3F4E">
        <w:t>providers, therefore</w:t>
      </w:r>
      <w:r w:rsidR="000334E9">
        <w:t xml:space="preserve"> the ACCC’s analysis has focussed on this side of the market. </w:t>
      </w:r>
      <w:r w:rsidR="005F58C3">
        <w:t xml:space="preserve"> </w:t>
      </w:r>
      <w:r w:rsidR="00BE3539">
        <w:t xml:space="preserve"> </w:t>
      </w:r>
      <w:r w:rsidR="00DA66AD">
        <w:t xml:space="preserve"> </w:t>
      </w:r>
    </w:p>
    <w:p w:rsidR="00BC603D" w:rsidRPr="00BC603D" w:rsidRDefault="00906471" w:rsidP="003347A1">
      <w:pPr>
        <w:pStyle w:val="Heading5"/>
      </w:pPr>
      <w:r>
        <w:t>Accommodation versus other travel products</w:t>
      </w:r>
    </w:p>
    <w:p w:rsidR="00BC603D" w:rsidRDefault="00E01299" w:rsidP="009A0A9B">
      <w:pPr>
        <w:pStyle w:val="NormalParagraph"/>
        <w:tabs>
          <w:tab w:val="clear" w:pos="928"/>
          <w:tab w:val="num" w:pos="567"/>
        </w:tabs>
      </w:pPr>
      <w:r>
        <w:t xml:space="preserve">The ACCC analysed </w:t>
      </w:r>
      <w:r w:rsidR="00E86173">
        <w:t>whether</w:t>
      </w:r>
      <w:r w:rsidR="00BC603D">
        <w:t xml:space="preserve"> </w:t>
      </w:r>
      <w:r>
        <w:t xml:space="preserve">the </w:t>
      </w:r>
      <w:r w:rsidR="003B454C">
        <w:t xml:space="preserve">distribution </w:t>
      </w:r>
      <w:r>
        <w:t>o</w:t>
      </w:r>
      <w:r w:rsidR="00BC603D">
        <w:t>f travel products, including hotels, flights, car rental, cruises, etc</w:t>
      </w:r>
      <w:r>
        <w:t>.</w:t>
      </w:r>
      <w:r w:rsidR="003B454C">
        <w:t xml:space="preserve"> comprise</w:t>
      </w:r>
      <w:r>
        <w:t xml:space="preserve"> separate </w:t>
      </w:r>
      <w:r w:rsidR="003B454C">
        <w:t xml:space="preserve">distribution </w:t>
      </w:r>
      <w:r>
        <w:t>markets</w:t>
      </w:r>
      <w:r w:rsidR="003B454C">
        <w:t xml:space="preserve"> for each travel product</w:t>
      </w:r>
      <w:r>
        <w:t xml:space="preserve"> or a single market</w:t>
      </w:r>
      <w:r w:rsidR="00505403">
        <w:t xml:space="preserve"> for</w:t>
      </w:r>
      <w:r w:rsidR="003B454C">
        <w:t xml:space="preserve"> the distribution of</w:t>
      </w:r>
      <w:r w:rsidR="00505403">
        <w:t xml:space="preserve"> travel products</w:t>
      </w:r>
      <w:r w:rsidR="00FC2A94">
        <w:t>.</w:t>
      </w:r>
    </w:p>
    <w:p w:rsidR="00AF35C5" w:rsidRDefault="00AF35C5" w:rsidP="00B10EC0">
      <w:pPr>
        <w:pStyle w:val="NormalParagraph"/>
        <w:tabs>
          <w:tab w:val="clear" w:pos="928"/>
          <w:tab w:val="num" w:pos="567"/>
        </w:tabs>
      </w:pPr>
      <w:r>
        <w:t>From the consumer perspective, different travel products such as hotel room</w:t>
      </w:r>
      <w:r w:rsidR="000A7F00">
        <w:t>s</w:t>
      </w:r>
      <w:r>
        <w:t xml:space="preserve"> and flight</w:t>
      </w:r>
      <w:r w:rsidR="000A7F00">
        <w:t>s</w:t>
      </w:r>
      <w:r w:rsidR="000E4494">
        <w:t xml:space="preserve"> are main</w:t>
      </w:r>
      <w:r w:rsidR="00AF5B28">
        <w:t>ly</w:t>
      </w:r>
      <w:r w:rsidR="000E4494">
        <w:t xml:space="preserve"> complements rather than substitutes</w:t>
      </w:r>
      <w:r>
        <w:t>. Industry</w:t>
      </w:r>
      <w:r w:rsidR="000A7F00">
        <w:t xml:space="preserve"> participants </w:t>
      </w:r>
      <w:r w:rsidR="000A7F00" w:rsidRPr="009C7C72">
        <w:t>indicated that a large proportion of</w:t>
      </w:r>
      <w:r w:rsidRPr="009C7C72">
        <w:t xml:space="preserve"> consumers purchase travel products </w:t>
      </w:r>
      <w:r w:rsidR="000A7F00" w:rsidRPr="009C7C72">
        <w:t>on a standalone basis through</w:t>
      </w:r>
      <w:r w:rsidRPr="009C7C72">
        <w:t xml:space="preserve"> OTA</w:t>
      </w:r>
      <w:r w:rsidR="000A7F00" w:rsidRPr="009C7C72">
        <w:t>s</w:t>
      </w:r>
      <w:r w:rsidRPr="009C7C72">
        <w:t xml:space="preserve">, although </w:t>
      </w:r>
      <w:r w:rsidR="000A7F00" w:rsidRPr="009C7C72">
        <w:t>there has been an increase in the number of consumers purchasing travel</w:t>
      </w:r>
      <w:r w:rsidRPr="009C7C72">
        <w:t xml:space="preserve"> products </w:t>
      </w:r>
      <w:r w:rsidR="00B40A87" w:rsidRPr="009C7C72">
        <w:t xml:space="preserve">as </w:t>
      </w:r>
      <w:r w:rsidRPr="009C7C72">
        <w:t xml:space="preserve">a </w:t>
      </w:r>
      <w:r w:rsidR="000A7F00" w:rsidRPr="009C7C72">
        <w:t>package</w:t>
      </w:r>
      <w:r w:rsidR="00B40A87" w:rsidRPr="009C7C72">
        <w:t xml:space="preserve"> (e.g. flight and hotel packages)</w:t>
      </w:r>
      <w:r w:rsidRPr="009C7C72">
        <w:t xml:space="preserve">, particularly </w:t>
      </w:r>
      <w:r w:rsidR="00505403" w:rsidRPr="009C7C72">
        <w:t xml:space="preserve">by consumers travelling </w:t>
      </w:r>
      <w:r w:rsidRPr="009C7C72">
        <w:t>oversea</w:t>
      </w:r>
      <w:r w:rsidR="00505403" w:rsidRPr="009C7C72">
        <w:t>s</w:t>
      </w:r>
      <w:r w:rsidR="00B40A87" w:rsidRPr="009C7C72">
        <w:t>.</w:t>
      </w:r>
      <w:r w:rsidR="005238A1" w:rsidRPr="009C7C72">
        <w:t xml:space="preserve"> </w:t>
      </w:r>
      <w:r w:rsidR="009B3BBC" w:rsidRPr="009C7C72">
        <w:t xml:space="preserve">On the supplier side, </w:t>
      </w:r>
      <w:r w:rsidR="00592436" w:rsidRPr="009C7C72">
        <w:t xml:space="preserve">accommodation </w:t>
      </w:r>
      <w:r w:rsidR="005238A1" w:rsidRPr="009C7C72">
        <w:t>providers</w:t>
      </w:r>
      <w:r w:rsidR="009B3BBC" w:rsidRPr="009C7C72">
        <w:t xml:space="preserve"> </w:t>
      </w:r>
      <w:r w:rsidR="00E403BD" w:rsidRPr="009C7C72">
        <w:t xml:space="preserve">need to access distribution services which attract consumers to book accommodation and </w:t>
      </w:r>
      <w:r w:rsidR="009B3BBC" w:rsidRPr="009C7C72">
        <w:t>are unlikely to</w:t>
      </w:r>
      <w:r w:rsidR="005238A1" w:rsidRPr="009C7C72">
        <w:t xml:space="preserve"> </w:t>
      </w:r>
      <w:r w:rsidR="00592436" w:rsidRPr="009C7C72">
        <w:t xml:space="preserve">have the ability </w:t>
      </w:r>
      <w:r w:rsidR="00B915E6" w:rsidRPr="009C7C72">
        <w:t>to r</w:t>
      </w:r>
      <w:r w:rsidR="00B10EC0" w:rsidRPr="009C7C72">
        <w:t xml:space="preserve">eadily commence supplying </w:t>
      </w:r>
      <w:r w:rsidR="009B3BBC" w:rsidRPr="009C7C72">
        <w:t xml:space="preserve">other </w:t>
      </w:r>
      <w:r w:rsidR="00B10EC0" w:rsidRPr="009C7C72">
        <w:t>travel products</w:t>
      </w:r>
      <w:r w:rsidR="007B33A8" w:rsidRPr="009C7C72">
        <w:t xml:space="preserve"> </w:t>
      </w:r>
      <w:r w:rsidR="009B3BBC" w:rsidRPr="009C7C72">
        <w:t>(e.g. flights or cruises</w:t>
      </w:r>
      <w:r w:rsidR="00540BE6" w:rsidRPr="009C7C72">
        <w:t>)</w:t>
      </w:r>
      <w:r w:rsidR="009B3BBC" w:rsidRPr="009C7C72">
        <w:t xml:space="preserve"> even </w:t>
      </w:r>
      <w:r w:rsidR="005238A1" w:rsidRPr="009C7C72">
        <w:t>if given an incentive to do so</w:t>
      </w:r>
      <w:r w:rsidR="005238A1">
        <w:t>.</w:t>
      </w:r>
      <w:r w:rsidR="00E403BD">
        <w:t xml:space="preserve"> </w:t>
      </w:r>
    </w:p>
    <w:p w:rsidR="00B355CE" w:rsidRPr="00D52509" w:rsidRDefault="00EE46ED" w:rsidP="00824F88">
      <w:pPr>
        <w:pStyle w:val="NormalParagraph"/>
        <w:tabs>
          <w:tab w:val="clear" w:pos="928"/>
          <w:tab w:val="num" w:pos="567"/>
        </w:tabs>
      </w:pPr>
      <w:r>
        <w:t>M</w:t>
      </w:r>
      <w:r w:rsidR="000A7F00">
        <w:t xml:space="preserve">any </w:t>
      </w:r>
      <w:r>
        <w:t xml:space="preserve">OTAs </w:t>
      </w:r>
      <w:r w:rsidR="00AF35C5">
        <w:t xml:space="preserve">offer </w:t>
      </w:r>
      <w:r w:rsidR="00B355CE">
        <w:t xml:space="preserve">booking services for </w:t>
      </w:r>
      <w:r w:rsidR="00AF35C5">
        <w:t>travel product</w:t>
      </w:r>
      <w:r w:rsidR="000D7D60">
        <w:t>s</w:t>
      </w:r>
      <w:r w:rsidR="00533BC7">
        <w:t xml:space="preserve"> other than accommodation</w:t>
      </w:r>
      <w:r w:rsidR="00945497">
        <w:t>, such as airline flights and leisure cruises</w:t>
      </w:r>
      <w:r w:rsidR="008B31FA">
        <w:t>.</w:t>
      </w:r>
      <w:r w:rsidR="0090403A">
        <w:t xml:space="preserve"> </w:t>
      </w:r>
      <w:r w:rsidR="00B355CE">
        <w:t xml:space="preserve">Further, some </w:t>
      </w:r>
      <w:r w:rsidR="00B355CE" w:rsidRPr="00D52509">
        <w:t xml:space="preserve">providers offering booking services for other travel products have recently </w:t>
      </w:r>
      <w:r w:rsidR="00AF5B28">
        <w:t>started</w:t>
      </w:r>
      <w:r w:rsidR="00B355CE" w:rsidRPr="00D52509">
        <w:t xml:space="preserve"> offering booking services for accommodation. </w:t>
      </w:r>
      <w:r w:rsidR="00D4405F" w:rsidRPr="00D52509">
        <w:t>However, given the costs associated with establishing a sufficient pool of accommodation inventory</w:t>
      </w:r>
      <w:r w:rsidR="00D4405F" w:rsidRPr="00D52509">
        <w:rPr>
          <w:rStyle w:val="FootnoteReference"/>
          <w:rFonts w:ascii="Arial" w:hAnsi="Arial" w:cs="Arial"/>
        </w:rPr>
        <w:footnoteReference w:id="5"/>
      </w:r>
      <w:r w:rsidR="00D4405F" w:rsidRPr="00D52509">
        <w:t xml:space="preserve"> and attracting a sufficient consumer audience,</w:t>
      </w:r>
      <w:r w:rsidR="00146609" w:rsidRPr="00D52509">
        <w:rPr>
          <w:rStyle w:val="FootnoteReference"/>
          <w:rFonts w:ascii="Arial" w:hAnsi="Arial" w:cs="Arial"/>
        </w:rPr>
        <w:footnoteReference w:id="6"/>
      </w:r>
      <w:r w:rsidR="00D4405F" w:rsidRPr="00D52509">
        <w:rPr>
          <w:rFonts w:cs="Arial"/>
        </w:rPr>
        <w:t xml:space="preserve"> </w:t>
      </w:r>
      <w:r w:rsidR="00D4405F" w:rsidRPr="00D52509">
        <w:t>the ACCC consider</w:t>
      </w:r>
      <w:r w:rsidR="00B40A87" w:rsidRPr="00D52509">
        <w:t>ed</w:t>
      </w:r>
      <w:r w:rsidR="00D4405F" w:rsidRPr="00D52509">
        <w:t xml:space="preserve"> that switching from offering online distribution/booking of other travel products to accommodation </w:t>
      </w:r>
      <w:r w:rsidR="00D173EB" w:rsidRPr="00D52509">
        <w:t>is not likely to be sufficiently quick and free of investment for accommodation listings to be considered a supply-side substitute for other travel product listings.</w:t>
      </w:r>
    </w:p>
    <w:p w:rsidR="004328D2" w:rsidRDefault="004328D2" w:rsidP="00AF35C5">
      <w:pPr>
        <w:pStyle w:val="NormalParagraph"/>
        <w:tabs>
          <w:tab w:val="clear" w:pos="928"/>
          <w:tab w:val="num" w:pos="567"/>
        </w:tabs>
      </w:pPr>
      <w:r w:rsidRPr="00D52509">
        <w:t>On balance</w:t>
      </w:r>
      <w:r w:rsidR="008C28F5" w:rsidRPr="00D52509">
        <w:t>,</w:t>
      </w:r>
      <w:r w:rsidRPr="00D52509">
        <w:t xml:space="preserve"> the ACCC considered it appropriate to define a product market for </w:t>
      </w:r>
      <w:r w:rsidR="002B76A1" w:rsidRPr="00D52509">
        <w:t>distribution/booking</w:t>
      </w:r>
      <w:r w:rsidR="002B76A1">
        <w:t xml:space="preserve"> of </w:t>
      </w:r>
      <w:r>
        <w:t xml:space="preserve">Australian accommodation, taking into account the primary overlap between the </w:t>
      </w:r>
      <w:r w:rsidRPr="00A44C81">
        <w:t>merger parties</w:t>
      </w:r>
      <w:r w:rsidR="00592436">
        <w:t>,</w:t>
      </w:r>
      <w:r w:rsidRPr="00A44C81">
        <w:t xml:space="preserve"> the </w:t>
      </w:r>
      <w:r w:rsidR="002B76A1" w:rsidRPr="00A44C81">
        <w:t>complementary nature of other</w:t>
      </w:r>
      <w:r w:rsidR="000E4494" w:rsidRPr="00A44C81">
        <w:t xml:space="preserve"> travel products</w:t>
      </w:r>
      <w:r w:rsidRPr="00A44C81">
        <w:t xml:space="preserve"> </w:t>
      </w:r>
      <w:r w:rsidR="002B76A1" w:rsidRPr="00A44C81">
        <w:t xml:space="preserve">from a </w:t>
      </w:r>
      <w:r w:rsidRPr="00A44C81">
        <w:t xml:space="preserve">consumer </w:t>
      </w:r>
      <w:r w:rsidR="002B76A1" w:rsidRPr="00A44C81">
        <w:t>perspective</w:t>
      </w:r>
      <w:r w:rsidR="00592436">
        <w:t xml:space="preserve"> and the inability of</w:t>
      </w:r>
      <w:r w:rsidR="009B3BBC">
        <w:t xml:space="preserve"> most accommodation</w:t>
      </w:r>
      <w:r w:rsidR="00592436">
        <w:t xml:space="preserve"> providers to</w:t>
      </w:r>
      <w:r w:rsidR="009B3BBC">
        <w:t xml:space="preserve"> readily switch</w:t>
      </w:r>
      <w:r w:rsidR="00592436">
        <w:t xml:space="preserve"> between supplying different travel products.</w:t>
      </w:r>
      <w:r w:rsidR="000E4494" w:rsidRPr="00A44C81">
        <w:t xml:space="preserve"> Providers of booking services for other travel products are considered potential</w:t>
      </w:r>
      <w:r w:rsidR="000E4494">
        <w:t xml:space="preserve"> entrants into this market.</w:t>
      </w:r>
    </w:p>
    <w:p w:rsidR="009A0A9B" w:rsidRPr="003D12D0" w:rsidRDefault="00AF35C5" w:rsidP="003347A1">
      <w:pPr>
        <w:pStyle w:val="Heading5"/>
      </w:pPr>
      <w:r>
        <w:t>Online distribution</w:t>
      </w:r>
      <w:r w:rsidR="00781F82">
        <w:t xml:space="preserve"> </w:t>
      </w:r>
      <w:r w:rsidR="00906471">
        <w:t>versus bricks and mortar stores</w:t>
      </w:r>
    </w:p>
    <w:p w:rsidR="003B3AFE" w:rsidRDefault="0090403A" w:rsidP="003B3AFE">
      <w:pPr>
        <w:pStyle w:val="NormalParagraph"/>
        <w:tabs>
          <w:tab w:val="clear" w:pos="928"/>
          <w:tab w:val="num" w:pos="567"/>
        </w:tabs>
      </w:pPr>
      <w:r>
        <w:t xml:space="preserve">As identified in the </w:t>
      </w:r>
      <w:r w:rsidRPr="0090403A">
        <w:rPr>
          <w:i/>
        </w:rPr>
        <w:t>Statement of Issues</w:t>
      </w:r>
      <w:r>
        <w:t xml:space="preserve">, there </w:t>
      </w:r>
      <w:r w:rsidR="00FC11A3">
        <w:t xml:space="preserve">is </w:t>
      </w:r>
      <w:r>
        <w:t xml:space="preserve">a range of ways in which accommodation providers distribute and consumers book accommodation. The </w:t>
      </w:r>
      <w:r>
        <w:lastRenderedPageBreak/>
        <w:t xml:space="preserve">key consideration for an accommodation provider is </w:t>
      </w:r>
      <w:r w:rsidR="008B31FA">
        <w:t>typically</w:t>
      </w:r>
      <w:r>
        <w:t xml:space="preserve"> to ensure as wide a distribution of their accommodation inventory as possible to min</w:t>
      </w:r>
      <w:r w:rsidR="00F51AFE">
        <w:t>imise the number of empty rooms.</w:t>
      </w:r>
    </w:p>
    <w:p w:rsidR="003C4A7C" w:rsidRDefault="00EE1DDA" w:rsidP="0075573A">
      <w:pPr>
        <w:pStyle w:val="NormalParagraph"/>
        <w:tabs>
          <w:tab w:val="clear" w:pos="928"/>
          <w:tab w:val="num" w:pos="567"/>
        </w:tabs>
      </w:pPr>
      <w:r>
        <w:t>The ACCC define</w:t>
      </w:r>
      <w:r w:rsidR="004B3FD0">
        <w:t>d</w:t>
      </w:r>
      <w:r>
        <w:t xml:space="preserve"> a market for the distribution/booking of Australian accommodation through the online channel only</w:t>
      </w:r>
      <w:r w:rsidR="00B40A87">
        <w:t>,</w:t>
      </w:r>
      <w:r>
        <w:t xml:space="preserve"> as</w:t>
      </w:r>
      <w:r w:rsidR="003B3AFE">
        <w:t xml:space="preserve"> accommodation providers </w:t>
      </w:r>
      <w:r w:rsidR="004852DD">
        <w:t>are</w:t>
      </w:r>
      <w:r w:rsidR="003B3AFE">
        <w:t xml:space="preserve"> unlikely to </w:t>
      </w:r>
      <w:r w:rsidR="0071054B">
        <w:t xml:space="preserve">switch enough </w:t>
      </w:r>
      <w:r w:rsidR="003B3AFE">
        <w:t xml:space="preserve">inventory from </w:t>
      </w:r>
      <w:r w:rsidR="004852DD">
        <w:t>online channels</w:t>
      </w:r>
      <w:r w:rsidR="0071054B">
        <w:t xml:space="preserve"> to bricks and mortar travel agents to make</w:t>
      </w:r>
      <w:r w:rsidR="004852DD">
        <w:t xml:space="preserve"> a </w:t>
      </w:r>
      <w:r w:rsidR="0071054B">
        <w:t xml:space="preserve">small but significant </w:t>
      </w:r>
      <w:r w:rsidR="004852DD">
        <w:t>increase</w:t>
      </w:r>
      <w:r w:rsidR="004852DD" w:rsidRPr="00324E35">
        <w:t xml:space="preserve"> in online distribution costs</w:t>
      </w:r>
      <w:r w:rsidR="004852DD">
        <w:t xml:space="preserve"> (e.g. an increase in commission rates charged by OTAs)</w:t>
      </w:r>
      <w:r w:rsidR="0071054B">
        <w:t xml:space="preserve"> unprofitable</w:t>
      </w:r>
      <w:r w:rsidR="004852DD">
        <w:t>. Online channels</w:t>
      </w:r>
      <w:r w:rsidR="00F24E76">
        <w:t xml:space="preserve"> </w:t>
      </w:r>
      <w:r w:rsidR="004852DD">
        <w:t xml:space="preserve">capture unique </w:t>
      </w:r>
      <w:r w:rsidR="004B3FD0">
        <w:t xml:space="preserve">consumer </w:t>
      </w:r>
      <w:r w:rsidR="004852DD">
        <w:t xml:space="preserve">eyeballs that are not captured through the bricks and mortar channel as, for a </w:t>
      </w:r>
      <w:r w:rsidR="00F51AFE">
        <w:t>significant proportion of consumers</w:t>
      </w:r>
      <w:r>
        <w:t>,</w:t>
      </w:r>
      <w:r w:rsidR="00F51AFE">
        <w:t xml:space="preserve"> bricks and mortar travel agents </w:t>
      </w:r>
      <w:r w:rsidR="00A749C0">
        <w:t xml:space="preserve">are </w:t>
      </w:r>
      <w:r w:rsidR="00F51AFE">
        <w:t xml:space="preserve">not a close substitute for OTAs. These consumers have a preference for comparing a </w:t>
      </w:r>
      <w:r w:rsidR="001D1DBD">
        <w:t xml:space="preserve">wide </w:t>
      </w:r>
      <w:r w:rsidR="00F51AFE">
        <w:t xml:space="preserve">range of accommodation providers, accessing reviews from fellow travellers </w:t>
      </w:r>
      <w:r w:rsidR="001D1DBD">
        <w:t xml:space="preserve">to inform their decision </w:t>
      </w:r>
      <w:r w:rsidR="00F51AFE">
        <w:t xml:space="preserve">and </w:t>
      </w:r>
      <w:r w:rsidR="003C4A7C">
        <w:t>favour</w:t>
      </w:r>
      <w:r w:rsidR="001D1DBD">
        <w:t xml:space="preserve"> the convenience o</w:t>
      </w:r>
      <w:r w:rsidR="00324E35">
        <w:t>f booking online without the need</w:t>
      </w:r>
      <w:r w:rsidR="001D1DBD">
        <w:t xml:space="preserve"> to visit a store or speak to a customer service </w:t>
      </w:r>
      <w:r w:rsidR="00324E35">
        <w:t>person</w:t>
      </w:r>
      <w:r w:rsidR="001D1DBD">
        <w:t xml:space="preserve">. </w:t>
      </w:r>
    </w:p>
    <w:p w:rsidR="0090403A" w:rsidRDefault="001D1DBD" w:rsidP="0090403A">
      <w:pPr>
        <w:pStyle w:val="NormalParagraph"/>
        <w:tabs>
          <w:tab w:val="clear" w:pos="928"/>
          <w:tab w:val="num" w:pos="567"/>
        </w:tabs>
      </w:pPr>
      <w:r>
        <w:t xml:space="preserve">The ACCC also found that </w:t>
      </w:r>
      <w:r w:rsidR="0075573A">
        <w:t>OTAs were not a close substitute for</w:t>
      </w:r>
      <w:r>
        <w:t xml:space="preserve"> a </w:t>
      </w:r>
      <w:r w:rsidR="003C4A7C">
        <w:t>significant</w:t>
      </w:r>
      <w:r>
        <w:t xml:space="preserve"> proportion of </w:t>
      </w:r>
      <w:r w:rsidR="006D5D14">
        <w:t>consumers</w:t>
      </w:r>
      <w:r w:rsidR="00B40A87">
        <w:t xml:space="preserve"> that frequent bricks and mortar travel agents</w:t>
      </w:r>
      <w:r w:rsidR="003C4A7C">
        <w:t xml:space="preserve">. These </w:t>
      </w:r>
      <w:r w:rsidR="006D5D14">
        <w:t xml:space="preserve">consumers </w:t>
      </w:r>
      <w:r w:rsidR="00B40A87">
        <w:t xml:space="preserve">often </w:t>
      </w:r>
      <w:r w:rsidR="003C4A7C">
        <w:t xml:space="preserve">have a preference for </w:t>
      </w:r>
      <w:r w:rsidR="00324E35">
        <w:t xml:space="preserve">drawing on the </w:t>
      </w:r>
      <w:r w:rsidR="003C4A7C">
        <w:t>advice and expertise offered by sales agent</w:t>
      </w:r>
      <w:r w:rsidR="00AF7034">
        <w:t>s</w:t>
      </w:r>
      <w:r w:rsidR="003C4A7C">
        <w:t xml:space="preserve"> and </w:t>
      </w:r>
      <w:r w:rsidR="00324E35">
        <w:t xml:space="preserve">favour </w:t>
      </w:r>
      <w:r w:rsidR="003C4A7C">
        <w:t>the</w:t>
      </w:r>
      <w:r w:rsidR="00824F88">
        <w:t xml:space="preserve"> ability to </w:t>
      </w:r>
      <w:r w:rsidR="009D4296">
        <w:t xml:space="preserve">book </w:t>
      </w:r>
      <w:r w:rsidR="00824F88">
        <w:t>personalise</w:t>
      </w:r>
      <w:r w:rsidR="009D4296">
        <w:t>d</w:t>
      </w:r>
      <w:r w:rsidR="00824F88">
        <w:t xml:space="preserve"> </w:t>
      </w:r>
      <w:r w:rsidR="003C4A7C">
        <w:t>holiday</w:t>
      </w:r>
      <w:r w:rsidR="009D4296">
        <w:t xml:space="preserve"> packages</w:t>
      </w:r>
      <w:r w:rsidR="00AF7034">
        <w:t>, particularly when travelling overseas</w:t>
      </w:r>
      <w:r w:rsidR="003C4A7C">
        <w:t xml:space="preserve">. </w:t>
      </w:r>
    </w:p>
    <w:p w:rsidR="0090403A" w:rsidRDefault="0090403A" w:rsidP="00324E35">
      <w:pPr>
        <w:pStyle w:val="NormalParagraph"/>
        <w:tabs>
          <w:tab w:val="clear" w:pos="928"/>
          <w:tab w:val="num" w:pos="567"/>
        </w:tabs>
      </w:pPr>
      <w:r w:rsidRPr="00324E35">
        <w:t xml:space="preserve">Accordingly, the ACCC </w:t>
      </w:r>
      <w:r w:rsidR="00324E35" w:rsidRPr="00324E35">
        <w:t>con</w:t>
      </w:r>
      <w:r w:rsidR="00AF7034">
        <w:t>sidered</w:t>
      </w:r>
      <w:r w:rsidR="00324E35" w:rsidRPr="00324E35">
        <w:t xml:space="preserve"> it appropriate to consider the competitive effects of the proposed acquisition with reference to a</w:t>
      </w:r>
      <w:r w:rsidRPr="00324E35">
        <w:t xml:space="preserve"> market for distribution/booking of accommodation </w:t>
      </w:r>
      <w:r w:rsidR="001C0BAE">
        <w:t xml:space="preserve">that </w:t>
      </w:r>
      <w:r w:rsidRPr="00324E35">
        <w:t>is limited to onl</w:t>
      </w:r>
      <w:r w:rsidR="00324E35" w:rsidRPr="00324E35">
        <w:t>ine channels</w:t>
      </w:r>
      <w:r w:rsidR="00AF7034">
        <w:t>,</w:t>
      </w:r>
      <w:r w:rsidR="00324E35" w:rsidRPr="00324E35">
        <w:t xml:space="preserve"> taking into account</w:t>
      </w:r>
      <w:r w:rsidRPr="00324E35">
        <w:t xml:space="preserve"> bricks and mortar agents</w:t>
      </w:r>
      <w:r w:rsidR="00AF7034">
        <w:t xml:space="preserve"> only</w:t>
      </w:r>
      <w:r w:rsidRPr="00324E35">
        <w:t xml:space="preserve"> to the extent that they offer online booking services (for example, as Flight Centre does through Quickbeds.com.au).</w:t>
      </w:r>
    </w:p>
    <w:p w:rsidR="009A0A9B" w:rsidRPr="003D12D0" w:rsidRDefault="00EE1DDA" w:rsidP="003347A1">
      <w:pPr>
        <w:pStyle w:val="Heading5"/>
      </w:pPr>
      <w:r>
        <w:t>Other online</w:t>
      </w:r>
      <w:r w:rsidR="00505403">
        <w:t xml:space="preserve"> </w:t>
      </w:r>
      <w:r w:rsidR="000831F1">
        <w:t xml:space="preserve">booking </w:t>
      </w:r>
      <w:r w:rsidR="00505403">
        <w:t>channel</w:t>
      </w:r>
      <w:r w:rsidR="001C0BAE">
        <w:t>s</w:t>
      </w:r>
    </w:p>
    <w:p w:rsidR="00EE1DDA" w:rsidRDefault="00EE1DDA" w:rsidP="00A815A3">
      <w:pPr>
        <w:pStyle w:val="NormalParagraph"/>
        <w:tabs>
          <w:tab w:val="clear" w:pos="928"/>
          <w:tab w:val="left" w:pos="567"/>
        </w:tabs>
      </w:pPr>
      <w:r>
        <w:t xml:space="preserve">The ACCC considered that the </w:t>
      </w:r>
      <w:r w:rsidR="002C1E36">
        <w:t>market for online distribution/booking of Australian accommodation includ</w:t>
      </w:r>
      <w:r w:rsidR="00D6228F">
        <w:t>es</w:t>
      </w:r>
      <w:r w:rsidR="002C1E36">
        <w:t xml:space="preserve"> distribution and booking </w:t>
      </w:r>
      <w:r w:rsidRPr="00EE1DDA">
        <w:t xml:space="preserve">through a range of channels including OTAs, directly through accommodation providers’ </w:t>
      </w:r>
      <w:r w:rsidR="002C1E36">
        <w:t xml:space="preserve">own </w:t>
      </w:r>
      <w:r w:rsidRPr="00EE1DDA">
        <w:t xml:space="preserve">websites </w:t>
      </w:r>
      <w:r w:rsidR="002C1E36">
        <w:t xml:space="preserve">(e.g. Hilton.com) and destination websites (e.g. surfersparadise.com). </w:t>
      </w:r>
    </w:p>
    <w:p w:rsidR="000831F1" w:rsidRDefault="000831F1" w:rsidP="00A815A3">
      <w:pPr>
        <w:pStyle w:val="NormalParagraph"/>
        <w:tabs>
          <w:tab w:val="clear" w:pos="928"/>
          <w:tab w:val="left" w:pos="567"/>
        </w:tabs>
      </w:pPr>
      <w:r>
        <w:t>Most h</w:t>
      </w:r>
      <w:r w:rsidR="006430C7">
        <w:t>otel</w:t>
      </w:r>
      <w:r>
        <w:t>s</w:t>
      </w:r>
      <w:r w:rsidR="006430C7">
        <w:t xml:space="preserve"> </w:t>
      </w:r>
      <w:r>
        <w:t xml:space="preserve">offer consumers the option of booking accommodation </w:t>
      </w:r>
      <w:r w:rsidR="006430C7">
        <w:t xml:space="preserve">through </w:t>
      </w:r>
      <w:r w:rsidR="001C0BAE">
        <w:t>the hotel’s own website</w:t>
      </w:r>
      <w:r>
        <w:t xml:space="preserve">. In many instances, a link to a hotel’s website is provided in the search results </w:t>
      </w:r>
      <w:r w:rsidR="008C28F5">
        <w:t xml:space="preserve">on </w:t>
      </w:r>
      <w:r w:rsidR="00AF33ED">
        <w:t>a</w:t>
      </w:r>
      <w:r w:rsidR="001C0BAE">
        <w:t xml:space="preserve"> metasearch site</w:t>
      </w:r>
      <w:r w:rsidR="008C28F5">
        <w:t xml:space="preserve">. </w:t>
      </w:r>
    </w:p>
    <w:p w:rsidR="00676FB1" w:rsidRDefault="000831F1" w:rsidP="00A815A3">
      <w:pPr>
        <w:pStyle w:val="NormalParagraph"/>
        <w:tabs>
          <w:tab w:val="clear" w:pos="928"/>
          <w:tab w:val="left" w:pos="567"/>
        </w:tabs>
      </w:pPr>
      <w:r>
        <w:t>Market inquiries indicated that h</w:t>
      </w:r>
      <w:r w:rsidR="006430C7">
        <w:t>otels</w:t>
      </w:r>
      <w:r w:rsidR="008C28F5">
        <w:t xml:space="preserve"> also</w:t>
      </w:r>
      <w:r w:rsidR="006430C7">
        <w:t xml:space="preserve"> </w:t>
      </w:r>
      <w:r w:rsidR="00676FB1">
        <w:t xml:space="preserve">implement </w:t>
      </w:r>
      <w:r w:rsidR="006430C7">
        <w:t>strategies</w:t>
      </w:r>
      <w:r>
        <w:t xml:space="preserve"> </w:t>
      </w:r>
      <w:r w:rsidR="002837F2">
        <w:t xml:space="preserve">to funnel consumers to their direct channel and avoid paying commission fees to OTAs. For example, hotels </w:t>
      </w:r>
      <w:r w:rsidR="00C443E6">
        <w:t xml:space="preserve">can </w:t>
      </w:r>
      <w:r w:rsidR="00D34F06">
        <w:t xml:space="preserve">reduce </w:t>
      </w:r>
      <w:r w:rsidR="008C28F5">
        <w:t xml:space="preserve">the </w:t>
      </w:r>
      <w:r w:rsidR="00D34F06">
        <w:t xml:space="preserve">volume of </w:t>
      </w:r>
      <w:r w:rsidR="008C28F5">
        <w:t>inventory</w:t>
      </w:r>
      <w:r w:rsidR="00AD4F8C">
        <w:t xml:space="preserve"> </w:t>
      </w:r>
      <w:r w:rsidR="00D34F06">
        <w:t xml:space="preserve">made available to </w:t>
      </w:r>
      <w:r w:rsidR="00AD4F8C">
        <w:t>OTA</w:t>
      </w:r>
      <w:r w:rsidR="00D34F06">
        <w:t xml:space="preserve">s </w:t>
      </w:r>
      <w:r>
        <w:t xml:space="preserve">and </w:t>
      </w:r>
      <w:r w:rsidR="001B752F">
        <w:t xml:space="preserve">make </w:t>
      </w:r>
      <w:r>
        <w:t xml:space="preserve">this </w:t>
      </w:r>
      <w:r w:rsidR="00D34F06">
        <w:t xml:space="preserve">volume </w:t>
      </w:r>
      <w:r w:rsidR="001B752F">
        <w:t xml:space="preserve">available to be </w:t>
      </w:r>
      <w:r>
        <w:t xml:space="preserve">booked </w:t>
      </w:r>
      <w:r w:rsidR="00D34F06">
        <w:t xml:space="preserve">directly through </w:t>
      </w:r>
      <w:r>
        <w:t>the</w:t>
      </w:r>
      <w:r w:rsidR="00541120">
        <w:t xml:space="preserve">ir own </w:t>
      </w:r>
      <w:r>
        <w:t>website</w:t>
      </w:r>
      <w:r w:rsidR="001B752F">
        <w:t xml:space="preserve"> instead</w:t>
      </w:r>
      <w:r w:rsidR="00436746">
        <w:t>.</w:t>
      </w:r>
      <w:r w:rsidR="00676FB1">
        <w:t xml:space="preserve"> </w:t>
      </w:r>
    </w:p>
    <w:p w:rsidR="003C4A7C" w:rsidRDefault="00676FB1" w:rsidP="00A815A3">
      <w:pPr>
        <w:pStyle w:val="NormalParagraph"/>
        <w:tabs>
          <w:tab w:val="clear" w:pos="928"/>
          <w:tab w:val="left" w:pos="567"/>
        </w:tabs>
      </w:pPr>
      <w:r>
        <w:t>Therefore, the ACCC considered that Expedia and Wotif compete not only with other OTAs, but with other forms of online distribution including the accommodation providers’ own website</w:t>
      </w:r>
      <w:r w:rsidR="000F7B57">
        <w:t>s</w:t>
      </w:r>
      <w:r>
        <w:t xml:space="preserve"> and destination websites.</w:t>
      </w:r>
      <w:r w:rsidR="0045734A">
        <w:t xml:space="preserve"> </w:t>
      </w:r>
      <w:r w:rsidR="00134CA5">
        <w:t xml:space="preserve">The proportion of bookings made through each channel varies between accommodation providers, with OTAs generating one third to over half of the bookings received by an accommodation provider. </w:t>
      </w:r>
      <w:r>
        <w:t>Th</w:t>
      </w:r>
      <w:r w:rsidR="008C28F5">
        <w:t>e extent to which these channel</w:t>
      </w:r>
      <w:r>
        <w:t>s constrain OTAs is discussed further in the competition assessment.</w:t>
      </w:r>
    </w:p>
    <w:p w:rsidR="00906471" w:rsidRDefault="00906471" w:rsidP="00A815A3">
      <w:pPr>
        <w:pStyle w:val="NormalParagraph"/>
        <w:tabs>
          <w:tab w:val="clear" w:pos="928"/>
          <w:tab w:val="left" w:pos="567"/>
        </w:tabs>
      </w:pPr>
      <w:r>
        <w:t>The ACCC also considered</w:t>
      </w:r>
      <w:r w:rsidR="00740334">
        <w:t xml:space="preserve"> the role of metasearch sites. </w:t>
      </w:r>
      <w:r>
        <w:t>The ACCC found that metasearch sites increasingly compete with OTAs for consumer eyeballs</w:t>
      </w:r>
      <w:r w:rsidR="0089584A">
        <w:t>. M</w:t>
      </w:r>
      <w:r>
        <w:t xml:space="preserve">etasearch websites do not </w:t>
      </w:r>
      <w:r w:rsidR="00D45583">
        <w:t xml:space="preserve">currently </w:t>
      </w:r>
      <w:r>
        <w:t xml:space="preserve">provide a booking function in their own </w:t>
      </w:r>
      <w:r>
        <w:lastRenderedPageBreak/>
        <w:t xml:space="preserve">right, but </w:t>
      </w:r>
      <w:r w:rsidR="00A44C81">
        <w:t>connect</w:t>
      </w:r>
      <w:r>
        <w:t xml:space="preserve"> consumers to an OTA or other site to</w:t>
      </w:r>
      <w:r w:rsidR="00A44C81">
        <w:t xml:space="preserve"> complete a </w:t>
      </w:r>
      <w:r>
        <w:t>book</w:t>
      </w:r>
      <w:r w:rsidR="00A44C81">
        <w:t>ing</w:t>
      </w:r>
      <w:r>
        <w:t xml:space="preserve">. Accordingly, the ACCC did not consider metasearch sites to be in the same market as OTAs. However, as discussed further below, the ACCC considered metasearch sites to be important to the competitive dynamic in the market for online distribution/booking of Australian accommodation as they provide an </w:t>
      </w:r>
      <w:r w:rsidR="009D4296">
        <w:t xml:space="preserve">expanding </w:t>
      </w:r>
      <w:r>
        <w:t>avenue for accommodation providers to bypass OTAs and transact directly with consumers.</w:t>
      </w:r>
    </w:p>
    <w:p w:rsidR="009A0A9B" w:rsidRPr="003D12D0" w:rsidRDefault="009A0A9B" w:rsidP="003347A1">
      <w:pPr>
        <w:pStyle w:val="Heading4"/>
      </w:pPr>
      <w:r w:rsidRPr="003D12D0">
        <w:t>Geographic</w:t>
      </w:r>
      <w:r w:rsidR="002E1BF0" w:rsidRPr="003D12D0">
        <w:t xml:space="preserve"> scope of the</w:t>
      </w:r>
      <w:r w:rsidRPr="003D12D0">
        <w:t xml:space="preserve"> market </w:t>
      </w:r>
    </w:p>
    <w:p w:rsidR="00BB614A" w:rsidRDefault="00DD642D" w:rsidP="00940861">
      <w:pPr>
        <w:pStyle w:val="NormalParagraph"/>
        <w:tabs>
          <w:tab w:val="clear" w:pos="928"/>
          <w:tab w:val="num" w:pos="567"/>
        </w:tabs>
      </w:pPr>
      <w:r w:rsidRPr="003D12D0">
        <w:t>The ACCC defined the geographic s</w:t>
      </w:r>
      <w:r w:rsidR="00BB614A">
        <w:t>cope of the market to be the distribution/booking of Australian accommodation</w:t>
      </w:r>
      <w:r w:rsidR="009D4296">
        <w:t xml:space="preserve">, </w:t>
      </w:r>
      <w:r w:rsidR="00BB614A">
        <w:t>encompassing bookings made by Australian residents and inbound bookings from overseas residents.</w:t>
      </w:r>
    </w:p>
    <w:p w:rsidR="00415883" w:rsidRPr="003D12D0" w:rsidRDefault="00415883" w:rsidP="00B56268">
      <w:pPr>
        <w:pStyle w:val="Heading3"/>
      </w:pPr>
      <w:r w:rsidRPr="003D12D0">
        <w:t xml:space="preserve">Competition Assessment </w:t>
      </w:r>
    </w:p>
    <w:p w:rsidR="00071A1E" w:rsidRPr="003D12D0" w:rsidRDefault="002D0637" w:rsidP="00C2085B">
      <w:pPr>
        <w:pStyle w:val="NormalParagraph"/>
        <w:tabs>
          <w:tab w:val="clear" w:pos="928"/>
          <w:tab w:val="num" w:pos="567"/>
        </w:tabs>
      </w:pPr>
      <w:r>
        <w:t>T</w:t>
      </w:r>
      <w:r w:rsidR="00C2085B">
        <w:t>he ACCC</w:t>
      </w:r>
      <w:r w:rsidR="00E83608">
        <w:t>’s preliminary concerns outlined in the Statement of Issues were</w:t>
      </w:r>
      <w:r w:rsidR="00C2085B">
        <w:t xml:space="preserve"> that the proposed acquisition</w:t>
      </w:r>
      <w:r>
        <w:t xml:space="preserve"> may have the potential to substantially lessen competition </w:t>
      </w:r>
      <w:r w:rsidR="001C0BAE">
        <w:t xml:space="preserve">in the market for online distribution/booking of </w:t>
      </w:r>
      <w:r w:rsidR="00E83608">
        <w:t xml:space="preserve">Australian </w:t>
      </w:r>
      <w:r w:rsidR="001C0BAE">
        <w:t xml:space="preserve">accommodation </w:t>
      </w:r>
      <w:r w:rsidR="0028687B">
        <w:t>and</w:t>
      </w:r>
      <w:r>
        <w:t xml:space="preserve"> may result in an increase in commission rates charged by OTAs to accommodation providers.</w:t>
      </w:r>
    </w:p>
    <w:p w:rsidR="00071A1E" w:rsidRPr="003D12D0" w:rsidRDefault="00071A1E" w:rsidP="00FF2330">
      <w:pPr>
        <w:pStyle w:val="Heading4"/>
      </w:pPr>
      <w:r w:rsidRPr="003D12D0">
        <w:t xml:space="preserve">Competitive significance of </w:t>
      </w:r>
      <w:r w:rsidR="000A7F00">
        <w:t>Wotif</w:t>
      </w:r>
    </w:p>
    <w:p w:rsidR="00AD4F8C" w:rsidRDefault="00676FB1" w:rsidP="00324E35">
      <w:pPr>
        <w:pStyle w:val="NormalParagraph"/>
        <w:tabs>
          <w:tab w:val="clear" w:pos="928"/>
          <w:tab w:val="num" w:pos="567"/>
        </w:tabs>
      </w:pPr>
      <w:r>
        <w:t>A significant number of industry participants</w:t>
      </w:r>
      <w:r w:rsidR="00122613">
        <w:t>, particularly smaller accommodation providers,</w:t>
      </w:r>
      <w:r>
        <w:t xml:space="preserve"> identified Wotif as a vigorous and effective competitor for the distribution/booking of Australian accommodation, having regard to the </w:t>
      </w:r>
      <w:r w:rsidR="002D0637">
        <w:t>volume of bookings generated by Wotif</w:t>
      </w:r>
      <w:r w:rsidR="00AD4F8C">
        <w:t xml:space="preserve"> (</w:t>
      </w:r>
      <w:r w:rsidR="00613B76">
        <w:t>for some accommodation providers</w:t>
      </w:r>
      <w:r w:rsidR="00AD4F8C">
        <w:t xml:space="preserve"> more than half of all bookings received via OTAs</w:t>
      </w:r>
      <w:r w:rsidR="00740334">
        <w:t xml:space="preserve"> are</w:t>
      </w:r>
      <w:r w:rsidR="00613B76">
        <w:t xml:space="preserve"> from Wotif</w:t>
      </w:r>
      <w:r w:rsidR="00AD4F8C">
        <w:t>)</w:t>
      </w:r>
      <w:r w:rsidR="002D0637">
        <w:t xml:space="preserve"> and its lower rates of commission compared to the other </w:t>
      </w:r>
      <w:r w:rsidR="00AD4F8C">
        <w:t xml:space="preserve">two </w:t>
      </w:r>
      <w:r w:rsidR="002D0637">
        <w:t>major OTAs</w:t>
      </w:r>
      <w:r w:rsidR="008C28F5">
        <w:t xml:space="preserve"> in Australia</w:t>
      </w:r>
      <w:r w:rsidR="002D0637">
        <w:t xml:space="preserve">, Expedia and Booking.com. </w:t>
      </w:r>
    </w:p>
    <w:p w:rsidR="006A3170" w:rsidRDefault="00122613" w:rsidP="00324E35">
      <w:pPr>
        <w:pStyle w:val="NormalParagraph"/>
        <w:tabs>
          <w:tab w:val="clear" w:pos="928"/>
          <w:tab w:val="num" w:pos="567"/>
        </w:tabs>
      </w:pPr>
      <w:r>
        <w:t>Other OTAs, including Orbitz Worldwide, Webjet, Quickbeds, Hooroo and Helloworld have significantly smaller shares of bookings than the top three</w:t>
      </w:r>
      <w:r w:rsidR="00AD4F8C">
        <w:t xml:space="preserve"> and were not generally identified by accommodation providers as a significant source of bookings. </w:t>
      </w:r>
    </w:p>
    <w:p w:rsidR="00C67875" w:rsidRDefault="00C67875" w:rsidP="00C67875">
      <w:pPr>
        <w:pStyle w:val="NormalParagraph"/>
        <w:tabs>
          <w:tab w:val="clear" w:pos="928"/>
          <w:tab w:val="num" w:pos="567"/>
        </w:tabs>
      </w:pPr>
      <w:r>
        <w:t>Wotif’s competitive strength appears to be based primarily on:</w:t>
      </w:r>
    </w:p>
    <w:p w:rsidR="006A3170" w:rsidRDefault="006A3170" w:rsidP="00670880">
      <w:pPr>
        <w:pStyle w:val="NormalParagraph"/>
        <w:numPr>
          <w:ilvl w:val="0"/>
          <w:numId w:val="11"/>
        </w:numPr>
        <w:ind w:left="1134"/>
      </w:pPr>
      <w:r>
        <w:t xml:space="preserve">its brand awareness: Wotif was the first major accommodation OTA in Australia and continues to enjoy strong brand recognition </w:t>
      </w:r>
      <w:r w:rsidR="00613B76">
        <w:t>in Australia</w:t>
      </w:r>
      <w:r>
        <w:t>;</w:t>
      </w:r>
    </w:p>
    <w:p w:rsidR="00C67875" w:rsidRDefault="00C67875" w:rsidP="00670880">
      <w:pPr>
        <w:pStyle w:val="NormalParagraph"/>
        <w:numPr>
          <w:ilvl w:val="0"/>
          <w:numId w:val="11"/>
        </w:numPr>
        <w:ind w:left="1134"/>
      </w:pPr>
      <w:r>
        <w:t>its wide range of inventory: Wotif has more Australian hotels listed than any other OTA</w:t>
      </w:r>
      <w:r w:rsidR="006A3170">
        <w:t>.</w:t>
      </w:r>
    </w:p>
    <w:p w:rsidR="00122613" w:rsidRDefault="00122613" w:rsidP="00122613">
      <w:pPr>
        <w:pStyle w:val="NormalParagraph"/>
        <w:tabs>
          <w:tab w:val="clear" w:pos="928"/>
          <w:tab w:val="num" w:pos="567"/>
        </w:tabs>
      </w:pPr>
      <w:r>
        <w:t>Industry participants</w:t>
      </w:r>
      <w:r w:rsidR="002D0637">
        <w:t xml:space="preserve"> noted that the base commission charged by Expedia and Booking.com </w:t>
      </w:r>
      <w:r w:rsidR="003229AA">
        <w:t>in Australia i</w:t>
      </w:r>
      <w:r w:rsidR="002D0637">
        <w:t xml:space="preserve">s less than they charge in other parts of the world, and considered that </w:t>
      </w:r>
      <w:r w:rsidR="0028687B">
        <w:t>it was</w:t>
      </w:r>
      <w:r w:rsidR="00C67875">
        <w:t xml:space="preserve"> the</w:t>
      </w:r>
      <w:r w:rsidR="002D0637">
        <w:t xml:space="preserve"> </w:t>
      </w:r>
      <w:r w:rsidR="00C67875">
        <w:t>presence of</w:t>
      </w:r>
      <w:r w:rsidR="002D0637">
        <w:t xml:space="preserve"> Wotif</w:t>
      </w:r>
      <w:r w:rsidR="0028687B">
        <w:t xml:space="preserve"> that</w:t>
      </w:r>
      <w:r w:rsidR="002D0637">
        <w:t xml:space="preserve"> </w:t>
      </w:r>
      <w:r w:rsidR="00683D1C">
        <w:t xml:space="preserve">constrained </w:t>
      </w:r>
      <w:r w:rsidR="003229AA">
        <w:t>Expedia and Booking.com</w:t>
      </w:r>
      <w:r w:rsidR="00683D1C">
        <w:t xml:space="preserve"> from increasing commission</w:t>
      </w:r>
      <w:r>
        <w:t>s</w:t>
      </w:r>
      <w:r w:rsidR="00683D1C">
        <w:t>.</w:t>
      </w:r>
      <w:r w:rsidR="0028687B">
        <w:t xml:space="preserve"> </w:t>
      </w:r>
      <w:r w:rsidR="003D5BE7">
        <w:t xml:space="preserve">Some industry participants raised concerns that the </w:t>
      </w:r>
      <w:r w:rsidR="003229AA">
        <w:t>acquisition of</w:t>
      </w:r>
      <w:r w:rsidR="003D5BE7">
        <w:t xml:space="preserve"> Wotif would result in Expedia increasing commission rates to accommodation providers. </w:t>
      </w:r>
    </w:p>
    <w:p w:rsidR="00637DCC" w:rsidRDefault="00C60E03" w:rsidP="00637DCC">
      <w:pPr>
        <w:pStyle w:val="NormalParagraph"/>
        <w:tabs>
          <w:tab w:val="clear" w:pos="928"/>
          <w:tab w:val="num" w:pos="567"/>
        </w:tabs>
      </w:pPr>
      <w:r>
        <w:t>A</w:t>
      </w:r>
      <w:r w:rsidR="00637DCC" w:rsidRPr="00B6476D">
        <w:t xml:space="preserve">lthough Wotif </w:t>
      </w:r>
      <w:r w:rsidR="003229AA">
        <w:t>i</w:t>
      </w:r>
      <w:r w:rsidR="00637DCC">
        <w:t>s</w:t>
      </w:r>
      <w:r w:rsidR="00637DCC" w:rsidRPr="00B6476D">
        <w:t xml:space="preserve"> one of the three major competitors in the market</w:t>
      </w:r>
      <w:r w:rsidR="00637DCC">
        <w:t xml:space="preserve"> and an important source </w:t>
      </w:r>
      <w:r w:rsidR="003229AA">
        <w:t>of</w:t>
      </w:r>
      <w:r w:rsidR="00637DCC">
        <w:t xml:space="preserve"> bookings for many accommodation providers</w:t>
      </w:r>
      <w:r w:rsidR="00637DCC" w:rsidRPr="00B6476D">
        <w:t xml:space="preserve">, </w:t>
      </w:r>
      <w:r w:rsidR="00EC4D6E">
        <w:t xml:space="preserve">the ACCC’s inquiries indicate that </w:t>
      </w:r>
      <w:r w:rsidR="00637DCC" w:rsidRPr="00B6476D">
        <w:t xml:space="preserve">it </w:t>
      </w:r>
      <w:r w:rsidR="00637DCC">
        <w:t>ha</w:t>
      </w:r>
      <w:r w:rsidR="003229AA">
        <w:t>s</w:t>
      </w:r>
      <w:r w:rsidR="00637DCC">
        <w:t xml:space="preserve"> lost its position as the</w:t>
      </w:r>
      <w:r w:rsidR="00637DCC" w:rsidRPr="00B6476D">
        <w:t xml:space="preserve"> </w:t>
      </w:r>
      <w:r>
        <w:t>leading</w:t>
      </w:r>
      <w:r w:rsidR="00637DCC" w:rsidRPr="00B6476D">
        <w:t xml:space="preserve"> </w:t>
      </w:r>
      <w:r w:rsidR="001C6178">
        <w:t xml:space="preserve">OTA </w:t>
      </w:r>
      <w:r w:rsidR="00637DCC" w:rsidRPr="00B6476D">
        <w:t xml:space="preserve">in the </w:t>
      </w:r>
      <w:r w:rsidR="001C6178">
        <w:t xml:space="preserve">Australian </w:t>
      </w:r>
      <w:r w:rsidR="00637DCC" w:rsidRPr="00B6476D">
        <w:t>market</w:t>
      </w:r>
      <w:r w:rsidR="003229AA">
        <w:t>. S</w:t>
      </w:r>
      <w:r w:rsidR="009D1FB4">
        <w:t xml:space="preserve">ome market participants questioned its ability to remain competitive </w:t>
      </w:r>
      <w:r w:rsidR="009D1FB4">
        <w:lastRenderedPageBreak/>
        <w:t>with Expedia</w:t>
      </w:r>
      <w:r w:rsidR="003229AA">
        <w:t xml:space="preserve">, </w:t>
      </w:r>
      <w:r w:rsidR="009D1FB4">
        <w:t>Booking.com</w:t>
      </w:r>
      <w:r w:rsidR="003229AA">
        <w:t xml:space="preserve">, </w:t>
      </w:r>
      <w:r w:rsidR="00EE186E">
        <w:t xml:space="preserve">newer </w:t>
      </w:r>
      <w:r w:rsidR="00DE0062">
        <w:t>OTA</w:t>
      </w:r>
      <w:r w:rsidR="00945497">
        <w:t>s</w:t>
      </w:r>
      <w:r w:rsidR="00DE0062">
        <w:t xml:space="preserve"> and </w:t>
      </w:r>
      <w:r w:rsidR="003229AA">
        <w:t xml:space="preserve">new </w:t>
      </w:r>
      <w:r w:rsidR="00EE186E">
        <w:t>business models</w:t>
      </w:r>
      <w:r w:rsidR="009D1FB4">
        <w:t xml:space="preserve"> in the future without the acquisition</w:t>
      </w:r>
      <w:r w:rsidR="00637DCC">
        <w:t>.</w:t>
      </w:r>
    </w:p>
    <w:p w:rsidR="00337397" w:rsidRDefault="00337397" w:rsidP="00AD4F8C">
      <w:pPr>
        <w:pStyle w:val="NormalParagraph"/>
        <w:tabs>
          <w:tab w:val="clear" w:pos="928"/>
          <w:tab w:val="num" w:pos="567"/>
        </w:tabs>
      </w:pPr>
      <w:r>
        <w:t>W</w:t>
      </w:r>
      <w:r w:rsidR="00804998">
        <w:t xml:space="preserve">otif has experienced a decline </w:t>
      </w:r>
      <w:r w:rsidR="00914D1C">
        <w:t>in its</w:t>
      </w:r>
      <w:r w:rsidR="00804998">
        <w:t xml:space="preserve"> </w:t>
      </w:r>
      <w:r>
        <w:t xml:space="preserve">market share </w:t>
      </w:r>
      <w:r w:rsidR="00CB797F">
        <w:t xml:space="preserve">of Australian accommodation bookings </w:t>
      </w:r>
      <w:r w:rsidR="00804998">
        <w:t>since 2011, a period that has seen Booking.com experience significant growth</w:t>
      </w:r>
      <w:r w:rsidR="00914D1C">
        <w:t xml:space="preserve">. </w:t>
      </w:r>
      <w:r w:rsidR="00B54D68">
        <w:t>Th</w:t>
      </w:r>
      <w:r w:rsidR="007741C3">
        <w:t>is decline is</w:t>
      </w:r>
      <w:r w:rsidR="00B54D68">
        <w:t xml:space="preserve"> attributed to the lack of</w:t>
      </w:r>
      <w:r w:rsidR="00DB148F">
        <w:t xml:space="preserve"> </w:t>
      </w:r>
      <w:r w:rsidR="001C0BAE">
        <w:t>ongoing investment in</w:t>
      </w:r>
      <w:r w:rsidR="00B54D68">
        <w:t xml:space="preserve"> Wotif’s</w:t>
      </w:r>
      <w:r w:rsidR="007741C3">
        <w:t xml:space="preserve"> online</w:t>
      </w:r>
      <w:r w:rsidR="00B54D68">
        <w:t xml:space="preserve"> platform</w:t>
      </w:r>
      <w:r w:rsidR="007741C3">
        <w:t>,</w:t>
      </w:r>
      <w:r w:rsidR="00B54D68">
        <w:t xml:space="preserve"> </w:t>
      </w:r>
      <w:r w:rsidR="009D0D98">
        <w:t>its</w:t>
      </w:r>
      <w:r w:rsidR="00B54D68">
        <w:t xml:space="preserve"> booking fee</w:t>
      </w:r>
      <w:r w:rsidR="007741C3">
        <w:t xml:space="preserve"> levied to consumers</w:t>
      </w:r>
      <w:r w:rsidR="00B54D68">
        <w:t xml:space="preserve"> </w:t>
      </w:r>
      <w:r w:rsidR="007741C3">
        <w:t>(</w:t>
      </w:r>
      <w:r w:rsidR="00B54D68">
        <w:t>which p</w:t>
      </w:r>
      <w:r w:rsidR="007741C3">
        <w:t>ut</w:t>
      </w:r>
      <w:r w:rsidR="00B54D68">
        <w:t xml:space="preserve">s it at a competitive disadvantage to </w:t>
      </w:r>
      <w:r w:rsidR="00A06815">
        <w:t>its competitors</w:t>
      </w:r>
      <w:r w:rsidR="00B54D68">
        <w:t xml:space="preserve"> who do not</w:t>
      </w:r>
      <w:r w:rsidR="001C0BAE">
        <w:t xml:space="preserve"> charge a booking fee</w:t>
      </w:r>
      <w:r w:rsidR="007741C3">
        <w:t>) and</w:t>
      </w:r>
      <w:r w:rsidR="00C67875">
        <w:t xml:space="preserve"> its failure to match the advertising </w:t>
      </w:r>
      <w:r w:rsidR="009D0D98">
        <w:t>spend</w:t>
      </w:r>
      <w:r w:rsidR="00C67875">
        <w:t xml:space="preserve"> of its</w:t>
      </w:r>
      <w:r w:rsidR="005D47FC">
        <w:t xml:space="preserve"> key</w:t>
      </w:r>
      <w:r w:rsidR="00C67875">
        <w:t xml:space="preserve"> competitors, especially for key search terms on Google AdWords</w:t>
      </w:r>
      <w:r w:rsidR="009D0D98">
        <w:t>.</w:t>
      </w:r>
      <w:r w:rsidR="00B54D68">
        <w:t xml:space="preserve"> </w:t>
      </w:r>
    </w:p>
    <w:p w:rsidR="00BD0C07" w:rsidRDefault="00BD0C07" w:rsidP="00A815A3">
      <w:pPr>
        <w:pStyle w:val="NormalParagraph"/>
        <w:tabs>
          <w:tab w:val="clear" w:pos="928"/>
          <w:tab w:val="left" w:pos="567"/>
        </w:tabs>
        <w:rPr>
          <w:color w:val="000000"/>
        </w:rPr>
      </w:pPr>
      <w:r>
        <w:rPr>
          <w:color w:val="000000"/>
        </w:rPr>
        <w:t xml:space="preserve">Booking.com has </w:t>
      </w:r>
      <w:r w:rsidRPr="00781F53">
        <w:t>experienced</w:t>
      </w:r>
      <w:r>
        <w:rPr>
          <w:color w:val="000000"/>
        </w:rPr>
        <w:t xml:space="preserve"> very strong growth in Australia, particularly over the past two years. Booking.com is now, by most measures, the largest OTA in Australia and has increased its hotel inventory to a level that gives it </w:t>
      </w:r>
      <w:r w:rsidR="00CB797F">
        <w:rPr>
          <w:color w:val="000000"/>
        </w:rPr>
        <w:t xml:space="preserve">comparable (although still lower) </w:t>
      </w:r>
      <w:r>
        <w:rPr>
          <w:color w:val="000000"/>
        </w:rPr>
        <w:t xml:space="preserve">coverage to Wotif. The ACCC understands that Booking.com is continuing to sign more accommodation providers in regional areas, which has traditionally been Wotif’s competitive strength.  </w:t>
      </w:r>
    </w:p>
    <w:p w:rsidR="00BD0C07" w:rsidRDefault="00BD0C07" w:rsidP="00A815A3">
      <w:pPr>
        <w:pStyle w:val="NormalParagraph"/>
        <w:tabs>
          <w:tab w:val="clear" w:pos="928"/>
          <w:tab w:val="left" w:pos="567"/>
        </w:tabs>
        <w:rPr>
          <w:color w:val="000000"/>
        </w:rPr>
      </w:pPr>
      <w:r>
        <w:rPr>
          <w:color w:val="000000"/>
        </w:rPr>
        <w:t xml:space="preserve">The ACCC understands that Booking.com has leveraged its recognition among Australian consumers who travel overseas to build its profile for domestic accommodation bookings by Australian consumers. The ACCC notes that other major overseas OTAs may be in a similar position to expand </w:t>
      </w:r>
      <w:r w:rsidR="008B49BB">
        <w:rPr>
          <w:color w:val="000000"/>
        </w:rPr>
        <w:t xml:space="preserve">their presence </w:t>
      </w:r>
      <w:r>
        <w:rPr>
          <w:color w:val="000000"/>
        </w:rPr>
        <w:t xml:space="preserve">in the Australian market as Booking.com </w:t>
      </w:r>
      <w:r w:rsidR="00EC4D6E">
        <w:rPr>
          <w:color w:val="000000"/>
        </w:rPr>
        <w:t>did</w:t>
      </w:r>
      <w:r>
        <w:rPr>
          <w:color w:val="000000"/>
        </w:rPr>
        <w:t>, particularly if there were a price incentive post-acquisition.</w:t>
      </w:r>
    </w:p>
    <w:p w:rsidR="007741C3" w:rsidRDefault="00337397" w:rsidP="00A815A3">
      <w:pPr>
        <w:pStyle w:val="NormalParagraph"/>
        <w:tabs>
          <w:tab w:val="clear" w:pos="928"/>
          <w:tab w:val="left" w:pos="567"/>
        </w:tabs>
      </w:pPr>
      <w:r>
        <w:t>A</w:t>
      </w:r>
      <w:r w:rsidR="00A06815">
        <w:t xml:space="preserve">s a result of Wotif’s declining market share, </w:t>
      </w:r>
      <w:r w:rsidR="007741C3">
        <w:t>many industry participants considered</w:t>
      </w:r>
      <w:r>
        <w:t xml:space="preserve"> that without the acquisition </w:t>
      </w:r>
      <w:r w:rsidR="00C67875">
        <w:t xml:space="preserve">Wotif would need to remove </w:t>
      </w:r>
      <w:r w:rsidR="005D47FC">
        <w:t xml:space="preserve">its </w:t>
      </w:r>
      <w:r w:rsidR="00C67875">
        <w:t>booking fee,</w:t>
      </w:r>
      <w:r w:rsidR="007741C3">
        <w:t xml:space="preserve"> invest in</w:t>
      </w:r>
      <w:r w:rsidR="009D0D98">
        <w:t xml:space="preserve"> modernising</w:t>
      </w:r>
      <w:r w:rsidR="007741C3">
        <w:t xml:space="preserve"> its booking platform and</w:t>
      </w:r>
      <w:r w:rsidR="00DB148F">
        <w:t xml:space="preserve"> increase its advertising spend to counteract the continued expansion of Booking.com</w:t>
      </w:r>
      <w:r w:rsidR="00A06815">
        <w:t>.</w:t>
      </w:r>
      <w:r w:rsidR="00DB148F">
        <w:t xml:space="preserve"> Although Wotif remains a</w:t>
      </w:r>
      <w:r w:rsidR="00C67875">
        <w:t xml:space="preserve"> profitable business, its performance </w:t>
      </w:r>
      <w:r w:rsidR="003D40F7" w:rsidRPr="00E778AD">
        <w:t>in terms of accommodation</w:t>
      </w:r>
      <w:r w:rsidR="00E778AD" w:rsidRPr="00E778AD">
        <w:t xml:space="preserve"> bookings</w:t>
      </w:r>
      <w:r w:rsidR="003D40F7">
        <w:t xml:space="preserve"> </w:t>
      </w:r>
      <w:r w:rsidR="00C67875">
        <w:t xml:space="preserve">has declined in recent years. For example, </w:t>
      </w:r>
      <w:r w:rsidR="00C67875">
        <w:rPr>
          <w:rFonts w:cs="Arial"/>
        </w:rPr>
        <w:t xml:space="preserve">The Wotif </w:t>
      </w:r>
      <w:r w:rsidR="00C67875" w:rsidRPr="0075573A">
        <w:rPr>
          <w:rFonts w:cs="Arial"/>
        </w:rPr>
        <w:t>Group’s number of room nights booked in Australia and New Zealand decreased by 9.4% in 2013-14</w:t>
      </w:r>
      <w:r w:rsidR="00C67875" w:rsidRPr="0075573A">
        <w:rPr>
          <w:rStyle w:val="FootnoteReference"/>
          <w:rFonts w:ascii="Arial" w:hAnsi="Arial" w:cs="Arial"/>
        </w:rPr>
        <w:footnoteReference w:id="7"/>
      </w:r>
      <w:r w:rsidR="00C67875" w:rsidRPr="0075573A">
        <w:rPr>
          <w:rFonts w:cs="Arial"/>
        </w:rPr>
        <w:t>,</w:t>
      </w:r>
      <w:r w:rsidR="00C67875">
        <w:rPr>
          <w:rFonts w:cs="Arial"/>
        </w:rPr>
        <w:t xml:space="preserve"> which Wotif considers is due to it being out-spent </w:t>
      </w:r>
      <w:r w:rsidR="00C56CCD">
        <w:rPr>
          <w:rFonts w:cs="Arial"/>
        </w:rPr>
        <w:t xml:space="preserve">on advertising </w:t>
      </w:r>
      <w:r w:rsidR="00C67875">
        <w:rPr>
          <w:rFonts w:cs="Arial"/>
        </w:rPr>
        <w:t>by its competitors</w:t>
      </w:r>
      <w:r w:rsidR="00DB148F">
        <w:t>.</w:t>
      </w:r>
      <w:r w:rsidR="00C67875">
        <w:t xml:space="preserve"> </w:t>
      </w:r>
    </w:p>
    <w:p w:rsidR="00C67875" w:rsidRDefault="00DB148F" w:rsidP="00A815A3">
      <w:pPr>
        <w:pStyle w:val="NormalParagraph"/>
        <w:tabs>
          <w:tab w:val="clear" w:pos="928"/>
          <w:tab w:val="left" w:pos="567"/>
        </w:tabs>
      </w:pPr>
      <w:r>
        <w:t xml:space="preserve">The ACCC notes that </w:t>
      </w:r>
      <w:r w:rsidR="007741C3">
        <w:t>Wotif has previously increased its commission rate</w:t>
      </w:r>
      <w:r w:rsidR="00C37993">
        <w:t xml:space="preserve"> to accommodation providers</w:t>
      </w:r>
      <w:r w:rsidR="007741C3">
        <w:t xml:space="preserve"> from 10% to 11% in 2013 and to 12% in 2014. </w:t>
      </w:r>
      <w:r w:rsidR="00C67875">
        <w:t>Many industry participants considered that</w:t>
      </w:r>
      <w:r w:rsidR="00774859">
        <w:t>,</w:t>
      </w:r>
      <w:r w:rsidR="00C67875">
        <w:t xml:space="preserve"> given the </w:t>
      </w:r>
      <w:r w:rsidR="001C0BAE">
        <w:t>investment</w:t>
      </w:r>
      <w:r w:rsidR="00C67875">
        <w:t xml:space="preserve"> Wotif </w:t>
      </w:r>
      <w:r w:rsidR="001C0BAE">
        <w:t xml:space="preserve">would need to </w:t>
      </w:r>
      <w:r w:rsidR="00774859">
        <w:t>m</w:t>
      </w:r>
      <w:r w:rsidR="001C0BAE">
        <w:t xml:space="preserve">ake </w:t>
      </w:r>
      <w:r w:rsidR="00C67875">
        <w:t>to arrest its declining performance</w:t>
      </w:r>
      <w:r w:rsidR="00774859">
        <w:t xml:space="preserve">, </w:t>
      </w:r>
      <w:r w:rsidR="00C67875">
        <w:t xml:space="preserve">it </w:t>
      </w:r>
      <w:r w:rsidR="00047D27">
        <w:t xml:space="preserve">was </w:t>
      </w:r>
      <w:r w:rsidR="004E25C1">
        <w:t>likely</w:t>
      </w:r>
      <w:r w:rsidR="00C67875">
        <w:t xml:space="preserve"> that Wotif would </w:t>
      </w:r>
      <w:r w:rsidR="001C0BAE">
        <w:t xml:space="preserve">further </w:t>
      </w:r>
      <w:r w:rsidR="00C67875">
        <w:t>increase its commission rates</w:t>
      </w:r>
      <w:r w:rsidR="00E82F88">
        <w:t xml:space="preserve"> </w:t>
      </w:r>
      <w:r w:rsidR="001C0BAE">
        <w:t xml:space="preserve">to accommodation providers </w:t>
      </w:r>
      <w:r w:rsidR="00E82F88">
        <w:t xml:space="preserve">at some point in the </w:t>
      </w:r>
      <w:r w:rsidR="005D47FC">
        <w:t>near</w:t>
      </w:r>
      <w:r w:rsidR="004E25C1">
        <w:t xml:space="preserve"> </w:t>
      </w:r>
      <w:r w:rsidR="00E82F88">
        <w:t>future</w:t>
      </w:r>
      <w:r w:rsidR="00774859">
        <w:t xml:space="preserve"> without the acquisition.</w:t>
      </w:r>
    </w:p>
    <w:p w:rsidR="007961D9" w:rsidRPr="007961D9" w:rsidRDefault="007961D9" w:rsidP="00A815A3">
      <w:pPr>
        <w:pStyle w:val="NormalParagraph"/>
        <w:tabs>
          <w:tab w:val="clear" w:pos="928"/>
          <w:tab w:val="left" w:pos="567"/>
        </w:tabs>
        <w:rPr>
          <w:color w:val="000000"/>
        </w:rPr>
      </w:pPr>
      <w:r>
        <w:rPr>
          <w:color w:val="000000"/>
        </w:rPr>
        <w:t xml:space="preserve">The ACCC notes that some industry participants raised concerns that the growth of Booking.com and the declining performance of Wotif would result in Booking.com becoming the dominant player in the market in the foreseeable future. These industry participants considered that the proposed acquisition may create a stronger competitor to Booking.com compared to the current market structure. </w:t>
      </w:r>
    </w:p>
    <w:p w:rsidR="00781F53" w:rsidRPr="00324E35" w:rsidRDefault="00781F53" w:rsidP="00FF2330">
      <w:pPr>
        <w:pStyle w:val="Heading4"/>
      </w:pPr>
      <w:r>
        <w:t>Dynamic nature of online accommodation booking industry</w:t>
      </w:r>
    </w:p>
    <w:p w:rsidR="00781F53" w:rsidRDefault="00781F53" w:rsidP="00B56268">
      <w:pPr>
        <w:pStyle w:val="NormalParagraph"/>
        <w:tabs>
          <w:tab w:val="clear" w:pos="928"/>
          <w:tab w:val="num" w:pos="567"/>
        </w:tabs>
      </w:pPr>
      <w:r>
        <w:t xml:space="preserve">As noted in the </w:t>
      </w:r>
      <w:r w:rsidR="002E332A">
        <w:rPr>
          <w:i/>
        </w:rPr>
        <w:t>Statement of Issues</w:t>
      </w:r>
      <w:r>
        <w:t>, there has been a substantial shift from bricks and mortar travel agents to online sales channels for the distribution and sale of accommodation.</w:t>
      </w:r>
    </w:p>
    <w:p w:rsidR="00781F53" w:rsidRDefault="00781F53" w:rsidP="00781F53">
      <w:pPr>
        <w:pStyle w:val="NormalParagraph"/>
        <w:tabs>
          <w:tab w:val="clear" w:pos="928"/>
          <w:tab w:val="num" w:pos="567"/>
        </w:tabs>
      </w:pPr>
      <w:r>
        <w:lastRenderedPageBreak/>
        <w:t xml:space="preserve">Market inquiries also confirmed that within the online market itself, the methods by which accommodation booking options are offered to consumers have </w:t>
      </w:r>
      <w:r w:rsidR="00755B21">
        <w:t>diversified</w:t>
      </w:r>
      <w:r>
        <w:t xml:space="preserve">. </w:t>
      </w:r>
      <w:r w:rsidR="00A01832">
        <w:t>E</w:t>
      </w:r>
      <w:r>
        <w:t xml:space="preserve">volution </w:t>
      </w:r>
      <w:r w:rsidR="00A01832">
        <w:t xml:space="preserve">in the market </w:t>
      </w:r>
      <w:r w:rsidR="00A252A9">
        <w:t xml:space="preserve">is illustrated by </w:t>
      </w:r>
      <w:r>
        <w:t xml:space="preserve">the emergence of </w:t>
      </w:r>
      <w:r w:rsidR="00755B21">
        <w:t xml:space="preserve">new </w:t>
      </w:r>
      <w:r>
        <w:t>OTAs</w:t>
      </w:r>
      <w:r w:rsidR="00755B21">
        <w:t xml:space="preserve">, </w:t>
      </w:r>
      <w:r>
        <w:t xml:space="preserve">metasearch/aggregator websites (such as TripAdvisor and Google Hotel Finder), </w:t>
      </w:r>
      <w:r w:rsidR="00FF6265">
        <w:t xml:space="preserve">new </w:t>
      </w:r>
      <w:r w:rsidR="0092477E">
        <w:t xml:space="preserve">business </w:t>
      </w:r>
      <w:r>
        <w:t>models such as AirBnB</w:t>
      </w:r>
      <w:r w:rsidR="00DD7F25">
        <w:t xml:space="preserve"> (an online distribution/booking platform which </w:t>
      </w:r>
      <w:r w:rsidR="00E778AD">
        <w:t>facilitates</w:t>
      </w:r>
      <w:r w:rsidR="00DD7F25">
        <w:t xml:space="preserve"> </w:t>
      </w:r>
      <w:r w:rsidR="00146609">
        <w:t>the letting of</w:t>
      </w:r>
      <w:r w:rsidR="00DD7F25">
        <w:t xml:space="preserve"> private accommodation</w:t>
      </w:r>
      <w:r w:rsidR="00E778AD">
        <w:t>, including individual rooms in private houses</w:t>
      </w:r>
      <w:r w:rsidR="00DD7F25">
        <w:t>)</w:t>
      </w:r>
      <w:r>
        <w:t xml:space="preserve">, and </w:t>
      </w:r>
      <w:r w:rsidR="00755B21">
        <w:t xml:space="preserve">web </w:t>
      </w:r>
      <w:r>
        <w:t xml:space="preserve">applications which respond to consumers’ increasing use of mobile devices to make bookings. </w:t>
      </w:r>
    </w:p>
    <w:p w:rsidR="00501C56" w:rsidRDefault="00501C56" w:rsidP="00501C56">
      <w:pPr>
        <w:pStyle w:val="NormalParagraph"/>
        <w:tabs>
          <w:tab w:val="clear" w:pos="928"/>
          <w:tab w:val="num" w:pos="567"/>
        </w:tabs>
        <w:rPr>
          <w:color w:val="000000"/>
        </w:rPr>
      </w:pPr>
      <w:r>
        <w:rPr>
          <w:color w:val="000000"/>
        </w:rPr>
        <w:t>Metasearch websites such as TripAdvisor originally provided the opportunity for travellers to read and review travel-related content</w:t>
      </w:r>
      <w:r w:rsidR="00755B21">
        <w:rPr>
          <w:color w:val="000000"/>
        </w:rPr>
        <w:t xml:space="preserve">. However, they </w:t>
      </w:r>
      <w:r>
        <w:rPr>
          <w:color w:val="000000"/>
        </w:rPr>
        <w:t xml:space="preserve">have since introduced features such as price comparisons for accommodation and </w:t>
      </w:r>
      <w:r w:rsidR="009B080C">
        <w:rPr>
          <w:color w:val="000000"/>
        </w:rPr>
        <w:t xml:space="preserve">links to </w:t>
      </w:r>
      <w:r>
        <w:rPr>
          <w:color w:val="000000"/>
        </w:rPr>
        <w:t>book</w:t>
      </w:r>
      <w:r w:rsidR="00ED5DFC">
        <w:rPr>
          <w:color w:val="000000"/>
        </w:rPr>
        <w:t xml:space="preserve"> directly</w:t>
      </w:r>
      <w:r>
        <w:rPr>
          <w:color w:val="000000"/>
        </w:rPr>
        <w:t xml:space="preserve"> </w:t>
      </w:r>
      <w:r w:rsidR="009B080C">
        <w:rPr>
          <w:color w:val="000000"/>
        </w:rPr>
        <w:t>with</w:t>
      </w:r>
      <w:r w:rsidR="000637FC">
        <w:rPr>
          <w:color w:val="000000"/>
        </w:rPr>
        <w:t xml:space="preserve"> an accommodation provider </w:t>
      </w:r>
      <w:r>
        <w:rPr>
          <w:color w:val="000000"/>
        </w:rPr>
        <w:t xml:space="preserve">that have seen </w:t>
      </w:r>
      <w:r w:rsidR="00AC4FC4">
        <w:rPr>
          <w:color w:val="000000"/>
        </w:rPr>
        <w:t xml:space="preserve">the </w:t>
      </w:r>
      <w:r>
        <w:rPr>
          <w:color w:val="000000"/>
        </w:rPr>
        <w:t xml:space="preserve">functionality </w:t>
      </w:r>
      <w:r w:rsidR="00AC4FC4">
        <w:rPr>
          <w:color w:val="000000"/>
        </w:rPr>
        <w:t xml:space="preserve">much </w:t>
      </w:r>
      <w:r>
        <w:rPr>
          <w:color w:val="000000"/>
        </w:rPr>
        <w:t xml:space="preserve">more closely resemble that of an OTA. Such websites capture consumers’ preferences for </w:t>
      </w:r>
      <w:r w:rsidR="00AC4FC4">
        <w:rPr>
          <w:color w:val="000000"/>
        </w:rPr>
        <w:t xml:space="preserve">combining </w:t>
      </w:r>
      <w:r>
        <w:rPr>
          <w:color w:val="000000"/>
        </w:rPr>
        <w:t xml:space="preserve">independent and comprehensive information about accommodation options and easy booking processes. As detailed below, these websites provide a substantial platform for OTAs and hotels to promote their offerings and </w:t>
      </w:r>
      <w:r w:rsidR="002565DF">
        <w:rPr>
          <w:color w:val="000000"/>
        </w:rPr>
        <w:t xml:space="preserve">are likely to </w:t>
      </w:r>
      <w:r>
        <w:rPr>
          <w:color w:val="000000"/>
        </w:rPr>
        <w:t>play a</w:t>
      </w:r>
      <w:r w:rsidR="002565DF">
        <w:rPr>
          <w:color w:val="000000"/>
        </w:rPr>
        <w:t>n</w:t>
      </w:r>
      <w:r>
        <w:rPr>
          <w:color w:val="000000"/>
        </w:rPr>
        <w:t xml:space="preserve"> </w:t>
      </w:r>
      <w:r w:rsidR="002565DF">
        <w:rPr>
          <w:color w:val="000000"/>
        </w:rPr>
        <w:t xml:space="preserve">increasingly important </w:t>
      </w:r>
      <w:r>
        <w:rPr>
          <w:color w:val="000000"/>
        </w:rPr>
        <w:t xml:space="preserve">role in the distribution of accommodation. </w:t>
      </w:r>
    </w:p>
    <w:p w:rsidR="00501C56" w:rsidRDefault="00501C56" w:rsidP="00501C56">
      <w:pPr>
        <w:pStyle w:val="NormalParagraph"/>
        <w:tabs>
          <w:tab w:val="clear" w:pos="928"/>
          <w:tab w:val="num" w:pos="567"/>
        </w:tabs>
        <w:rPr>
          <w:color w:val="000000"/>
        </w:rPr>
      </w:pPr>
      <w:r>
        <w:rPr>
          <w:color w:val="000000"/>
        </w:rPr>
        <w:t>Industry participants also considered that metasearch websites and OTAs are continually testing and introducing new services and products in order to attract consumers and accommodation owners to their websites. Recent examples include TripAdvisor’s Instant Bookings</w:t>
      </w:r>
      <w:r w:rsidR="002565DF">
        <w:rPr>
          <w:color w:val="000000"/>
        </w:rPr>
        <w:t xml:space="preserve"> (a mobile application which allows the consumer to complete a booking without leaving the TripAdvisor platform)</w:t>
      </w:r>
      <w:r w:rsidR="002565DF" w:rsidRPr="004E7C59">
        <w:rPr>
          <w:rStyle w:val="FootnoteReference"/>
          <w:rFonts w:ascii="Arial" w:hAnsi="Arial" w:cs="Arial"/>
          <w:color w:val="000000"/>
        </w:rPr>
        <w:footnoteReference w:id="8"/>
      </w:r>
      <w:r w:rsidRPr="004E7C59">
        <w:rPr>
          <w:rFonts w:cs="Arial"/>
          <w:color w:val="000000"/>
        </w:rPr>
        <w:t xml:space="preserve"> </w:t>
      </w:r>
      <w:r>
        <w:rPr>
          <w:color w:val="000000"/>
        </w:rPr>
        <w:t>and Business Listings products, Google Hote</w:t>
      </w:r>
      <w:r w:rsidRPr="00914D1C">
        <w:rPr>
          <w:color w:val="000000"/>
        </w:rPr>
        <w:t>l Finder</w:t>
      </w:r>
      <w:r w:rsidR="00781F82" w:rsidRPr="00914D1C">
        <w:rPr>
          <w:color w:val="000000"/>
        </w:rPr>
        <w:t xml:space="preserve"> (a map-based metasearch product)</w:t>
      </w:r>
      <w:r w:rsidRPr="00914D1C">
        <w:rPr>
          <w:color w:val="000000"/>
        </w:rPr>
        <w:t>, and</w:t>
      </w:r>
      <w:r>
        <w:rPr>
          <w:color w:val="000000"/>
        </w:rPr>
        <w:t xml:space="preserve"> TripAdvisor’s FlipKey, a website which specialises in the distribution of apartment/home rentals incorporating TripAdvisor reviews</w:t>
      </w:r>
      <w:r w:rsidR="007D0611">
        <w:rPr>
          <w:color w:val="000000"/>
        </w:rPr>
        <w:t>.</w:t>
      </w:r>
    </w:p>
    <w:p w:rsidR="00BD0C07" w:rsidRDefault="00BD0C07" w:rsidP="00A815A3">
      <w:pPr>
        <w:pStyle w:val="NormalParagraph"/>
        <w:tabs>
          <w:tab w:val="clear" w:pos="928"/>
          <w:tab w:val="left" w:pos="567"/>
        </w:tabs>
      </w:pPr>
      <w:r>
        <w:t xml:space="preserve">There has also been substantial change within the OTA </w:t>
      </w:r>
      <w:r w:rsidR="00A312D8">
        <w:t>industry.</w:t>
      </w:r>
      <w:r>
        <w:t xml:space="preserve"> Until recently in Australia, Wotif, and to a lesser extent Expedia, were market leaders in terms of accommodation booked through OTAs. As outlined at </w:t>
      </w:r>
      <w:r w:rsidRPr="000B06FB">
        <w:t xml:space="preserve">paragraphs </w:t>
      </w:r>
      <w:r w:rsidR="000931C8">
        <w:t>63</w:t>
      </w:r>
      <w:r w:rsidR="000B06FB" w:rsidRPr="000B06FB">
        <w:t>-6</w:t>
      </w:r>
      <w:r w:rsidR="000931C8">
        <w:t>5</w:t>
      </w:r>
      <w:r w:rsidRPr="000B06FB">
        <w:t>, this</w:t>
      </w:r>
      <w:r>
        <w:t xml:space="preserve"> has changed rapidly</w:t>
      </w:r>
      <w:r w:rsidR="009C6273">
        <w:t xml:space="preserve"> with the entry </w:t>
      </w:r>
      <w:r w:rsidR="000B06FB">
        <w:t xml:space="preserve">and expansion </w:t>
      </w:r>
      <w:r w:rsidR="009C6273">
        <w:t xml:space="preserve">of </w:t>
      </w:r>
      <w:r w:rsidR="002565DF">
        <w:t xml:space="preserve">Priceline Group through its </w:t>
      </w:r>
      <w:r w:rsidR="009C6273">
        <w:t>Booking.com</w:t>
      </w:r>
      <w:r w:rsidR="002565DF">
        <w:t xml:space="preserve"> and Agoda websites</w:t>
      </w:r>
      <w:r>
        <w:t xml:space="preserve">. </w:t>
      </w:r>
    </w:p>
    <w:p w:rsidR="00162D19" w:rsidRDefault="00162D19" w:rsidP="00781F53">
      <w:pPr>
        <w:pStyle w:val="NormalParagraph"/>
        <w:tabs>
          <w:tab w:val="clear" w:pos="928"/>
          <w:tab w:val="num" w:pos="567"/>
        </w:tabs>
      </w:pPr>
      <w:r>
        <w:t>In addition, in recent years a number of ‘channel managers’ have developed</w:t>
      </w:r>
      <w:r w:rsidR="00AC4FC4">
        <w:t xml:space="preserve"> systems</w:t>
      </w:r>
      <w:r>
        <w:t xml:space="preserve"> to facilitate connections between their booking systems and consumer-focused websites such as OTAs and TripAdvisor.</w:t>
      </w:r>
      <w:r w:rsidR="00DD7F25">
        <w:t xml:space="preserve"> Channel manager </w:t>
      </w:r>
      <w:r w:rsidR="00AC4FC4">
        <w:t>systems</w:t>
      </w:r>
      <w:r w:rsidR="00DD7F25">
        <w:t>, such as that offered by SiteMinder, allow accommodation providers to manage the distribution of their inventory across a range of distribution channel</w:t>
      </w:r>
      <w:r w:rsidR="00914D1C">
        <w:t>s</w:t>
      </w:r>
      <w:r w:rsidR="00DD7F25">
        <w:t xml:space="preserve">, including integration with the systems of leading OTAs and </w:t>
      </w:r>
      <w:r w:rsidR="00DD7F25" w:rsidRPr="000931C8">
        <w:rPr>
          <w:rFonts w:cs="Arial"/>
        </w:rPr>
        <w:t>aggregator sites.</w:t>
      </w:r>
      <w:r w:rsidR="008B7B5C" w:rsidRPr="000931C8">
        <w:rPr>
          <w:rStyle w:val="FootnoteReference"/>
          <w:rFonts w:ascii="Arial" w:hAnsi="Arial" w:cs="Arial"/>
        </w:rPr>
        <w:footnoteReference w:id="9"/>
      </w:r>
    </w:p>
    <w:p w:rsidR="00AC4FC4" w:rsidRDefault="00781F53" w:rsidP="00781F53">
      <w:pPr>
        <w:pStyle w:val="NormalParagraph"/>
        <w:tabs>
          <w:tab w:val="clear" w:pos="928"/>
          <w:tab w:val="num" w:pos="567"/>
        </w:tabs>
      </w:pPr>
      <w:r>
        <w:t xml:space="preserve">These developments </w:t>
      </w:r>
      <w:r w:rsidR="00413123">
        <w:t xml:space="preserve">indicate that there have been </w:t>
      </w:r>
      <w:r w:rsidR="00AC4FC4">
        <w:t xml:space="preserve">many innovative </w:t>
      </w:r>
      <w:r w:rsidR="00413123">
        <w:t xml:space="preserve">commercial </w:t>
      </w:r>
      <w:r>
        <w:t>respon</w:t>
      </w:r>
      <w:r w:rsidR="002716B3">
        <w:t xml:space="preserve">ses </w:t>
      </w:r>
      <w:r>
        <w:t xml:space="preserve">to consumer demand for </w:t>
      </w:r>
      <w:r w:rsidR="002565DF">
        <w:t xml:space="preserve">better online booking </w:t>
      </w:r>
      <w:r w:rsidR="00F35EE5">
        <w:t>facilities</w:t>
      </w:r>
      <w:r w:rsidR="002565DF">
        <w:t>, including</w:t>
      </w:r>
      <w:r w:rsidR="00AC4FC4">
        <w:t>, for example:</w:t>
      </w:r>
    </w:p>
    <w:p w:rsidR="00AC4FC4" w:rsidRDefault="00AC4FC4" w:rsidP="00670880">
      <w:pPr>
        <w:pStyle w:val="NormalParagraph"/>
        <w:numPr>
          <w:ilvl w:val="0"/>
          <w:numId w:val="11"/>
        </w:numPr>
        <w:ind w:left="1134"/>
      </w:pPr>
      <w:r>
        <w:t xml:space="preserve">combining the ability to </w:t>
      </w:r>
      <w:r w:rsidR="00603CB6">
        <w:t xml:space="preserve">personally </w:t>
      </w:r>
      <w:r w:rsidR="00781F53">
        <w:t>research travel options</w:t>
      </w:r>
      <w:r w:rsidR="00B26BA2">
        <w:t xml:space="preserve"> </w:t>
      </w:r>
      <w:r w:rsidR="00780661">
        <w:t xml:space="preserve">and </w:t>
      </w:r>
      <w:r>
        <w:t xml:space="preserve">easily make a booking; </w:t>
      </w:r>
      <w:r w:rsidR="000931C8">
        <w:t>and</w:t>
      </w:r>
    </w:p>
    <w:p w:rsidR="00781F53" w:rsidRDefault="00AC4FC4" w:rsidP="00670880">
      <w:pPr>
        <w:pStyle w:val="NormalParagraph"/>
        <w:numPr>
          <w:ilvl w:val="0"/>
          <w:numId w:val="11"/>
        </w:numPr>
        <w:ind w:left="1134"/>
      </w:pPr>
      <w:r>
        <w:t xml:space="preserve">the </w:t>
      </w:r>
      <w:r w:rsidR="000B4F87">
        <w:t xml:space="preserve">ability </w:t>
      </w:r>
      <w:r w:rsidR="00781F53">
        <w:t>to make bookings on a mobile or last-minute basis while the</w:t>
      </w:r>
      <w:r w:rsidR="000931C8">
        <w:t xml:space="preserve"> consu</w:t>
      </w:r>
      <w:r>
        <w:t>mer is</w:t>
      </w:r>
      <w:r w:rsidR="00781F53">
        <w:t xml:space="preserve"> travelling. </w:t>
      </w:r>
    </w:p>
    <w:p w:rsidR="00EF0491" w:rsidRDefault="00781F53" w:rsidP="00EF0491">
      <w:pPr>
        <w:pStyle w:val="NormalParagraph"/>
        <w:tabs>
          <w:tab w:val="clear" w:pos="928"/>
          <w:tab w:val="num" w:pos="567"/>
        </w:tabs>
      </w:pPr>
      <w:r>
        <w:lastRenderedPageBreak/>
        <w:t xml:space="preserve">The ACCC considered that the pace and breadth of the introduction of new methods for the online distribution of accommodation and the fact that new </w:t>
      </w:r>
      <w:r w:rsidRPr="0023024A">
        <w:rPr>
          <w:color w:val="000000"/>
        </w:rPr>
        <w:t>products</w:t>
      </w:r>
      <w:r>
        <w:t xml:space="preserve"> continue to be developed, strongly suggests that it is a dynamically competitive market.</w:t>
      </w:r>
      <w:r w:rsidR="00EF0491" w:rsidRPr="00EF0491">
        <w:t xml:space="preserve"> </w:t>
      </w:r>
      <w:r w:rsidR="00EF0491">
        <w:t xml:space="preserve">The ACCC’s market inquiries did not reveal any information to suggest that the proposed acquisition would be likely to impede the degree of dynamic change in the market. </w:t>
      </w:r>
    </w:p>
    <w:p w:rsidR="00071A1E" w:rsidRPr="003D12D0" w:rsidRDefault="00337397" w:rsidP="00FF2330">
      <w:pPr>
        <w:pStyle w:val="Heading4"/>
      </w:pPr>
      <w:r>
        <w:t xml:space="preserve">Competition from other </w:t>
      </w:r>
      <w:r w:rsidRPr="00FF2330">
        <w:t>o</w:t>
      </w:r>
      <w:r>
        <w:t>nline distribution channels</w:t>
      </w:r>
    </w:p>
    <w:p w:rsidR="00037BCC" w:rsidRDefault="00037BCC" w:rsidP="00037BCC">
      <w:pPr>
        <w:pStyle w:val="NormalParagraph"/>
        <w:tabs>
          <w:tab w:val="clear" w:pos="928"/>
          <w:tab w:val="num" w:pos="567"/>
        </w:tabs>
      </w:pPr>
      <w:r>
        <w:t>T</w:t>
      </w:r>
      <w:r w:rsidRPr="0093280C">
        <w:t xml:space="preserve">he ACCC considers that </w:t>
      </w:r>
      <w:r>
        <w:t xml:space="preserve">developments such as those outlined above </w:t>
      </w:r>
      <w:r w:rsidRPr="0093280C">
        <w:t>have expanded the range of options for hotels to distribute their accommodation inventory</w:t>
      </w:r>
      <w:r>
        <w:t>,</w:t>
      </w:r>
      <w:r w:rsidRPr="0093280C">
        <w:t xml:space="preserve"> either through booking intermediaries (such as OTAs) or their own websites. </w:t>
      </w:r>
    </w:p>
    <w:p w:rsidR="00037BCC" w:rsidRPr="00D11E5A" w:rsidRDefault="00D11E5A" w:rsidP="00D11E5A">
      <w:pPr>
        <w:pStyle w:val="NormalParagraph"/>
        <w:tabs>
          <w:tab w:val="clear" w:pos="928"/>
          <w:tab w:val="num" w:pos="567"/>
        </w:tabs>
        <w:rPr>
          <w:color w:val="000000"/>
        </w:rPr>
      </w:pPr>
      <w:r>
        <w:rPr>
          <w:color w:val="000000"/>
        </w:rPr>
        <w:t>On the flip-side of this two sided market</w:t>
      </w:r>
      <w:r w:rsidR="00037BCC">
        <w:rPr>
          <w:color w:val="000000"/>
        </w:rPr>
        <w:t>, t</w:t>
      </w:r>
      <w:r w:rsidR="00037BCC" w:rsidRPr="00264F96">
        <w:rPr>
          <w:color w:val="000000"/>
        </w:rPr>
        <w:t xml:space="preserve">he dynamic nature of competition </w:t>
      </w:r>
      <w:r w:rsidR="00037BCC">
        <w:rPr>
          <w:color w:val="000000"/>
        </w:rPr>
        <w:t xml:space="preserve">has </w:t>
      </w:r>
      <w:r>
        <w:rPr>
          <w:color w:val="000000"/>
        </w:rPr>
        <w:t xml:space="preserve">also </w:t>
      </w:r>
      <w:r w:rsidR="00037BCC" w:rsidRPr="00264F96">
        <w:rPr>
          <w:color w:val="000000"/>
        </w:rPr>
        <w:t xml:space="preserve">manifested in the emergence of a large range of options by which consumers can and do book accommodation online. </w:t>
      </w:r>
      <w:r w:rsidR="00037BCC" w:rsidRPr="00D11E5A">
        <w:rPr>
          <w:color w:val="000000"/>
        </w:rPr>
        <w:t xml:space="preserve">Market inquiries indicated that consumers research their options through </w:t>
      </w:r>
      <w:r w:rsidR="00780661" w:rsidRPr="00D11E5A">
        <w:rPr>
          <w:color w:val="000000"/>
        </w:rPr>
        <w:t xml:space="preserve">several </w:t>
      </w:r>
      <w:r w:rsidR="00037BCC" w:rsidRPr="00D11E5A">
        <w:rPr>
          <w:color w:val="000000"/>
        </w:rPr>
        <w:t>websites before ultimately making a booking. The majority of consumers commence their accommodation research with a Google search of generic terms largely based on a location (for example “Melbourne hotels”), then brows</w:t>
      </w:r>
      <w:r w:rsidR="00780661" w:rsidRPr="00D11E5A">
        <w:rPr>
          <w:color w:val="000000"/>
        </w:rPr>
        <w:t>e</w:t>
      </w:r>
      <w:r w:rsidR="00037BCC" w:rsidRPr="00D11E5A">
        <w:rPr>
          <w:color w:val="000000"/>
        </w:rPr>
        <w:t xml:space="preserve"> metasearch websites such as TripAdvisor, HotelsCombined and Google Hotel Finder, which display a range of booking options offered by multiple OTAs and accommodation providers. </w:t>
      </w:r>
    </w:p>
    <w:p w:rsidR="0074113D" w:rsidRPr="006A4874" w:rsidRDefault="0074113D" w:rsidP="00FF2330">
      <w:pPr>
        <w:pStyle w:val="Heading5"/>
      </w:pPr>
      <w:r>
        <w:t xml:space="preserve">Role of </w:t>
      </w:r>
      <w:r w:rsidRPr="006A4874">
        <w:t>Metasearch</w:t>
      </w:r>
      <w:r w:rsidR="00F732BC">
        <w:t xml:space="preserve"> websites</w:t>
      </w:r>
    </w:p>
    <w:p w:rsidR="0074113D" w:rsidRPr="008B2B1F" w:rsidRDefault="0074113D" w:rsidP="0023024A">
      <w:pPr>
        <w:pStyle w:val="NormalParagraph"/>
        <w:tabs>
          <w:tab w:val="clear" w:pos="928"/>
          <w:tab w:val="num" w:pos="567"/>
        </w:tabs>
        <w:rPr>
          <w:color w:val="000000"/>
        </w:rPr>
      </w:pPr>
      <w:r>
        <w:rPr>
          <w:color w:val="000000"/>
        </w:rPr>
        <w:t xml:space="preserve">The ACCC </w:t>
      </w:r>
      <w:r w:rsidR="00FB5C0D">
        <w:rPr>
          <w:color w:val="000000"/>
        </w:rPr>
        <w:t xml:space="preserve">found </w:t>
      </w:r>
      <w:r>
        <w:rPr>
          <w:color w:val="000000"/>
        </w:rPr>
        <w:t>that metasearch websites, particularly TripAdvisor and</w:t>
      </w:r>
      <w:r w:rsidR="00BB633F">
        <w:rPr>
          <w:color w:val="000000"/>
        </w:rPr>
        <w:t xml:space="preserve"> </w:t>
      </w:r>
      <w:r>
        <w:rPr>
          <w:color w:val="000000"/>
        </w:rPr>
        <w:t>Google Hotel</w:t>
      </w:r>
      <w:r w:rsidR="00990AFE">
        <w:rPr>
          <w:color w:val="000000"/>
        </w:rPr>
        <w:t xml:space="preserve"> </w:t>
      </w:r>
      <w:r>
        <w:rPr>
          <w:color w:val="000000"/>
        </w:rPr>
        <w:t>Finder</w:t>
      </w:r>
      <w:r w:rsidR="00D11E5A">
        <w:rPr>
          <w:color w:val="000000"/>
        </w:rPr>
        <w:t>,</w:t>
      </w:r>
      <w:r>
        <w:rPr>
          <w:color w:val="000000"/>
        </w:rPr>
        <w:t xml:space="preserve"> assist hotels to bypass OTAs and provide a meaningful platform for new entry or expansion </w:t>
      </w:r>
      <w:r w:rsidRPr="00186A20">
        <w:rPr>
          <w:color w:val="000000"/>
        </w:rPr>
        <w:t>by OTAs.</w:t>
      </w:r>
      <w:r>
        <w:rPr>
          <w:color w:val="000000"/>
        </w:rPr>
        <w:t xml:space="preserve"> </w:t>
      </w:r>
      <w:r w:rsidRPr="008B2B1F">
        <w:rPr>
          <w:color w:val="000000"/>
        </w:rPr>
        <w:t xml:space="preserve">For example, </w:t>
      </w:r>
      <w:r>
        <w:rPr>
          <w:color w:val="000000"/>
        </w:rPr>
        <w:t xml:space="preserve">independent </w:t>
      </w:r>
      <w:r w:rsidRPr="008B2B1F">
        <w:rPr>
          <w:color w:val="000000"/>
        </w:rPr>
        <w:t>acc</w:t>
      </w:r>
      <w:r>
        <w:rPr>
          <w:color w:val="000000"/>
        </w:rPr>
        <w:t>ommodation providers, through</w:t>
      </w:r>
      <w:r w:rsidRPr="008B2B1F">
        <w:rPr>
          <w:color w:val="000000"/>
        </w:rPr>
        <w:t xml:space="preserve"> </w:t>
      </w:r>
      <w:r>
        <w:rPr>
          <w:color w:val="000000"/>
        </w:rPr>
        <w:t>the subscription</w:t>
      </w:r>
      <w:r w:rsidRPr="00CF5D2E">
        <w:rPr>
          <w:color w:val="000000"/>
        </w:rPr>
        <w:t xml:space="preserve">-based TripAdvisor Business Listings service, can list their property on TripAdvisor, provide contact information (including a link to the provider’s website) and offer </w:t>
      </w:r>
      <w:r>
        <w:rPr>
          <w:color w:val="000000"/>
        </w:rPr>
        <w:t>specials (e.g. free breakfast) to consumers</w:t>
      </w:r>
      <w:r w:rsidRPr="00CF5D2E">
        <w:rPr>
          <w:color w:val="000000"/>
        </w:rPr>
        <w:t>. An accommodation</w:t>
      </w:r>
      <w:r>
        <w:rPr>
          <w:color w:val="000000"/>
        </w:rPr>
        <w:t xml:space="preserve"> provider with a TripAdvisor Business Listing also has the option to participate in the</w:t>
      </w:r>
      <w:r w:rsidR="00310CFD">
        <w:rPr>
          <w:color w:val="000000"/>
        </w:rPr>
        <w:t xml:space="preserve"> </w:t>
      </w:r>
      <w:r>
        <w:rPr>
          <w:color w:val="000000"/>
        </w:rPr>
        <w:t>TripConnect service</w:t>
      </w:r>
      <w:r w:rsidR="00C85448">
        <w:rPr>
          <w:color w:val="000000"/>
        </w:rPr>
        <w:t>. The TripConnect service</w:t>
      </w:r>
      <w:r>
        <w:rPr>
          <w:color w:val="000000"/>
        </w:rPr>
        <w:t xml:space="preserve"> allows independent accommodation providers to compete against OTAs for placement on the price comparison booking panel on TripAdvisor’s website, a function introduced in 2013. Prior to this, only OTAs and large hotel franchises were able to bid for placement in the booking panel on TripAdvisor’s website.   </w:t>
      </w:r>
    </w:p>
    <w:p w:rsidR="0074113D" w:rsidRDefault="0074113D" w:rsidP="0074113D">
      <w:pPr>
        <w:pStyle w:val="NormalParagraph"/>
        <w:tabs>
          <w:tab w:val="clear" w:pos="928"/>
          <w:tab w:val="num" w:pos="567"/>
        </w:tabs>
        <w:rPr>
          <w:color w:val="000000"/>
        </w:rPr>
      </w:pPr>
      <w:r>
        <w:rPr>
          <w:color w:val="000000"/>
        </w:rPr>
        <w:t xml:space="preserve">The ACCC considers that new developments by metasearch sites are increasing the ability of accommodation providers to reduce their reliance on </w:t>
      </w:r>
      <w:r w:rsidR="000312F5">
        <w:rPr>
          <w:color w:val="000000"/>
        </w:rPr>
        <w:t xml:space="preserve">the major </w:t>
      </w:r>
      <w:r>
        <w:rPr>
          <w:color w:val="000000"/>
        </w:rPr>
        <w:t>OTAs</w:t>
      </w:r>
      <w:r w:rsidR="000312F5">
        <w:rPr>
          <w:color w:val="000000"/>
        </w:rPr>
        <w:t>, as well as</w:t>
      </w:r>
      <w:r>
        <w:rPr>
          <w:color w:val="000000"/>
        </w:rPr>
        <w:t xml:space="preserve"> obtain a greater proportion of bookings directly through their own websites.</w:t>
      </w:r>
    </w:p>
    <w:p w:rsidR="00B01903" w:rsidRDefault="00557263" w:rsidP="0074113D">
      <w:pPr>
        <w:pStyle w:val="NormalParagraph"/>
        <w:tabs>
          <w:tab w:val="clear" w:pos="928"/>
          <w:tab w:val="num" w:pos="567"/>
        </w:tabs>
        <w:rPr>
          <w:color w:val="000000"/>
        </w:rPr>
      </w:pPr>
      <w:r>
        <w:rPr>
          <w:color w:val="000000"/>
        </w:rPr>
        <w:t xml:space="preserve">The growth in the popularity of metasearch websites </w:t>
      </w:r>
      <w:r w:rsidR="00B460BC">
        <w:rPr>
          <w:color w:val="000000"/>
        </w:rPr>
        <w:t xml:space="preserve">has </w:t>
      </w:r>
      <w:r w:rsidR="00374B7A">
        <w:rPr>
          <w:color w:val="000000"/>
        </w:rPr>
        <w:t xml:space="preserve">caused </w:t>
      </w:r>
      <w:r>
        <w:rPr>
          <w:color w:val="000000"/>
        </w:rPr>
        <w:t>a shift of</w:t>
      </w:r>
      <w:r w:rsidR="00B01903">
        <w:rPr>
          <w:color w:val="000000"/>
        </w:rPr>
        <w:t xml:space="preserve"> consumers from OTAs to these websites as their first point in searching for accommodation. This </w:t>
      </w:r>
      <w:r w:rsidR="00A745C8">
        <w:rPr>
          <w:color w:val="000000"/>
        </w:rPr>
        <w:t>appears to have</w:t>
      </w:r>
      <w:r w:rsidR="00B01903">
        <w:rPr>
          <w:color w:val="000000"/>
        </w:rPr>
        <w:t xml:space="preserve"> two effects:</w:t>
      </w:r>
    </w:p>
    <w:p w:rsidR="006439F9" w:rsidRDefault="00B01903" w:rsidP="00670880">
      <w:pPr>
        <w:pStyle w:val="NormalParagraph"/>
        <w:numPr>
          <w:ilvl w:val="0"/>
          <w:numId w:val="16"/>
        </w:numPr>
        <w:tabs>
          <w:tab w:val="left" w:pos="1134"/>
        </w:tabs>
        <w:ind w:left="1134" w:hanging="283"/>
        <w:rPr>
          <w:color w:val="000000"/>
        </w:rPr>
      </w:pPr>
      <w:r w:rsidRPr="006439F9">
        <w:rPr>
          <w:color w:val="000000"/>
        </w:rPr>
        <w:t>it provides a platform for the entry and expansion of lesser known OTAs</w:t>
      </w:r>
      <w:r w:rsidR="00650B7A">
        <w:rPr>
          <w:color w:val="000000"/>
        </w:rPr>
        <w:t xml:space="preserve"> by making it </w:t>
      </w:r>
      <w:r w:rsidR="00D11E5A">
        <w:rPr>
          <w:color w:val="000000"/>
        </w:rPr>
        <w:t xml:space="preserve">possible </w:t>
      </w:r>
      <w:r w:rsidR="00650B7A">
        <w:rPr>
          <w:color w:val="000000"/>
        </w:rPr>
        <w:t>for them to obtain bookings (via a metasearch site)</w:t>
      </w:r>
      <w:r w:rsidR="006439F9">
        <w:rPr>
          <w:color w:val="000000"/>
        </w:rPr>
        <w:t>; and</w:t>
      </w:r>
    </w:p>
    <w:p w:rsidR="00B01903" w:rsidRPr="006439F9" w:rsidRDefault="006439F9" w:rsidP="00670880">
      <w:pPr>
        <w:pStyle w:val="NormalParagraph"/>
        <w:numPr>
          <w:ilvl w:val="0"/>
          <w:numId w:val="16"/>
        </w:numPr>
        <w:tabs>
          <w:tab w:val="left" w:pos="1134"/>
        </w:tabs>
        <w:ind w:left="1134" w:hanging="283"/>
        <w:rPr>
          <w:color w:val="000000"/>
        </w:rPr>
      </w:pPr>
      <w:r>
        <w:rPr>
          <w:color w:val="000000"/>
        </w:rPr>
        <w:t xml:space="preserve">hotels are </w:t>
      </w:r>
      <w:r w:rsidR="00D45583">
        <w:rPr>
          <w:color w:val="000000"/>
        </w:rPr>
        <w:t xml:space="preserve">more </w:t>
      </w:r>
      <w:r>
        <w:rPr>
          <w:color w:val="000000"/>
        </w:rPr>
        <w:t>able to reduce their reliance on particular OTAs to access a potential customer base, whether through smaller OTAs or the ability to promote direct bookings</w:t>
      </w:r>
      <w:r w:rsidR="00650B7A">
        <w:rPr>
          <w:color w:val="000000"/>
        </w:rPr>
        <w:t>.</w:t>
      </w:r>
      <w:r>
        <w:rPr>
          <w:color w:val="000000"/>
        </w:rPr>
        <w:t xml:space="preserve"> </w:t>
      </w:r>
      <w:r w:rsidR="00B01903" w:rsidRPr="006439F9">
        <w:rPr>
          <w:color w:val="000000"/>
        </w:rPr>
        <w:t xml:space="preserve"> </w:t>
      </w:r>
    </w:p>
    <w:p w:rsidR="00601D61" w:rsidRDefault="00F61BCB" w:rsidP="00A815A3">
      <w:pPr>
        <w:pStyle w:val="NormalParagraph"/>
        <w:tabs>
          <w:tab w:val="clear" w:pos="928"/>
          <w:tab w:val="left" w:pos="567"/>
        </w:tabs>
      </w:pPr>
      <w:r>
        <w:lastRenderedPageBreak/>
        <w:t xml:space="preserve">Market inquiries indicate that </w:t>
      </w:r>
      <w:r w:rsidR="00601D61">
        <w:t>metasearch websites, in particular TripAdvisor and Google Hotel</w:t>
      </w:r>
      <w:r w:rsidR="00557263">
        <w:t xml:space="preserve"> </w:t>
      </w:r>
      <w:r w:rsidR="00601D61">
        <w:t xml:space="preserve">Finder, </w:t>
      </w:r>
      <w:r>
        <w:t>pose a significant competitive threat</w:t>
      </w:r>
      <w:r w:rsidR="00D45583">
        <w:t xml:space="preserve"> to OTAs</w:t>
      </w:r>
      <w:r>
        <w:t xml:space="preserve"> </w:t>
      </w:r>
      <w:r w:rsidR="0044633D">
        <w:t xml:space="preserve">because </w:t>
      </w:r>
      <w:r w:rsidR="00601D61">
        <w:t>the</w:t>
      </w:r>
      <w:r w:rsidR="0044633D">
        <w:t>se websites</w:t>
      </w:r>
      <w:r w:rsidR="00601D61">
        <w:t xml:space="preserve">: </w:t>
      </w:r>
    </w:p>
    <w:p w:rsidR="00B01903" w:rsidRDefault="009A7ED0" w:rsidP="00A815A3">
      <w:pPr>
        <w:pStyle w:val="NormalParagraph"/>
        <w:numPr>
          <w:ilvl w:val="0"/>
          <w:numId w:val="14"/>
        </w:numPr>
        <w:ind w:left="1134"/>
      </w:pPr>
      <w:r>
        <w:t xml:space="preserve">display </w:t>
      </w:r>
      <w:r w:rsidR="00601D61">
        <w:t xml:space="preserve">a larger number of hotels than any one OTA, </w:t>
      </w:r>
      <w:r w:rsidR="00945497">
        <w:t xml:space="preserve">have </w:t>
      </w:r>
      <w:r w:rsidR="00601D61">
        <w:t xml:space="preserve">the </w:t>
      </w:r>
      <w:r w:rsidR="00434BA3">
        <w:t xml:space="preserve">ability to display the </w:t>
      </w:r>
      <w:r w:rsidR="00601D61">
        <w:t xml:space="preserve">best available price for rooms </w:t>
      </w:r>
      <w:r w:rsidR="00434BA3">
        <w:t xml:space="preserve">to consumers, </w:t>
      </w:r>
      <w:r w:rsidR="00601D61">
        <w:t>and increasingly have similar booking functionality to an OTA;</w:t>
      </w:r>
      <w:r w:rsidR="00311434">
        <w:t xml:space="preserve"> and</w:t>
      </w:r>
    </w:p>
    <w:p w:rsidR="00B24587" w:rsidRDefault="00601D61" w:rsidP="00A815A3">
      <w:pPr>
        <w:pStyle w:val="NormalParagraph"/>
        <w:numPr>
          <w:ilvl w:val="0"/>
          <w:numId w:val="14"/>
        </w:numPr>
        <w:ind w:left="1134"/>
      </w:pPr>
      <w:r>
        <w:t xml:space="preserve">increasingly facilitate direct transactions between hotels and consumers with the introduction of new features </w:t>
      </w:r>
      <w:r w:rsidR="00781F82">
        <w:t>(</w:t>
      </w:r>
      <w:r>
        <w:t>such as TripAdvisor’s instant booking function</w:t>
      </w:r>
      <w:r w:rsidR="00781F82">
        <w:t>)</w:t>
      </w:r>
      <w:r w:rsidR="00B24587">
        <w:t xml:space="preserve">. </w:t>
      </w:r>
    </w:p>
    <w:p w:rsidR="00601D61" w:rsidRDefault="00B24587" w:rsidP="00A815A3">
      <w:pPr>
        <w:pStyle w:val="NormalParagraph"/>
        <w:tabs>
          <w:tab w:val="clear" w:pos="928"/>
          <w:tab w:val="left" w:pos="567"/>
        </w:tabs>
      </w:pPr>
      <w:r>
        <w:t>The ACCC consider</w:t>
      </w:r>
      <w:r w:rsidR="009A7ED0">
        <w:t>s</w:t>
      </w:r>
      <w:r>
        <w:t xml:space="preserve"> that ongoing growth in the popularity of metasearch websites w</w:t>
      </w:r>
      <w:r w:rsidR="009A7ED0">
        <w:t>ill</w:t>
      </w:r>
      <w:r>
        <w:t xml:space="preserve"> likely erode any temporary market power currently enjoyed by particular OTAs.</w:t>
      </w:r>
    </w:p>
    <w:p w:rsidR="00781F53" w:rsidRPr="00B06971" w:rsidRDefault="00781F53" w:rsidP="00FF2330">
      <w:pPr>
        <w:pStyle w:val="Heading5"/>
      </w:pPr>
      <w:r w:rsidRPr="00B06971">
        <w:t>Direct bookings</w:t>
      </w:r>
    </w:p>
    <w:p w:rsidR="009D1228" w:rsidRDefault="009D1228" w:rsidP="00CE42D0">
      <w:pPr>
        <w:pStyle w:val="NormalParagraph"/>
        <w:tabs>
          <w:tab w:val="clear" w:pos="928"/>
          <w:tab w:val="num" w:pos="567"/>
        </w:tabs>
      </w:pPr>
      <w:r>
        <w:t xml:space="preserve">As noted in the </w:t>
      </w:r>
      <w:r>
        <w:rPr>
          <w:i/>
        </w:rPr>
        <w:t>Statement of Issues</w:t>
      </w:r>
      <w:r>
        <w:t>, accommodation providers can engage in strategies to</w:t>
      </w:r>
      <w:r w:rsidR="00B6476D">
        <w:t xml:space="preserve"> increase the volume of consumers booking directly through their websites in order to</w:t>
      </w:r>
      <w:r>
        <w:t xml:space="preserve"> minimise or avoid paying commission</w:t>
      </w:r>
      <w:r w:rsidR="00B6476D">
        <w:t>s to OTAs. These strategies include the following:</w:t>
      </w:r>
    </w:p>
    <w:p w:rsidR="00B6476D" w:rsidRDefault="00967C84" w:rsidP="00A815A3">
      <w:pPr>
        <w:pStyle w:val="NormalParagraph"/>
        <w:numPr>
          <w:ilvl w:val="1"/>
          <w:numId w:val="9"/>
        </w:numPr>
        <w:tabs>
          <w:tab w:val="clear" w:pos="720"/>
        </w:tabs>
        <w:ind w:left="1134"/>
      </w:pPr>
      <w:r>
        <w:t>t</w:t>
      </w:r>
      <w:r w:rsidR="00B6476D">
        <w:t>a</w:t>
      </w:r>
      <w:r w:rsidR="00DB148F">
        <w:t>king positive steps to attract more consumers to their own websites, e.g. by offering discounts</w:t>
      </w:r>
      <w:r w:rsidR="00D11E5A">
        <w:t xml:space="preserve">, </w:t>
      </w:r>
      <w:r w:rsidR="00DB148F">
        <w:t>other bonuses</w:t>
      </w:r>
      <w:r w:rsidR="00D11E5A">
        <w:t xml:space="preserve"> or loyalty schemes</w:t>
      </w:r>
      <w:r w:rsidR="00DB148F">
        <w:t>;</w:t>
      </w:r>
      <w:r w:rsidR="00311434">
        <w:t xml:space="preserve"> and</w:t>
      </w:r>
    </w:p>
    <w:p w:rsidR="00DB148F" w:rsidRPr="00206EE3" w:rsidRDefault="00DB148F" w:rsidP="00A815A3">
      <w:pPr>
        <w:pStyle w:val="NormalParagraph"/>
        <w:numPr>
          <w:ilvl w:val="1"/>
          <w:numId w:val="9"/>
        </w:numPr>
        <w:tabs>
          <w:tab w:val="clear" w:pos="720"/>
        </w:tabs>
        <w:ind w:left="1134"/>
      </w:pPr>
      <w:r>
        <w:t xml:space="preserve">withholding their inventory from OTAs, i.e. making </w:t>
      </w:r>
      <w:r w:rsidR="003C3EEC">
        <w:t xml:space="preserve">only </w:t>
      </w:r>
      <w:r>
        <w:t>a limited number or type of rooms available via OTAs</w:t>
      </w:r>
      <w:r w:rsidR="003C3EEC">
        <w:t xml:space="preserve"> as opposed to </w:t>
      </w:r>
      <w:r>
        <w:t>their own websites.</w:t>
      </w:r>
    </w:p>
    <w:p w:rsidR="00DB148F" w:rsidRDefault="00DB6BC1" w:rsidP="00A815A3">
      <w:pPr>
        <w:pStyle w:val="NormalParagraph"/>
        <w:tabs>
          <w:tab w:val="clear" w:pos="928"/>
          <w:tab w:val="left" w:pos="567"/>
        </w:tabs>
      </w:pPr>
      <w:r>
        <w:t xml:space="preserve">Market inquiries indicated that </w:t>
      </w:r>
      <w:r w:rsidR="00DB148F">
        <w:t xml:space="preserve">the extent to which these strategies are effective </w:t>
      </w:r>
      <w:r>
        <w:t xml:space="preserve">can be </w:t>
      </w:r>
      <w:r w:rsidR="00DB148F">
        <w:t>influenced by factors including:</w:t>
      </w:r>
    </w:p>
    <w:p w:rsidR="00DB148F" w:rsidRPr="00206EE3" w:rsidRDefault="00DB148F" w:rsidP="00A815A3">
      <w:pPr>
        <w:pStyle w:val="NormalParagraph"/>
        <w:numPr>
          <w:ilvl w:val="1"/>
          <w:numId w:val="9"/>
        </w:numPr>
        <w:tabs>
          <w:tab w:val="clear" w:pos="720"/>
        </w:tabs>
        <w:ind w:left="1134"/>
      </w:pPr>
      <w:r>
        <w:t>the price and volume parity requirements that most OTAs include in their contractual arrangements with accommodation providers;</w:t>
      </w:r>
    </w:p>
    <w:p w:rsidR="00DB148F" w:rsidRDefault="00DB148F" w:rsidP="00A815A3">
      <w:pPr>
        <w:pStyle w:val="NormalParagraph"/>
        <w:numPr>
          <w:ilvl w:val="1"/>
          <w:numId w:val="9"/>
        </w:numPr>
        <w:tabs>
          <w:tab w:val="clear" w:pos="720"/>
        </w:tabs>
        <w:ind w:left="1134"/>
      </w:pPr>
      <w:r>
        <w:t>difficulties faced by accommodation providers in attracting consumers to their own websites, due to the complexity and expense of promoting them (see further below).  This is more likely to be an issue for smaller accommodation providers without a strong brand name;</w:t>
      </w:r>
      <w:r w:rsidR="00311434">
        <w:t xml:space="preserve"> and</w:t>
      </w:r>
    </w:p>
    <w:p w:rsidR="00DB148F" w:rsidRPr="00D80725" w:rsidRDefault="00DB148F" w:rsidP="00A815A3">
      <w:pPr>
        <w:pStyle w:val="NormalParagraph"/>
        <w:numPr>
          <w:ilvl w:val="1"/>
          <w:numId w:val="9"/>
        </w:numPr>
        <w:tabs>
          <w:tab w:val="clear" w:pos="720"/>
        </w:tabs>
        <w:ind w:left="1134"/>
      </w:pPr>
      <w:r>
        <w:t xml:space="preserve">the risk </w:t>
      </w:r>
      <w:r w:rsidRPr="00D80725">
        <w:t>of lost sales (and therefore empty rooms) if accommodation providers miscalculate the number of rooms to withhold from OTAs.</w:t>
      </w:r>
    </w:p>
    <w:p w:rsidR="0074113D" w:rsidRDefault="0074113D" w:rsidP="00A815A3">
      <w:pPr>
        <w:pStyle w:val="NormalParagraph"/>
        <w:tabs>
          <w:tab w:val="clear" w:pos="928"/>
          <w:tab w:val="left" w:pos="567"/>
        </w:tabs>
      </w:pPr>
      <w:r>
        <w:t xml:space="preserve">Notwithstanding these issues, the ACCC’s post-SOI market inquiries indicated that </w:t>
      </w:r>
      <w:r w:rsidR="00B10AF8">
        <w:t xml:space="preserve">hotels </w:t>
      </w:r>
      <w:r w:rsidR="00D11E5A">
        <w:t xml:space="preserve">do </w:t>
      </w:r>
      <w:r w:rsidR="00B10AF8">
        <w:t xml:space="preserve">exercise </w:t>
      </w:r>
      <w:r w:rsidR="00D11E5A">
        <w:t xml:space="preserve">a </w:t>
      </w:r>
      <w:r w:rsidR="00B10AF8">
        <w:t>flexib</w:t>
      </w:r>
      <w:r w:rsidR="00D11E5A">
        <w:t>le approach</w:t>
      </w:r>
      <w:r w:rsidR="00B10AF8">
        <w:t xml:space="preserve"> in their dealings with OTAs</w:t>
      </w:r>
      <w:r w:rsidR="00722071">
        <w:t>. For instance:</w:t>
      </w:r>
    </w:p>
    <w:p w:rsidR="00CC435F" w:rsidRDefault="000D3470" w:rsidP="00A815A3">
      <w:pPr>
        <w:pStyle w:val="NormalParagraph"/>
        <w:numPr>
          <w:ilvl w:val="1"/>
          <w:numId w:val="9"/>
        </w:numPr>
        <w:tabs>
          <w:tab w:val="clear" w:pos="720"/>
        </w:tabs>
        <w:ind w:left="1134"/>
      </w:pPr>
      <w:r>
        <w:t>M</w:t>
      </w:r>
      <w:r w:rsidR="00601D61">
        <w:t xml:space="preserve">any accommodation providers </w:t>
      </w:r>
      <w:r w:rsidR="0074113D">
        <w:t>regularly offer accommodation promotions and sales</w:t>
      </w:r>
      <w:r w:rsidR="005F66B6">
        <w:t xml:space="preserve"> by offering inventory which is differentiated from th</w:t>
      </w:r>
      <w:r w:rsidR="00D4015D">
        <w:t xml:space="preserve">e rooms </w:t>
      </w:r>
      <w:r w:rsidR="005F66B6">
        <w:t>sold through OTAs</w:t>
      </w:r>
      <w:r w:rsidR="00311434">
        <w:t>; and</w:t>
      </w:r>
    </w:p>
    <w:p w:rsidR="0074113D" w:rsidRDefault="000D3470" w:rsidP="00A815A3">
      <w:pPr>
        <w:pStyle w:val="NormalParagraph"/>
        <w:numPr>
          <w:ilvl w:val="1"/>
          <w:numId w:val="9"/>
        </w:numPr>
        <w:tabs>
          <w:tab w:val="clear" w:pos="720"/>
        </w:tabs>
        <w:ind w:left="1134"/>
      </w:pPr>
      <w:r>
        <w:t>T</w:t>
      </w:r>
      <w:r w:rsidR="0074113D">
        <w:t xml:space="preserve">here is evidence </w:t>
      </w:r>
      <w:r w:rsidR="004C017E">
        <w:t xml:space="preserve">that accommodation providers </w:t>
      </w:r>
      <w:r w:rsidR="00F06148">
        <w:t xml:space="preserve">of various sizes </w:t>
      </w:r>
      <w:r w:rsidR="004C017E">
        <w:t xml:space="preserve">in overseas markets are </w:t>
      </w:r>
      <w:r w:rsidR="0074113D">
        <w:t>increasing</w:t>
      </w:r>
      <w:r w:rsidR="004C017E">
        <w:t xml:space="preserve">ly using products such as </w:t>
      </w:r>
      <w:r w:rsidR="00220A7A">
        <w:t>TripAdvisor</w:t>
      </w:r>
      <w:r w:rsidR="004C017E">
        <w:t>’</w:t>
      </w:r>
      <w:r w:rsidR="00220A7A">
        <w:t>s</w:t>
      </w:r>
      <w:r w:rsidR="0074113D">
        <w:t xml:space="preserve"> Instant Bookings</w:t>
      </w:r>
      <w:r w:rsidR="00220A7A">
        <w:t xml:space="preserve"> and </w:t>
      </w:r>
      <w:r w:rsidR="0074113D">
        <w:t>Business Listings</w:t>
      </w:r>
      <w:r w:rsidR="004C017E">
        <w:t>,</w:t>
      </w:r>
      <w:r w:rsidR="0074113D">
        <w:t xml:space="preserve"> </w:t>
      </w:r>
      <w:r w:rsidR="00B06407">
        <w:t>on the basis that they are a cost-effective means of generating bookings relative to commissions paid to OTAs</w:t>
      </w:r>
      <w:r w:rsidR="00A616CA">
        <w:t>.</w:t>
      </w:r>
    </w:p>
    <w:p w:rsidR="00FA2AED" w:rsidRPr="00AB7653" w:rsidRDefault="00FA2AED" w:rsidP="00FF2330">
      <w:pPr>
        <w:pStyle w:val="Heading4"/>
      </w:pPr>
      <w:r w:rsidRPr="00AB7653">
        <w:lastRenderedPageBreak/>
        <w:t>Barriers to entry and expansion</w:t>
      </w:r>
    </w:p>
    <w:p w:rsidR="00E778AD" w:rsidRDefault="0031440B" w:rsidP="00A815A3">
      <w:pPr>
        <w:pStyle w:val="NormalParagraph"/>
        <w:tabs>
          <w:tab w:val="clear" w:pos="928"/>
          <w:tab w:val="left" w:pos="567"/>
        </w:tabs>
        <w:rPr>
          <w:rFonts w:cs="Arial"/>
          <w:color w:val="000000"/>
        </w:rPr>
      </w:pPr>
      <w:r>
        <w:rPr>
          <w:rFonts w:cs="Arial"/>
          <w:color w:val="000000"/>
        </w:rPr>
        <w:t>The ACCC</w:t>
      </w:r>
      <w:r w:rsidR="00E778AD">
        <w:rPr>
          <w:rFonts w:cs="Arial"/>
          <w:color w:val="000000"/>
        </w:rPr>
        <w:t>’s review</w:t>
      </w:r>
      <w:r>
        <w:rPr>
          <w:rFonts w:cs="Arial"/>
          <w:color w:val="000000"/>
        </w:rPr>
        <w:t xml:space="preserve"> </w:t>
      </w:r>
      <w:r w:rsidR="00E778AD">
        <w:rPr>
          <w:rFonts w:cs="Arial"/>
          <w:color w:val="000000"/>
        </w:rPr>
        <w:t xml:space="preserve">indicated that </w:t>
      </w:r>
      <w:r w:rsidR="00CF345B">
        <w:rPr>
          <w:rFonts w:cs="Arial"/>
          <w:color w:val="000000"/>
        </w:rPr>
        <w:t xml:space="preserve">a new OTA </w:t>
      </w:r>
      <w:r w:rsidR="00D52509">
        <w:rPr>
          <w:rFonts w:cs="Arial"/>
          <w:color w:val="000000"/>
        </w:rPr>
        <w:t>would be able to</w:t>
      </w:r>
      <w:r w:rsidR="00D173EB">
        <w:rPr>
          <w:rFonts w:cs="Arial"/>
          <w:color w:val="000000"/>
        </w:rPr>
        <w:t xml:space="preserve"> </w:t>
      </w:r>
      <w:r w:rsidR="00D52509">
        <w:rPr>
          <w:rFonts w:cs="Arial"/>
          <w:color w:val="000000"/>
        </w:rPr>
        <w:t>access a sufficient</w:t>
      </w:r>
      <w:r w:rsidR="00E778AD">
        <w:rPr>
          <w:rFonts w:cs="Arial"/>
          <w:color w:val="000000"/>
        </w:rPr>
        <w:t xml:space="preserve"> </w:t>
      </w:r>
      <w:r w:rsidR="00D52509">
        <w:rPr>
          <w:rFonts w:cs="Arial"/>
          <w:color w:val="000000"/>
        </w:rPr>
        <w:t xml:space="preserve">volume of </w:t>
      </w:r>
      <w:r>
        <w:rPr>
          <w:rFonts w:cs="Arial"/>
          <w:color w:val="000000"/>
        </w:rPr>
        <w:t>hotel inventory</w:t>
      </w:r>
      <w:r w:rsidR="00D52509">
        <w:rPr>
          <w:rFonts w:cs="Arial"/>
          <w:color w:val="000000"/>
        </w:rPr>
        <w:t xml:space="preserve"> to enter the market</w:t>
      </w:r>
      <w:r>
        <w:rPr>
          <w:rFonts w:cs="Arial"/>
          <w:color w:val="000000"/>
        </w:rPr>
        <w:t xml:space="preserve"> as accommodation providers </w:t>
      </w:r>
      <w:r w:rsidR="00CF345B" w:rsidRPr="00D52509">
        <w:rPr>
          <w:rFonts w:cs="Arial"/>
        </w:rPr>
        <w:t xml:space="preserve">generally </w:t>
      </w:r>
      <w:r w:rsidRPr="00D52509">
        <w:rPr>
          <w:rFonts w:cs="Arial"/>
        </w:rPr>
        <w:t>have an incentive to distribute their inventory across a wide range of platforms</w:t>
      </w:r>
      <w:r w:rsidR="003323C2" w:rsidRPr="00D52509">
        <w:rPr>
          <w:rFonts w:cs="Arial"/>
        </w:rPr>
        <w:t xml:space="preserve"> to access as many potential consumers as possible</w:t>
      </w:r>
      <w:r w:rsidR="0026646F" w:rsidRPr="00D52509">
        <w:rPr>
          <w:rFonts w:cs="Arial"/>
        </w:rPr>
        <w:t xml:space="preserve">. This </w:t>
      </w:r>
      <w:r w:rsidR="00B76B92" w:rsidRPr="00D52509">
        <w:rPr>
          <w:rFonts w:cs="Arial"/>
        </w:rPr>
        <w:t xml:space="preserve">is facilitated by </w:t>
      </w:r>
      <w:r w:rsidR="009C73FC" w:rsidRPr="00D52509">
        <w:rPr>
          <w:rFonts w:cs="Arial"/>
        </w:rPr>
        <w:t xml:space="preserve">channel </w:t>
      </w:r>
      <w:r w:rsidR="00B76B92" w:rsidRPr="00D52509">
        <w:rPr>
          <w:rFonts w:cs="Arial"/>
        </w:rPr>
        <w:t>manage</w:t>
      </w:r>
      <w:r w:rsidR="008B7B5C" w:rsidRPr="00D52509">
        <w:rPr>
          <w:rFonts w:cs="Arial"/>
        </w:rPr>
        <w:t>r</w:t>
      </w:r>
      <w:r w:rsidR="00B76B92" w:rsidRPr="00D52509">
        <w:rPr>
          <w:rFonts w:cs="Arial"/>
        </w:rPr>
        <w:t xml:space="preserve"> </w:t>
      </w:r>
      <w:r w:rsidR="008D2357" w:rsidRPr="00D52509">
        <w:rPr>
          <w:rFonts w:cs="Arial"/>
        </w:rPr>
        <w:t>applications</w:t>
      </w:r>
      <w:r w:rsidR="008B7B5C" w:rsidRPr="00D52509">
        <w:rPr>
          <w:rFonts w:cs="Arial"/>
        </w:rPr>
        <w:t xml:space="preserve"> </w:t>
      </w:r>
      <w:r w:rsidR="00D11E5A" w:rsidRPr="00D52509">
        <w:rPr>
          <w:rFonts w:cs="Arial"/>
        </w:rPr>
        <w:t>(</w:t>
      </w:r>
      <w:r w:rsidR="008B7B5C" w:rsidRPr="00D52509">
        <w:rPr>
          <w:rFonts w:cs="Arial"/>
        </w:rPr>
        <w:t>such as SiteMinder’s</w:t>
      </w:r>
      <w:r w:rsidR="00D11E5A" w:rsidRPr="00D52509">
        <w:rPr>
          <w:rFonts w:cs="Arial"/>
        </w:rPr>
        <w:t>)</w:t>
      </w:r>
      <w:r w:rsidR="008B7B5C" w:rsidRPr="00D52509">
        <w:rPr>
          <w:rFonts w:cs="Arial"/>
        </w:rPr>
        <w:t xml:space="preserve"> which allow a hotel to list a particular room on multiple </w:t>
      </w:r>
      <w:r w:rsidR="00CF345B" w:rsidRPr="00D52509">
        <w:rPr>
          <w:rFonts w:cs="Arial"/>
        </w:rPr>
        <w:t>OTAs</w:t>
      </w:r>
      <w:r w:rsidR="008B7B5C" w:rsidRPr="00D52509">
        <w:rPr>
          <w:rFonts w:cs="Arial"/>
        </w:rPr>
        <w:t xml:space="preserve"> at the same time</w:t>
      </w:r>
      <w:r w:rsidRPr="00D52509">
        <w:rPr>
          <w:rFonts w:cs="Arial"/>
        </w:rPr>
        <w:t>.</w:t>
      </w:r>
      <w:r w:rsidR="00E778AD" w:rsidRPr="00D52509">
        <w:rPr>
          <w:rFonts w:cs="Arial"/>
        </w:rPr>
        <w:t xml:space="preserve"> </w:t>
      </w:r>
      <w:r w:rsidR="00D173EB" w:rsidRPr="00D52509">
        <w:t xml:space="preserve">However, as noted above, a new OTA would face significant costs in engaging a sufficient number of staff to approach, </w:t>
      </w:r>
      <w:r w:rsidR="0089584A">
        <w:t xml:space="preserve">enter </w:t>
      </w:r>
      <w:r w:rsidR="00D173EB" w:rsidRPr="00D52509">
        <w:t>contract</w:t>
      </w:r>
      <w:r w:rsidR="0089584A">
        <w:t>s</w:t>
      </w:r>
      <w:r w:rsidR="00D173EB" w:rsidRPr="00D52509">
        <w:t xml:space="preserve"> and maintain relationships with those accommodation providers.</w:t>
      </w:r>
    </w:p>
    <w:p w:rsidR="0031440B" w:rsidRDefault="00FC11A3" w:rsidP="00A815A3">
      <w:pPr>
        <w:pStyle w:val="NormalParagraph"/>
        <w:tabs>
          <w:tab w:val="clear" w:pos="928"/>
          <w:tab w:val="left" w:pos="567"/>
        </w:tabs>
        <w:rPr>
          <w:rFonts w:cs="Arial"/>
          <w:color w:val="000000"/>
        </w:rPr>
      </w:pPr>
      <w:r>
        <w:rPr>
          <w:rFonts w:cs="Arial"/>
          <w:color w:val="000000"/>
        </w:rPr>
        <w:t>T</w:t>
      </w:r>
      <w:r w:rsidR="00633721">
        <w:rPr>
          <w:rFonts w:cs="Arial"/>
          <w:color w:val="000000"/>
        </w:rPr>
        <w:t>he ACCC’s review also indicated that a new OTA would incur significant sunk costs through advertising to attract a sufficient number of eyeballs</w:t>
      </w:r>
      <w:r w:rsidR="00540756">
        <w:rPr>
          <w:rFonts w:cs="Arial"/>
          <w:color w:val="000000"/>
        </w:rPr>
        <w:t xml:space="preserve"> to compete</w:t>
      </w:r>
      <w:r w:rsidR="00AB55F2">
        <w:rPr>
          <w:rFonts w:cs="Arial"/>
          <w:color w:val="000000"/>
        </w:rPr>
        <w:t xml:space="preserve"> successfully in the market</w:t>
      </w:r>
      <w:r w:rsidR="00633721">
        <w:rPr>
          <w:rFonts w:cs="Arial"/>
          <w:color w:val="000000"/>
        </w:rPr>
        <w:t xml:space="preserve">. </w:t>
      </w:r>
      <w:r w:rsidR="002565DF">
        <w:rPr>
          <w:rFonts w:cs="Arial"/>
          <w:color w:val="000000"/>
        </w:rPr>
        <w:t>While there are a number of smaller, independently-owned OTAs in the market, s</w:t>
      </w:r>
      <w:r w:rsidR="00E778AD">
        <w:rPr>
          <w:rFonts w:cs="Arial"/>
          <w:color w:val="000000"/>
        </w:rPr>
        <w:t xml:space="preserve">ome market participants suggested that the </w:t>
      </w:r>
      <w:r w:rsidR="00AB55F2">
        <w:rPr>
          <w:rFonts w:cs="Arial"/>
          <w:color w:val="000000"/>
        </w:rPr>
        <w:t xml:space="preserve">sunk </w:t>
      </w:r>
      <w:r w:rsidR="00E778AD">
        <w:rPr>
          <w:rFonts w:cs="Arial"/>
          <w:color w:val="000000"/>
        </w:rPr>
        <w:t>costs involved with advertising</w:t>
      </w:r>
      <w:r w:rsidR="00AB55F2">
        <w:rPr>
          <w:rFonts w:cs="Arial"/>
          <w:color w:val="000000"/>
        </w:rPr>
        <w:t>, particularly</w:t>
      </w:r>
      <w:r w:rsidR="00E778AD">
        <w:rPr>
          <w:rFonts w:cs="Arial"/>
          <w:color w:val="000000"/>
        </w:rPr>
        <w:t xml:space="preserve"> on Google and metasearch websites</w:t>
      </w:r>
      <w:r w:rsidR="00633721">
        <w:rPr>
          <w:rFonts w:cs="Arial"/>
          <w:color w:val="000000"/>
        </w:rPr>
        <w:t xml:space="preserve"> </w:t>
      </w:r>
      <w:r w:rsidR="00E778AD">
        <w:rPr>
          <w:rFonts w:cs="Arial"/>
          <w:color w:val="000000"/>
        </w:rPr>
        <w:t xml:space="preserve">presents a barrier to new OTAs achieving a sufficient scale to constrain the incumbents such as Expedia and </w:t>
      </w:r>
      <w:r w:rsidR="00D11E5A">
        <w:rPr>
          <w:rFonts w:cs="Arial"/>
          <w:color w:val="000000"/>
        </w:rPr>
        <w:t xml:space="preserve">Booking.com. </w:t>
      </w:r>
    </w:p>
    <w:p w:rsidR="00914D1C" w:rsidRDefault="00DC67C8" w:rsidP="00A815A3">
      <w:pPr>
        <w:pStyle w:val="NormalParagraph"/>
        <w:tabs>
          <w:tab w:val="clear" w:pos="928"/>
          <w:tab w:val="left" w:pos="567"/>
        </w:tabs>
        <w:rPr>
          <w:rFonts w:cs="Arial"/>
          <w:color w:val="000000"/>
        </w:rPr>
      </w:pPr>
      <w:r>
        <w:rPr>
          <w:rFonts w:cs="Arial"/>
          <w:color w:val="000000"/>
        </w:rPr>
        <w:t xml:space="preserve">The ACCC considered that </w:t>
      </w:r>
      <w:r w:rsidR="00CF345B">
        <w:rPr>
          <w:rFonts w:cs="Arial"/>
          <w:color w:val="000000"/>
        </w:rPr>
        <w:t>if the industry were to remain in its current form, there may be significant barriers to a</w:t>
      </w:r>
      <w:r>
        <w:rPr>
          <w:rFonts w:cs="Arial"/>
          <w:color w:val="000000"/>
        </w:rPr>
        <w:t xml:space="preserve"> new entrant or existing player in the market expand</w:t>
      </w:r>
      <w:r w:rsidR="00CF345B">
        <w:rPr>
          <w:rFonts w:cs="Arial"/>
          <w:color w:val="000000"/>
        </w:rPr>
        <w:t>ing</w:t>
      </w:r>
      <w:r>
        <w:rPr>
          <w:rFonts w:cs="Arial"/>
          <w:color w:val="000000"/>
        </w:rPr>
        <w:t xml:space="preserve"> to an equivalent size to Wotif, Expedia or </w:t>
      </w:r>
      <w:r w:rsidR="00D11E5A">
        <w:rPr>
          <w:rFonts w:cs="Arial"/>
          <w:color w:val="000000"/>
        </w:rPr>
        <w:t>Booking.com</w:t>
      </w:r>
      <w:r>
        <w:rPr>
          <w:rFonts w:cs="Arial"/>
          <w:color w:val="000000"/>
        </w:rPr>
        <w:t>.</w:t>
      </w:r>
    </w:p>
    <w:p w:rsidR="0053465A" w:rsidRPr="00914D1C" w:rsidRDefault="00DC67C8" w:rsidP="00A815A3">
      <w:pPr>
        <w:pStyle w:val="NormalParagraph"/>
        <w:tabs>
          <w:tab w:val="clear" w:pos="928"/>
          <w:tab w:val="left" w:pos="567"/>
        </w:tabs>
        <w:rPr>
          <w:rFonts w:cs="Arial"/>
          <w:color w:val="000000"/>
        </w:rPr>
      </w:pPr>
      <w:r>
        <w:t>However, t</w:t>
      </w:r>
      <w:r w:rsidR="00436746">
        <w:t>he ACCC considered that</w:t>
      </w:r>
      <w:r w:rsidR="00F720F2">
        <w:t xml:space="preserve"> despite </w:t>
      </w:r>
      <w:r w:rsidR="00E82D75">
        <w:t>the</w:t>
      </w:r>
      <w:r w:rsidR="00F720F2">
        <w:t xml:space="preserve"> barriers to entry, recent</w:t>
      </w:r>
      <w:r w:rsidR="00436746">
        <w:t xml:space="preserve"> change</w:t>
      </w:r>
      <w:r w:rsidR="00CF345B">
        <w:t>s</w:t>
      </w:r>
      <w:r w:rsidR="00436746">
        <w:t xml:space="preserve"> in the market</w:t>
      </w:r>
      <w:r w:rsidR="00F720F2">
        <w:t xml:space="preserve"> suggest that there are significant global players who have the ability and incentive to overcome those </w:t>
      </w:r>
      <w:r w:rsidR="00F720F2" w:rsidRPr="007108B2">
        <w:rPr>
          <w:rFonts w:cs="Arial"/>
        </w:rPr>
        <w:t>barriers.</w:t>
      </w:r>
      <w:r w:rsidR="00E72E28" w:rsidRPr="007108B2">
        <w:rPr>
          <w:rStyle w:val="FootnoteReference"/>
          <w:rFonts w:ascii="Arial" w:hAnsi="Arial" w:cs="Arial"/>
        </w:rPr>
        <w:footnoteReference w:id="10"/>
      </w:r>
      <w:r w:rsidR="00436746" w:rsidRPr="007108B2">
        <w:rPr>
          <w:rFonts w:cs="Arial"/>
        </w:rPr>
        <w:t xml:space="preserve"> </w:t>
      </w:r>
      <w:r w:rsidR="00E82D75" w:rsidRPr="007108B2">
        <w:rPr>
          <w:rFonts w:cs="Arial"/>
        </w:rPr>
        <w:t>The</w:t>
      </w:r>
      <w:r w:rsidR="00E82D75">
        <w:t xml:space="preserve"> ACCC considered </w:t>
      </w:r>
      <w:r w:rsidR="00436746">
        <w:t xml:space="preserve">that competition </w:t>
      </w:r>
      <w:r w:rsidR="00E82D75">
        <w:t xml:space="preserve">would </w:t>
      </w:r>
      <w:r w:rsidR="00436746" w:rsidRPr="005826E1">
        <w:t xml:space="preserve">continue to </w:t>
      </w:r>
      <w:r w:rsidR="00436746">
        <w:t xml:space="preserve">be dynamic </w:t>
      </w:r>
      <w:r w:rsidR="00436746" w:rsidRPr="005826E1">
        <w:t>in the future</w:t>
      </w:r>
      <w:r w:rsidR="00436746">
        <w:t xml:space="preserve">, and this </w:t>
      </w:r>
      <w:r w:rsidR="00E82D75">
        <w:t xml:space="preserve">would </w:t>
      </w:r>
      <w:r w:rsidR="00436746">
        <w:t>result in the ongoing development of differentiated products and business models.</w:t>
      </w:r>
      <w:r>
        <w:t xml:space="preserve"> C</w:t>
      </w:r>
      <w:r w:rsidRPr="00914D1C">
        <w:rPr>
          <w:rFonts w:cs="Arial"/>
          <w:color w:val="000000"/>
        </w:rPr>
        <w:t>ompanies in adjacent markets (e.g. TripAdvisor and Google) are likely to place significant competitive constraint</w:t>
      </w:r>
      <w:r w:rsidR="00CF345B" w:rsidRPr="00914D1C">
        <w:rPr>
          <w:rFonts w:cs="Arial"/>
          <w:color w:val="000000"/>
        </w:rPr>
        <w:t xml:space="preserve"> on incumbent OTAs </w:t>
      </w:r>
      <w:r w:rsidRPr="00914D1C">
        <w:rPr>
          <w:rFonts w:cs="Arial"/>
          <w:color w:val="000000"/>
        </w:rPr>
        <w:t xml:space="preserve">by </w:t>
      </w:r>
      <w:r w:rsidR="00CF345B" w:rsidRPr="00914D1C">
        <w:rPr>
          <w:rFonts w:cs="Arial"/>
          <w:color w:val="000000"/>
        </w:rPr>
        <w:t>developing new products which allow either those companies or other new entrants to compete more vigorously with the incumbent OTAs</w:t>
      </w:r>
      <w:r w:rsidRPr="00914D1C">
        <w:rPr>
          <w:rFonts w:cs="Arial"/>
          <w:color w:val="000000"/>
        </w:rPr>
        <w:t xml:space="preserve">.  </w:t>
      </w:r>
    </w:p>
    <w:p w:rsidR="00AB7653" w:rsidRPr="00AB7653" w:rsidRDefault="00AB7653" w:rsidP="00FF2330">
      <w:pPr>
        <w:pStyle w:val="Heading4"/>
      </w:pPr>
      <w:r>
        <w:t>Likelihood of increased commission rates</w:t>
      </w:r>
    </w:p>
    <w:p w:rsidR="00AB7653" w:rsidRPr="00AB7653" w:rsidRDefault="00AB7653" w:rsidP="00AB7653">
      <w:pPr>
        <w:pStyle w:val="NormalParagraph"/>
        <w:tabs>
          <w:tab w:val="clear" w:pos="928"/>
          <w:tab w:val="num" w:pos="567"/>
        </w:tabs>
        <w:rPr>
          <w:color w:val="000000"/>
        </w:rPr>
      </w:pPr>
      <w:r w:rsidRPr="00AB7653">
        <w:rPr>
          <w:color w:val="000000"/>
        </w:rPr>
        <w:t xml:space="preserve">The key theory of harm raised in the </w:t>
      </w:r>
      <w:r w:rsidR="00CF68C2">
        <w:rPr>
          <w:i/>
          <w:color w:val="000000"/>
        </w:rPr>
        <w:t>Statement of Issues</w:t>
      </w:r>
      <w:r w:rsidRPr="00AB7653">
        <w:rPr>
          <w:color w:val="000000"/>
        </w:rPr>
        <w:t xml:space="preserve"> related to the potential for Expedia to raise commission rates to accommodation providers post-acquisition.  </w:t>
      </w:r>
    </w:p>
    <w:p w:rsidR="00AB7653" w:rsidRPr="00AB7653" w:rsidRDefault="00AB7653" w:rsidP="00AB7653">
      <w:pPr>
        <w:pStyle w:val="NormalParagraph"/>
        <w:tabs>
          <w:tab w:val="clear" w:pos="928"/>
          <w:tab w:val="num" w:pos="567"/>
        </w:tabs>
        <w:rPr>
          <w:color w:val="000000"/>
        </w:rPr>
      </w:pPr>
      <w:r w:rsidRPr="00AB7653">
        <w:rPr>
          <w:color w:val="000000"/>
        </w:rPr>
        <w:t xml:space="preserve">Industry participants submitted to the ACCC that in the absence of the proposed acquisition, Wotif </w:t>
      </w:r>
      <w:r w:rsidR="00720096">
        <w:rPr>
          <w:color w:val="000000"/>
        </w:rPr>
        <w:t>would</w:t>
      </w:r>
      <w:r w:rsidR="00720096" w:rsidRPr="00AB7653">
        <w:rPr>
          <w:color w:val="000000"/>
        </w:rPr>
        <w:t xml:space="preserve"> </w:t>
      </w:r>
      <w:r w:rsidRPr="00AB7653">
        <w:rPr>
          <w:color w:val="000000"/>
        </w:rPr>
        <w:t>need to remove the $5.50 booking fee it currently charges consumers to maintain a competitive position in the market. The ACCC considers that if this were to occur,</w:t>
      </w:r>
      <w:r w:rsidR="0071054B">
        <w:rPr>
          <w:color w:val="000000"/>
        </w:rPr>
        <w:t xml:space="preserve"> it is likely that Wotif would </w:t>
      </w:r>
      <w:r w:rsidR="007108B2">
        <w:rPr>
          <w:color w:val="000000"/>
        </w:rPr>
        <w:t>attempt</w:t>
      </w:r>
      <w:r w:rsidR="0071054B">
        <w:rPr>
          <w:color w:val="000000"/>
        </w:rPr>
        <w:t xml:space="preserve"> to </w:t>
      </w:r>
      <w:r w:rsidR="009B080C">
        <w:rPr>
          <w:color w:val="000000"/>
        </w:rPr>
        <w:t>increas</w:t>
      </w:r>
      <w:r w:rsidR="0071054B">
        <w:rPr>
          <w:color w:val="000000"/>
        </w:rPr>
        <w:t>e</w:t>
      </w:r>
      <w:r w:rsidR="009B080C">
        <w:rPr>
          <w:color w:val="000000"/>
        </w:rPr>
        <w:t xml:space="preserve"> commissions to accommodation providers </w:t>
      </w:r>
      <w:r w:rsidR="007B33A8">
        <w:rPr>
          <w:color w:val="000000"/>
        </w:rPr>
        <w:t xml:space="preserve">in order </w:t>
      </w:r>
      <w:r w:rsidR="009B080C">
        <w:rPr>
          <w:color w:val="000000"/>
        </w:rPr>
        <w:t xml:space="preserve">to compensate for </w:t>
      </w:r>
      <w:r w:rsidR="006D638B">
        <w:rPr>
          <w:color w:val="000000"/>
        </w:rPr>
        <w:t xml:space="preserve">removing the </w:t>
      </w:r>
      <w:r w:rsidR="007B33A8">
        <w:rPr>
          <w:color w:val="000000"/>
        </w:rPr>
        <w:t xml:space="preserve">consumer </w:t>
      </w:r>
      <w:r w:rsidR="006D638B">
        <w:rPr>
          <w:color w:val="000000"/>
        </w:rPr>
        <w:t>booking fee</w:t>
      </w:r>
      <w:r w:rsidR="009B080C">
        <w:rPr>
          <w:color w:val="000000"/>
        </w:rPr>
        <w:t xml:space="preserve">, </w:t>
      </w:r>
      <w:r w:rsidR="007B33A8">
        <w:rPr>
          <w:color w:val="000000"/>
        </w:rPr>
        <w:t>bringing its</w:t>
      </w:r>
      <w:r w:rsidR="009B080C">
        <w:rPr>
          <w:color w:val="000000"/>
        </w:rPr>
        <w:t xml:space="preserve"> pricing model </w:t>
      </w:r>
      <w:r w:rsidR="007B33A8">
        <w:rPr>
          <w:color w:val="000000"/>
        </w:rPr>
        <w:t xml:space="preserve">into line with that </w:t>
      </w:r>
      <w:r w:rsidR="009B080C">
        <w:rPr>
          <w:color w:val="000000"/>
        </w:rPr>
        <w:t>adopted by</w:t>
      </w:r>
      <w:r w:rsidR="00832E5F">
        <w:rPr>
          <w:color w:val="000000"/>
        </w:rPr>
        <w:t xml:space="preserve"> other </w:t>
      </w:r>
      <w:r w:rsidR="007B33A8">
        <w:rPr>
          <w:color w:val="000000"/>
        </w:rPr>
        <w:t>OTAs</w:t>
      </w:r>
      <w:r w:rsidR="00832E5F">
        <w:rPr>
          <w:color w:val="000000"/>
        </w:rPr>
        <w:t>.</w:t>
      </w:r>
      <w:r w:rsidR="006D638B">
        <w:rPr>
          <w:color w:val="000000"/>
        </w:rPr>
        <w:t xml:space="preserve"> Therefore, the AC</w:t>
      </w:r>
      <w:r w:rsidR="00ED5DFC">
        <w:rPr>
          <w:color w:val="000000"/>
        </w:rPr>
        <w:t>CC considers</w:t>
      </w:r>
      <w:r w:rsidR="006D638B">
        <w:rPr>
          <w:color w:val="000000"/>
        </w:rPr>
        <w:t xml:space="preserve"> that a change in Wotif’s pricing structure </w:t>
      </w:r>
      <w:r w:rsidR="00ED5DFC">
        <w:rPr>
          <w:color w:val="000000"/>
        </w:rPr>
        <w:t>i</w:t>
      </w:r>
      <w:r w:rsidR="006D638B">
        <w:rPr>
          <w:color w:val="000000"/>
        </w:rPr>
        <w:t xml:space="preserve">s likely with or without the acquisition. </w:t>
      </w:r>
      <w:r w:rsidRPr="00AB7653">
        <w:rPr>
          <w:color w:val="000000"/>
        </w:rPr>
        <w:t xml:space="preserve">  </w:t>
      </w:r>
    </w:p>
    <w:p w:rsidR="00AB7653" w:rsidRPr="00AB7653" w:rsidRDefault="00AB7653" w:rsidP="00AB7653">
      <w:pPr>
        <w:pStyle w:val="NormalParagraph"/>
        <w:tabs>
          <w:tab w:val="clear" w:pos="928"/>
          <w:tab w:val="num" w:pos="567"/>
        </w:tabs>
        <w:rPr>
          <w:color w:val="000000"/>
        </w:rPr>
      </w:pPr>
      <w:r w:rsidRPr="00AB7653">
        <w:rPr>
          <w:color w:val="000000"/>
        </w:rPr>
        <w:t xml:space="preserve">The ACCC also acknowledges that the removal of an independent Wotif could lead to Expedia and Booking.com increasing commission rates above their current levels.  </w:t>
      </w:r>
    </w:p>
    <w:p w:rsidR="00AB7653" w:rsidRPr="00AB7653" w:rsidRDefault="00AB7653" w:rsidP="00AB7653">
      <w:pPr>
        <w:pStyle w:val="NormalParagraph"/>
        <w:tabs>
          <w:tab w:val="clear" w:pos="928"/>
          <w:tab w:val="num" w:pos="567"/>
        </w:tabs>
        <w:rPr>
          <w:color w:val="000000"/>
        </w:rPr>
      </w:pPr>
      <w:r w:rsidRPr="00AB7653">
        <w:rPr>
          <w:color w:val="000000"/>
        </w:rPr>
        <w:lastRenderedPageBreak/>
        <w:t xml:space="preserve">However, the ACCC considered that </w:t>
      </w:r>
      <w:r w:rsidR="00C37993">
        <w:rPr>
          <w:color w:val="000000"/>
        </w:rPr>
        <w:t xml:space="preserve">the </w:t>
      </w:r>
      <w:r w:rsidRPr="00AB7653">
        <w:rPr>
          <w:color w:val="000000"/>
        </w:rPr>
        <w:t>dynami</w:t>
      </w:r>
      <w:r w:rsidR="00944188">
        <w:rPr>
          <w:color w:val="000000"/>
        </w:rPr>
        <w:t>c nature of</w:t>
      </w:r>
      <w:r w:rsidRPr="00AB7653">
        <w:rPr>
          <w:color w:val="000000"/>
        </w:rPr>
        <w:t xml:space="preserve"> the market </w:t>
      </w:r>
      <w:r w:rsidR="00C37993">
        <w:rPr>
          <w:color w:val="000000"/>
        </w:rPr>
        <w:t>provides opportunities for</w:t>
      </w:r>
      <w:r w:rsidRPr="00AB7653">
        <w:rPr>
          <w:color w:val="000000"/>
        </w:rPr>
        <w:t xml:space="preserve"> accommodation providers</w:t>
      </w:r>
      <w:r w:rsidR="004E1FAE">
        <w:rPr>
          <w:color w:val="000000"/>
        </w:rPr>
        <w:t xml:space="preserve"> to</w:t>
      </w:r>
      <w:r w:rsidRPr="00AB7653">
        <w:rPr>
          <w:color w:val="000000"/>
        </w:rPr>
        <w:t xml:space="preserve"> reduce their reliance on OTAs for the distribution of inventory and will continue to do so in the future</w:t>
      </w:r>
      <w:r w:rsidR="00ED5DFC">
        <w:rPr>
          <w:color w:val="000000"/>
        </w:rPr>
        <w:t>, restricting the ability of OTAs to increase commissions beyond what was likely to occur absent the acquisition</w:t>
      </w:r>
      <w:r w:rsidRPr="00AB7653">
        <w:rPr>
          <w:color w:val="000000"/>
        </w:rPr>
        <w:t>. The</w:t>
      </w:r>
      <w:r w:rsidR="00EF2770">
        <w:rPr>
          <w:color w:val="000000"/>
        </w:rPr>
        <w:t xml:space="preserve"> ACCC therefore considered that to</w:t>
      </w:r>
      <w:r>
        <w:rPr>
          <w:color w:val="000000"/>
        </w:rPr>
        <w:t xml:space="preserve"> the extent that Expedia and Booking.com raise commission ra</w:t>
      </w:r>
      <w:r w:rsidR="006036B3">
        <w:rPr>
          <w:color w:val="000000"/>
        </w:rPr>
        <w:t>tes</w:t>
      </w:r>
      <w:r>
        <w:rPr>
          <w:color w:val="000000"/>
        </w:rPr>
        <w:t xml:space="preserve"> post-acquisition</w:t>
      </w:r>
      <w:r w:rsidR="00392E24">
        <w:rPr>
          <w:color w:val="000000"/>
        </w:rPr>
        <w:t xml:space="preserve">, </w:t>
      </w:r>
      <w:r w:rsidRPr="00AB7653">
        <w:rPr>
          <w:color w:val="000000"/>
        </w:rPr>
        <w:t>any such increase would be likely to:</w:t>
      </w:r>
    </w:p>
    <w:p w:rsidR="00944188" w:rsidRDefault="00AB7653" w:rsidP="00A815A3">
      <w:pPr>
        <w:pStyle w:val="ListParagraph"/>
        <w:numPr>
          <w:ilvl w:val="0"/>
          <w:numId w:val="15"/>
        </w:numPr>
      </w:pPr>
      <w:r>
        <w:t>cause a significant proportion of accommodation providers to reduce the proportion of inventory they sell through OTAs, for example by withholding inventory from OTAs and investing more into promoting direct bookings through metasearch options;</w:t>
      </w:r>
    </w:p>
    <w:p w:rsidR="00C37993" w:rsidRDefault="00AB7653" w:rsidP="00A815A3">
      <w:pPr>
        <w:pStyle w:val="ListParagraph"/>
        <w:numPr>
          <w:ilvl w:val="0"/>
          <w:numId w:val="15"/>
        </w:numPr>
      </w:pPr>
      <w:r>
        <w:t xml:space="preserve">encourage at least some entry or expansion by other OTAs; </w:t>
      </w:r>
    </w:p>
    <w:p w:rsidR="00AB7653" w:rsidRDefault="00C37993" w:rsidP="00A815A3">
      <w:pPr>
        <w:pStyle w:val="ListParagraph"/>
        <w:numPr>
          <w:ilvl w:val="0"/>
          <w:numId w:val="15"/>
        </w:numPr>
      </w:pPr>
      <w:r>
        <w:t>be increasingly constrained directly by metasea</w:t>
      </w:r>
      <w:r w:rsidR="00781F82">
        <w:t>r</w:t>
      </w:r>
      <w:r>
        <w:t xml:space="preserve">ch websites such as TripAdvisor; </w:t>
      </w:r>
      <w:r w:rsidR="00AB7653">
        <w:t>and</w:t>
      </w:r>
    </w:p>
    <w:p w:rsidR="00AB7653" w:rsidRPr="00BC6497" w:rsidRDefault="00AB7653" w:rsidP="00A815A3">
      <w:pPr>
        <w:pStyle w:val="ListParagraph"/>
        <w:numPr>
          <w:ilvl w:val="0"/>
          <w:numId w:val="15"/>
        </w:numPr>
      </w:pPr>
      <w:r>
        <w:t xml:space="preserve">accelerate the development of new products and business models which may further reduce accommodation providers’ reliance on OTAs.  </w:t>
      </w:r>
    </w:p>
    <w:p w:rsidR="00CE42D0" w:rsidRPr="003D12D0" w:rsidRDefault="00CE42D0" w:rsidP="00B56268">
      <w:pPr>
        <w:pStyle w:val="Heading3"/>
      </w:pPr>
      <w:r w:rsidRPr="003D12D0">
        <w:t>Conclusion</w:t>
      </w:r>
    </w:p>
    <w:p w:rsidR="004E25C1" w:rsidRPr="003D12D0" w:rsidRDefault="008C28F5" w:rsidP="00CC435F">
      <w:pPr>
        <w:pStyle w:val="NormalParagraph"/>
        <w:tabs>
          <w:tab w:val="clear" w:pos="928"/>
          <w:tab w:val="num" w:pos="567"/>
        </w:tabs>
      </w:pPr>
      <w:r>
        <w:t>Based on the above analysis, t</w:t>
      </w:r>
      <w:r w:rsidR="00C2085B">
        <w:t>he ACCC concluded that the proposed acquisition was unlikely to substantially lessen competition in the market for the online distribution/booking of Australian accommodation.</w:t>
      </w:r>
    </w:p>
    <w:sectPr w:rsidR="004E25C1" w:rsidRPr="003D12D0" w:rsidSect="006D07E9">
      <w:headerReference w:type="default" r:id="rId10"/>
      <w:footerReference w:type="default" r:id="rId11"/>
      <w:pgSz w:w="11906" w:h="16838" w:code="9"/>
      <w:pgMar w:top="1440" w:right="1729" w:bottom="1582" w:left="1729" w:header="720"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DF" w:rsidRDefault="002565DF">
      <w:r>
        <w:separator/>
      </w:r>
    </w:p>
  </w:endnote>
  <w:endnote w:type="continuationSeparator" w:id="0">
    <w:p w:rsidR="002565DF" w:rsidRDefault="0025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DF" w:rsidRPr="00E44802" w:rsidRDefault="002565DF">
    <w:pPr>
      <w:pStyle w:val="Footer"/>
      <w:jc w:val="right"/>
      <w:rPr>
        <w:rFonts w:ascii="Arial" w:hAnsi="Arial" w:cs="Arial"/>
        <w:sz w:val="22"/>
      </w:rPr>
    </w:pPr>
    <w:r w:rsidRPr="00E44802">
      <w:rPr>
        <w:rFonts w:ascii="Arial" w:hAnsi="Arial" w:cs="Arial"/>
        <w:sz w:val="22"/>
      </w:rPr>
      <w:fldChar w:fldCharType="begin"/>
    </w:r>
    <w:r w:rsidRPr="00E44802">
      <w:rPr>
        <w:rFonts w:ascii="Arial" w:hAnsi="Arial" w:cs="Arial"/>
        <w:sz w:val="22"/>
      </w:rPr>
      <w:instrText xml:space="preserve"> PAGE   \* MERGEFORMAT </w:instrText>
    </w:r>
    <w:r w:rsidRPr="00E44802">
      <w:rPr>
        <w:rFonts w:ascii="Arial" w:hAnsi="Arial" w:cs="Arial"/>
        <w:sz w:val="22"/>
      </w:rPr>
      <w:fldChar w:fldCharType="separate"/>
    </w:r>
    <w:r w:rsidR="00C053B6">
      <w:rPr>
        <w:rFonts w:ascii="Arial" w:hAnsi="Arial" w:cs="Arial"/>
        <w:noProof/>
        <w:sz w:val="22"/>
      </w:rPr>
      <w:t>4</w:t>
    </w:r>
    <w:r w:rsidRPr="00E44802">
      <w:rPr>
        <w:rFonts w:ascii="Arial" w:hAnsi="Arial" w:cs="Arial"/>
        <w:noProof/>
        <w:sz w:val="22"/>
      </w:rPr>
      <w:fldChar w:fldCharType="end"/>
    </w:r>
  </w:p>
  <w:p w:rsidR="002565DF" w:rsidRPr="008D50E5" w:rsidRDefault="002565DF" w:rsidP="008D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DF" w:rsidRDefault="002565DF">
      <w:r>
        <w:separator/>
      </w:r>
    </w:p>
  </w:footnote>
  <w:footnote w:type="continuationSeparator" w:id="0">
    <w:p w:rsidR="002565DF" w:rsidRDefault="002565DF">
      <w:r>
        <w:continuationSeparator/>
      </w:r>
    </w:p>
  </w:footnote>
  <w:footnote w:id="1">
    <w:p w:rsidR="00427196" w:rsidRPr="00427196" w:rsidRDefault="00427196">
      <w:pPr>
        <w:pStyle w:val="FootnoteText"/>
        <w:rPr>
          <w:rFonts w:ascii="Arial" w:hAnsi="Arial" w:cs="Arial"/>
        </w:rPr>
      </w:pPr>
      <w:r>
        <w:rPr>
          <w:rStyle w:val="FootnoteReference"/>
        </w:rPr>
        <w:footnoteRef/>
      </w:r>
      <w:r>
        <w:t xml:space="preserve"> </w:t>
      </w:r>
      <w:r w:rsidRPr="00427196">
        <w:rPr>
          <w:rFonts w:ascii="Arial" w:hAnsi="Arial" w:cs="Arial"/>
          <w:szCs w:val="20"/>
        </w:rPr>
        <w:t>Wotif.com Holdings Limited 2014 Annual Report</w:t>
      </w:r>
      <w:r>
        <w:rPr>
          <w:rFonts w:ascii="Arial" w:hAnsi="Arial" w:cs="Arial"/>
          <w:szCs w:val="20"/>
        </w:rPr>
        <w:t>, page 18.</w:t>
      </w:r>
    </w:p>
  </w:footnote>
  <w:footnote w:id="2">
    <w:p w:rsidR="002565DF" w:rsidRPr="00914D1C" w:rsidRDefault="002565DF" w:rsidP="00914D1C">
      <w:pPr>
        <w:pStyle w:val="FootnoteText"/>
        <w:ind w:left="0" w:firstLine="0"/>
        <w:rPr>
          <w:rFonts w:ascii="Arial" w:hAnsi="Arial" w:cs="Arial"/>
          <w:sz w:val="18"/>
          <w:szCs w:val="18"/>
        </w:rPr>
      </w:pPr>
      <w:r w:rsidRPr="00914D1C">
        <w:rPr>
          <w:rStyle w:val="FootnoteReference"/>
          <w:rFonts w:ascii="Arial" w:hAnsi="Arial" w:cs="Arial"/>
          <w:szCs w:val="18"/>
        </w:rPr>
        <w:footnoteRef/>
      </w:r>
      <w:r w:rsidRPr="00914D1C">
        <w:rPr>
          <w:rFonts w:ascii="Arial" w:hAnsi="Arial" w:cs="Arial"/>
          <w:sz w:val="18"/>
          <w:szCs w:val="18"/>
        </w:rPr>
        <w:t xml:space="preserve"> </w:t>
      </w:r>
      <w:hyperlink r:id="rId1" w:history="1">
        <w:r w:rsidR="00914D1C" w:rsidRPr="00A84A5E">
          <w:rPr>
            <w:rStyle w:val="Hyperlink"/>
            <w:rFonts w:ascii="Arial" w:hAnsi="Arial" w:cs="Arial"/>
            <w:sz w:val="18"/>
            <w:szCs w:val="18"/>
          </w:rPr>
          <w:t>http://www.traveltrends.biz/ttn555-global-sites-grow-fastest-as-locals-struggle-to-stay-with-the-pace-2014-hitwise-hottest-100-reveals/</w:t>
        </w:r>
      </w:hyperlink>
      <w:r w:rsidR="006578A3" w:rsidRPr="00914D1C">
        <w:rPr>
          <w:rStyle w:val="Hyperlink"/>
          <w:rFonts w:ascii="Arial" w:hAnsi="Arial" w:cs="Arial"/>
          <w:sz w:val="18"/>
          <w:szCs w:val="18"/>
        </w:rPr>
        <w:t xml:space="preserve"> </w:t>
      </w:r>
      <w:r w:rsidRPr="00914D1C">
        <w:rPr>
          <w:rFonts w:ascii="Arial" w:hAnsi="Arial" w:cs="Arial"/>
          <w:sz w:val="18"/>
          <w:szCs w:val="18"/>
        </w:rPr>
        <w:t xml:space="preserve"> </w:t>
      </w:r>
    </w:p>
  </w:footnote>
  <w:footnote w:id="3">
    <w:p w:rsidR="00571EC4" w:rsidRPr="004B58ED" w:rsidRDefault="00571EC4">
      <w:pPr>
        <w:pStyle w:val="FootnoteText"/>
        <w:rPr>
          <w:rFonts w:ascii="Arial" w:hAnsi="Arial" w:cs="Arial"/>
          <w:sz w:val="18"/>
          <w:szCs w:val="18"/>
        </w:rPr>
      </w:pPr>
      <w:r w:rsidRPr="004B58ED">
        <w:rPr>
          <w:rStyle w:val="FootnoteReference"/>
          <w:rFonts w:ascii="Arial" w:hAnsi="Arial" w:cs="Arial"/>
          <w:szCs w:val="18"/>
        </w:rPr>
        <w:footnoteRef/>
      </w:r>
      <w:r w:rsidRPr="004B58ED">
        <w:rPr>
          <w:rFonts w:ascii="Arial" w:hAnsi="Arial" w:cs="Arial"/>
          <w:sz w:val="18"/>
          <w:szCs w:val="18"/>
        </w:rPr>
        <w:t xml:space="preserve"> A two-sided market is </w:t>
      </w:r>
      <w:r w:rsidR="000E4E66" w:rsidRPr="004B58ED">
        <w:rPr>
          <w:rFonts w:ascii="Arial" w:hAnsi="Arial" w:cs="Arial"/>
          <w:sz w:val="18"/>
          <w:szCs w:val="18"/>
        </w:rPr>
        <w:t xml:space="preserve">defined </w:t>
      </w:r>
      <w:r w:rsidRPr="004B58ED">
        <w:rPr>
          <w:rFonts w:ascii="Arial" w:hAnsi="Arial" w:cs="Arial"/>
          <w:sz w:val="18"/>
          <w:szCs w:val="18"/>
        </w:rPr>
        <w:t>at paragraph 40.</w:t>
      </w:r>
    </w:p>
  </w:footnote>
  <w:footnote w:id="4">
    <w:p w:rsidR="00DA66AD" w:rsidRPr="00DA66AD" w:rsidRDefault="00DA66AD" w:rsidP="00DA66AD">
      <w:pPr>
        <w:pStyle w:val="FootnoteText"/>
        <w:spacing w:after="60"/>
        <w:ind w:left="0" w:firstLine="0"/>
        <w:rPr>
          <w:rFonts w:ascii="Arial" w:hAnsi="Arial" w:cs="Arial"/>
        </w:rPr>
      </w:pPr>
      <w:r w:rsidRPr="00DA66AD">
        <w:rPr>
          <w:rStyle w:val="FootnoteReference"/>
          <w:rFonts w:ascii="Arial" w:hAnsi="Arial" w:cs="Arial"/>
          <w:sz w:val="16"/>
        </w:rPr>
        <w:footnoteRef/>
      </w:r>
      <w:r w:rsidRPr="00DA66AD">
        <w:rPr>
          <w:rFonts w:ascii="Arial" w:hAnsi="Arial" w:cs="Arial"/>
          <w:sz w:val="18"/>
        </w:rPr>
        <w:t xml:space="preserve"> That </w:t>
      </w:r>
      <w:r>
        <w:rPr>
          <w:rFonts w:ascii="Arial" w:hAnsi="Arial" w:cs="Arial"/>
          <w:sz w:val="18"/>
        </w:rPr>
        <w:t>is</w:t>
      </w:r>
      <w:r w:rsidR="00A749C0">
        <w:rPr>
          <w:rFonts w:ascii="Arial" w:hAnsi="Arial" w:cs="Arial"/>
          <w:sz w:val="18"/>
        </w:rPr>
        <w:t>,</w:t>
      </w:r>
      <w:r>
        <w:rPr>
          <w:rFonts w:ascii="Arial" w:hAnsi="Arial" w:cs="Arial"/>
          <w:sz w:val="18"/>
        </w:rPr>
        <w:t xml:space="preserve"> </w:t>
      </w:r>
      <w:r w:rsidRPr="00DA66AD">
        <w:rPr>
          <w:rFonts w:ascii="Arial" w:hAnsi="Arial" w:cs="Arial"/>
          <w:sz w:val="18"/>
        </w:rPr>
        <w:t>an increase in the number of accommodation providers listing on OTAs increases the value of the OTA to consumers who want to book accommodation, therefore attrac</w:t>
      </w:r>
      <w:r>
        <w:rPr>
          <w:rFonts w:ascii="Arial" w:hAnsi="Arial" w:cs="Arial"/>
          <w:sz w:val="18"/>
        </w:rPr>
        <w:t xml:space="preserve">ting more consumers to the OTA, </w:t>
      </w:r>
      <w:r w:rsidRPr="00DA66AD">
        <w:rPr>
          <w:rFonts w:ascii="Arial" w:hAnsi="Arial" w:cs="Arial"/>
          <w:sz w:val="18"/>
        </w:rPr>
        <w:t>and vice versa.</w:t>
      </w:r>
    </w:p>
  </w:footnote>
  <w:footnote w:id="5">
    <w:p w:rsidR="002565DF" w:rsidRPr="00914D1C" w:rsidRDefault="002565DF" w:rsidP="004E7C59">
      <w:pPr>
        <w:pStyle w:val="FootnoteText"/>
        <w:spacing w:after="60"/>
        <w:ind w:left="0" w:firstLine="0"/>
        <w:rPr>
          <w:rFonts w:ascii="Arial" w:hAnsi="Arial" w:cs="Arial"/>
          <w:sz w:val="18"/>
          <w:szCs w:val="18"/>
        </w:rPr>
      </w:pPr>
      <w:r w:rsidRPr="00914D1C">
        <w:rPr>
          <w:rStyle w:val="FootnoteReference"/>
          <w:rFonts w:ascii="Arial" w:hAnsi="Arial" w:cs="Arial"/>
          <w:szCs w:val="18"/>
        </w:rPr>
        <w:footnoteRef/>
      </w:r>
      <w:r w:rsidRPr="00914D1C">
        <w:rPr>
          <w:rFonts w:ascii="Arial" w:hAnsi="Arial" w:cs="Arial"/>
          <w:sz w:val="18"/>
          <w:szCs w:val="18"/>
        </w:rPr>
        <w:t xml:space="preserve"> As an alternative to contracting directly with accommodation providers, some OTAs acquire inventory from other OTAs (e.g. from Expedia through its Expedia Affiliate Network). However, this reduces the margin available to the re-selling OTA and may also impact its ability to compete by offering innovative offers to consumers.</w:t>
      </w:r>
    </w:p>
  </w:footnote>
  <w:footnote w:id="6">
    <w:p w:rsidR="002565DF" w:rsidRDefault="002565DF" w:rsidP="004E7C59">
      <w:pPr>
        <w:pStyle w:val="FootnoteText"/>
        <w:spacing w:after="60"/>
        <w:ind w:left="0" w:firstLine="0"/>
      </w:pPr>
      <w:r w:rsidRPr="00914D1C">
        <w:rPr>
          <w:rStyle w:val="FootnoteReference"/>
          <w:rFonts w:ascii="Arial" w:hAnsi="Arial" w:cs="Arial"/>
          <w:szCs w:val="18"/>
        </w:rPr>
        <w:footnoteRef/>
      </w:r>
      <w:r w:rsidRPr="00914D1C">
        <w:rPr>
          <w:rFonts w:ascii="Arial" w:hAnsi="Arial" w:cs="Arial"/>
          <w:sz w:val="18"/>
          <w:szCs w:val="18"/>
        </w:rPr>
        <w:t xml:space="preserve"> The ACCC notes that airlines and their affiliates (e.g. Hooroo) may be well placed to </w:t>
      </w:r>
      <w:r w:rsidR="00B40A87">
        <w:rPr>
          <w:rFonts w:ascii="Arial" w:hAnsi="Arial" w:cs="Arial"/>
          <w:sz w:val="18"/>
          <w:szCs w:val="18"/>
        </w:rPr>
        <w:t xml:space="preserve">sell </w:t>
      </w:r>
      <w:r w:rsidRPr="00914D1C">
        <w:rPr>
          <w:rFonts w:ascii="Arial" w:hAnsi="Arial" w:cs="Arial"/>
          <w:sz w:val="18"/>
          <w:szCs w:val="18"/>
        </w:rPr>
        <w:t xml:space="preserve">accommodation </w:t>
      </w:r>
      <w:r w:rsidR="00B40A87">
        <w:rPr>
          <w:rFonts w:ascii="Arial" w:hAnsi="Arial" w:cs="Arial"/>
          <w:sz w:val="18"/>
          <w:szCs w:val="18"/>
        </w:rPr>
        <w:t xml:space="preserve">by selling it </w:t>
      </w:r>
      <w:r w:rsidR="00054473" w:rsidRPr="00914D1C">
        <w:rPr>
          <w:rFonts w:ascii="Arial" w:hAnsi="Arial" w:cs="Arial"/>
          <w:sz w:val="18"/>
          <w:szCs w:val="18"/>
        </w:rPr>
        <w:t xml:space="preserve">in conjunction with </w:t>
      </w:r>
      <w:r w:rsidRPr="00914D1C">
        <w:rPr>
          <w:rFonts w:ascii="Arial" w:hAnsi="Arial" w:cs="Arial"/>
          <w:sz w:val="18"/>
          <w:szCs w:val="18"/>
        </w:rPr>
        <w:t>flight</w:t>
      </w:r>
      <w:r w:rsidR="00B40A87">
        <w:rPr>
          <w:rFonts w:ascii="Arial" w:hAnsi="Arial" w:cs="Arial"/>
          <w:sz w:val="18"/>
          <w:szCs w:val="18"/>
        </w:rPr>
        <w:t>s</w:t>
      </w:r>
      <w:r w:rsidRPr="00914D1C">
        <w:rPr>
          <w:rFonts w:ascii="Arial" w:hAnsi="Arial" w:cs="Arial"/>
          <w:sz w:val="18"/>
          <w:szCs w:val="18"/>
        </w:rPr>
        <w:t xml:space="preserve">. On the other hand, not all accommodation bookings are associated with flights and many consumers who have booked flights are still likely to search separately for their accommodation to ensure they </w:t>
      </w:r>
      <w:r w:rsidR="00B40A87">
        <w:rPr>
          <w:rFonts w:ascii="Arial" w:hAnsi="Arial" w:cs="Arial"/>
          <w:sz w:val="18"/>
          <w:szCs w:val="18"/>
        </w:rPr>
        <w:t xml:space="preserve">obtain </w:t>
      </w:r>
      <w:r w:rsidRPr="00914D1C">
        <w:rPr>
          <w:rFonts w:ascii="Arial" w:hAnsi="Arial" w:cs="Arial"/>
          <w:sz w:val="18"/>
          <w:szCs w:val="18"/>
        </w:rPr>
        <w:t>the best deal.</w:t>
      </w:r>
    </w:p>
  </w:footnote>
  <w:footnote w:id="7">
    <w:p w:rsidR="002565DF" w:rsidRPr="00914D1C" w:rsidRDefault="002565DF" w:rsidP="00E778AD">
      <w:pPr>
        <w:pStyle w:val="FootnoteText"/>
        <w:ind w:left="0" w:firstLine="0"/>
        <w:rPr>
          <w:rFonts w:ascii="Arial" w:hAnsi="Arial" w:cs="Arial"/>
          <w:sz w:val="18"/>
          <w:szCs w:val="18"/>
        </w:rPr>
      </w:pPr>
      <w:r w:rsidRPr="00914D1C">
        <w:rPr>
          <w:rStyle w:val="FootnoteReference"/>
          <w:rFonts w:ascii="Arial" w:hAnsi="Arial" w:cs="Arial"/>
          <w:szCs w:val="18"/>
        </w:rPr>
        <w:footnoteRef/>
      </w:r>
      <w:r w:rsidRPr="00914D1C">
        <w:rPr>
          <w:rFonts w:ascii="Arial" w:hAnsi="Arial" w:cs="Arial"/>
          <w:sz w:val="18"/>
          <w:szCs w:val="18"/>
        </w:rPr>
        <w:t xml:space="preserve"> Wotif, </w:t>
      </w:r>
      <w:r w:rsidRPr="00914D1C">
        <w:rPr>
          <w:rFonts w:ascii="Arial" w:hAnsi="Arial" w:cs="Arial"/>
          <w:i/>
          <w:sz w:val="18"/>
          <w:szCs w:val="18"/>
        </w:rPr>
        <w:t>FY14 Results – Presentation Materials</w:t>
      </w:r>
      <w:r w:rsidRPr="00914D1C">
        <w:rPr>
          <w:rFonts w:ascii="Arial" w:hAnsi="Arial" w:cs="Arial"/>
          <w:sz w:val="18"/>
          <w:szCs w:val="18"/>
        </w:rPr>
        <w:t>, http://www.wotifgroup.com/wp-content/uploads/2014/08/ASX294-12Aug14-Presentation-Materials.pdf</w:t>
      </w:r>
    </w:p>
  </w:footnote>
  <w:footnote w:id="8">
    <w:p w:rsidR="002565DF" w:rsidRPr="00914D1C" w:rsidRDefault="002565DF" w:rsidP="004E7C59">
      <w:pPr>
        <w:pStyle w:val="FootnoteText"/>
        <w:spacing w:after="60"/>
        <w:ind w:left="0" w:firstLine="0"/>
        <w:rPr>
          <w:rFonts w:ascii="Arial" w:hAnsi="Arial" w:cs="Arial"/>
          <w:sz w:val="18"/>
          <w:szCs w:val="18"/>
        </w:rPr>
      </w:pPr>
      <w:r w:rsidRPr="00914D1C">
        <w:rPr>
          <w:rStyle w:val="FootnoteReference"/>
          <w:rFonts w:ascii="Arial" w:hAnsi="Arial" w:cs="Arial"/>
          <w:szCs w:val="18"/>
        </w:rPr>
        <w:footnoteRef/>
      </w:r>
      <w:r w:rsidRPr="00914D1C">
        <w:rPr>
          <w:rFonts w:ascii="Arial" w:hAnsi="Arial" w:cs="Arial"/>
          <w:sz w:val="18"/>
          <w:szCs w:val="18"/>
        </w:rPr>
        <w:t xml:space="preserve"> The actual transaction service is still provided by an OTA, but the OTA’s role is much less prominent compared to </w:t>
      </w:r>
      <w:r w:rsidR="00781F82" w:rsidRPr="00914D1C">
        <w:rPr>
          <w:rFonts w:ascii="Arial" w:hAnsi="Arial" w:cs="Arial"/>
          <w:sz w:val="18"/>
          <w:szCs w:val="18"/>
        </w:rPr>
        <w:t>a</w:t>
      </w:r>
      <w:r w:rsidRPr="00914D1C">
        <w:rPr>
          <w:rFonts w:ascii="Arial" w:hAnsi="Arial" w:cs="Arial"/>
          <w:sz w:val="18"/>
          <w:szCs w:val="18"/>
        </w:rPr>
        <w:t xml:space="preserve"> standard booking than originates with TripAdvisor.</w:t>
      </w:r>
    </w:p>
  </w:footnote>
  <w:footnote w:id="9">
    <w:p w:rsidR="002565DF" w:rsidRPr="00914D1C" w:rsidRDefault="002565DF" w:rsidP="004E7C59">
      <w:pPr>
        <w:pStyle w:val="FootnoteText"/>
        <w:spacing w:after="60"/>
        <w:ind w:left="0" w:firstLine="0"/>
        <w:rPr>
          <w:rFonts w:ascii="Arial" w:hAnsi="Arial" w:cs="Arial"/>
          <w:sz w:val="18"/>
          <w:szCs w:val="18"/>
        </w:rPr>
      </w:pPr>
      <w:r w:rsidRPr="00914D1C">
        <w:rPr>
          <w:rStyle w:val="FootnoteReference"/>
          <w:rFonts w:ascii="Arial" w:hAnsi="Arial" w:cs="Arial"/>
          <w:szCs w:val="18"/>
        </w:rPr>
        <w:footnoteRef/>
      </w:r>
      <w:r w:rsidRPr="00914D1C">
        <w:rPr>
          <w:rFonts w:ascii="Arial" w:hAnsi="Arial" w:cs="Arial"/>
          <w:sz w:val="18"/>
          <w:szCs w:val="18"/>
        </w:rPr>
        <w:t xml:space="preserve"> For example, Site Minder’s Channel Manager product allows a hotel to list a</w:t>
      </w:r>
      <w:r w:rsidR="00914D1C">
        <w:rPr>
          <w:rFonts w:ascii="Arial" w:hAnsi="Arial" w:cs="Arial"/>
          <w:sz w:val="18"/>
          <w:szCs w:val="18"/>
        </w:rPr>
        <w:t xml:space="preserve">ll </w:t>
      </w:r>
      <w:r w:rsidRPr="00914D1C">
        <w:rPr>
          <w:rFonts w:ascii="Arial" w:hAnsi="Arial" w:cs="Arial"/>
          <w:sz w:val="18"/>
          <w:szCs w:val="18"/>
        </w:rPr>
        <w:t>available rooms on a range of booking sites at the one time and the number of available rooms is automatically reduced across all those sites when a booking is made from any site.</w:t>
      </w:r>
    </w:p>
  </w:footnote>
  <w:footnote w:id="10">
    <w:p w:rsidR="00E72E28" w:rsidRPr="00E72E28" w:rsidRDefault="00E72E28" w:rsidP="00DA66AD">
      <w:pPr>
        <w:pStyle w:val="FootnoteText"/>
        <w:ind w:left="0" w:firstLine="0"/>
        <w:rPr>
          <w:rFonts w:ascii="Arial" w:hAnsi="Arial" w:cs="Arial"/>
        </w:rPr>
      </w:pPr>
      <w:r w:rsidRPr="00E72E28">
        <w:rPr>
          <w:rStyle w:val="FootnoteReference"/>
          <w:rFonts w:ascii="Arial" w:hAnsi="Arial" w:cs="Arial"/>
          <w:sz w:val="16"/>
        </w:rPr>
        <w:footnoteRef/>
      </w:r>
      <w:r w:rsidRPr="00E72E28">
        <w:rPr>
          <w:rFonts w:ascii="Arial" w:hAnsi="Arial" w:cs="Arial"/>
          <w:sz w:val="18"/>
        </w:rPr>
        <w:t xml:space="preserve"> For example, Amazon is </w:t>
      </w:r>
      <w:r w:rsidR="00E82D75">
        <w:rPr>
          <w:rFonts w:ascii="Arial" w:hAnsi="Arial" w:cs="Arial"/>
          <w:sz w:val="18"/>
        </w:rPr>
        <w:t>reported</w:t>
      </w:r>
      <w:r>
        <w:rPr>
          <w:rFonts w:ascii="Arial" w:hAnsi="Arial" w:cs="Arial"/>
          <w:sz w:val="18"/>
        </w:rPr>
        <w:t xml:space="preserve"> to be</w:t>
      </w:r>
      <w:r w:rsidRPr="00E72E28">
        <w:rPr>
          <w:rFonts w:ascii="Arial" w:hAnsi="Arial" w:cs="Arial"/>
          <w:sz w:val="18"/>
        </w:rPr>
        <w:t xml:space="preserve"> enter</w:t>
      </w:r>
      <w:r>
        <w:rPr>
          <w:rFonts w:ascii="Arial" w:hAnsi="Arial" w:cs="Arial"/>
          <w:sz w:val="18"/>
        </w:rPr>
        <w:t>ing</w:t>
      </w:r>
      <w:r w:rsidRPr="00E72E28">
        <w:rPr>
          <w:rFonts w:ascii="Arial" w:hAnsi="Arial" w:cs="Arial"/>
          <w:sz w:val="18"/>
        </w:rPr>
        <w:t xml:space="preserve"> the OTA market (this was not known at the time of the ACCC’s decision)</w:t>
      </w:r>
      <w:r w:rsidR="00720096">
        <w:rPr>
          <w:rFonts w:ascii="Arial" w:hAnsi="Arial" w:cs="Arial"/>
          <w:sz w:val="18"/>
        </w:rPr>
        <w:t>:</w:t>
      </w:r>
      <w:r w:rsidRPr="00E72E28">
        <w:rPr>
          <w:rFonts w:ascii="Arial" w:hAnsi="Arial" w:cs="Arial"/>
          <w:sz w:val="18"/>
        </w:rPr>
        <w:t xml:space="preserve"> </w:t>
      </w:r>
      <w:hyperlink r:id="rId2" w:history="1">
        <w:r w:rsidRPr="00E72E28">
          <w:rPr>
            <w:rStyle w:val="Hyperlink"/>
            <w:rFonts w:ascii="Arial" w:hAnsi="Arial" w:cs="Arial"/>
            <w:sz w:val="18"/>
          </w:rPr>
          <w:t>http://www.economist.com/blogs/gulliver/2014/11/online-travel-firms?fsrc=scn/tw/te/bl/enteramazon</w:t>
        </w:r>
      </w:hyperlink>
      <w:r>
        <w:rPr>
          <w:rFonts w:ascii="Arial" w:hAnsi="Arial" w:cs="Arial"/>
          <w:sz w:val="18"/>
        </w:rPr>
        <w:t>.</w:t>
      </w:r>
      <w:r w:rsidRPr="00E72E28">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DF" w:rsidRPr="001E2914" w:rsidRDefault="002565DF">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01"/>
    <w:multiLevelType w:val="hybridMultilevel"/>
    <w:tmpl w:val="9F2284BC"/>
    <w:lvl w:ilvl="0" w:tplc="0C090001">
      <w:start w:val="1"/>
      <w:numFmt w:val="bullet"/>
      <w:lvlText w:val=""/>
      <w:lvlJc w:val="left"/>
      <w:pPr>
        <w:ind w:left="1354" w:hanging="360"/>
      </w:pPr>
      <w:rPr>
        <w:rFonts w:ascii="Symbol" w:hAnsi="Symbol" w:hint="default"/>
      </w:rPr>
    </w:lvl>
    <w:lvl w:ilvl="1" w:tplc="0C090003" w:tentative="1">
      <w:start w:val="1"/>
      <w:numFmt w:val="bullet"/>
      <w:lvlText w:val="o"/>
      <w:lvlJc w:val="left"/>
      <w:pPr>
        <w:ind w:left="2074" w:hanging="360"/>
      </w:pPr>
      <w:rPr>
        <w:rFonts w:ascii="Courier New" w:hAnsi="Courier New" w:cs="Courier New" w:hint="default"/>
      </w:rPr>
    </w:lvl>
    <w:lvl w:ilvl="2" w:tplc="0C090005" w:tentative="1">
      <w:start w:val="1"/>
      <w:numFmt w:val="bullet"/>
      <w:lvlText w:val=""/>
      <w:lvlJc w:val="left"/>
      <w:pPr>
        <w:ind w:left="2794" w:hanging="360"/>
      </w:pPr>
      <w:rPr>
        <w:rFonts w:ascii="Wingdings" w:hAnsi="Wingdings" w:hint="default"/>
      </w:rPr>
    </w:lvl>
    <w:lvl w:ilvl="3" w:tplc="0C090001" w:tentative="1">
      <w:start w:val="1"/>
      <w:numFmt w:val="bullet"/>
      <w:lvlText w:val=""/>
      <w:lvlJc w:val="left"/>
      <w:pPr>
        <w:ind w:left="3514" w:hanging="360"/>
      </w:pPr>
      <w:rPr>
        <w:rFonts w:ascii="Symbol" w:hAnsi="Symbol" w:hint="default"/>
      </w:rPr>
    </w:lvl>
    <w:lvl w:ilvl="4" w:tplc="0C090003" w:tentative="1">
      <w:start w:val="1"/>
      <w:numFmt w:val="bullet"/>
      <w:lvlText w:val="o"/>
      <w:lvlJc w:val="left"/>
      <w:pPr>
        <w:ind w:left="4234" w:hanging="360"/>
      </w:pPr>
      <w:rPr>
        <w:rFonts w:ascii="Courier New" w:hAnsi="Courier New" w:cs="Courier New" w:hint="default"/>
      </w:rPr>
    </w:lvl>
    <w:lvl w:ilvl="5" w:tplc="0C090005" w:tentative="1">
      <w:start w:val="1"/>
      <w:numFmt w:val="bullet"/>
      <w:lvlText w:val=""/>
      <w:lvlJc w:val="left"/>
      <w:pPr>
        <w:ind w:left="4954" w:hanging="360"/>
      </w:pPr>
      <w:rPr>
        <w:rFonts w:ascii="Wingdings" w:hAnsi="Wingdings" w:hint="default"/>
      </w:rPr>
    </w:lvl>
    <w:lvl w:ilvl="6" w:tplc="0C090001" w:tentative="1">
      <w:start w:val="1"/>
      <w:numFmt w:val="bullet"/>
      <w:lvlText w:val=""/>
      <w:lvlJc w:val="left"/>
      <w:pPr>
        <w:ind w:left="5674" w:hanging="360"/>
      </w:pPr>
      <w:rPr>
        <w:rFonts w:ascii="Symbol" w:hAnsi="Symbol" w:hint="default"/>
      </w:rPr>
    </w:lvl>
    <w:lvl w:ilvl="7" w:tplc="0C090003" w:tentative="1">
      <w:start w:val="1"/>
      <w:numFmt w:val="bullet"/>
      <w:lvlText w:val="o"/>
      <w:lvlJc w:val="left"/>
      <w:pPr>
        <w:ind w:left="6394" w:hanging="360"/>
      </w:pPr>
      <w:rPr>
        <w:rFonts w:ascii="Courier New" w:hAnsi="Courier New" w:cs="Courier New" w:hint="default"/>
      </w:rPr>
    </w:lvl>
    <w:lvl w:ilvl="8" w:tplc="0C090005" w:tentative="1">
      <w:start w:val="1"/>
      <w:numFmt w:val="bullet"/>
      <w:lvlText w:val=""/>
      <w:lvlJc w:val="left"/>
      <w:pPr>
        <w:ind w:left="7114" w:hanging="360"/>
      </w:pPr>
      <w:rPr>
        <w:rFonts w:ascii="Wingdings" w:hAnsi="Wingdings" w:hint="default"/>
      </w:rPr>
    </w:lvl>
  </w:abstractNum>
  <w:abstractNum w:abstractNumId="1">
    <w:nsid w:val="023E26B9"/>
    <w:multiLevelType w:val="multilevel"/>
    <w:tmpl w:val="6A18835A"/>
    <w:lvl w:ilvl="0">
      <w:start w:val="1"/>
      <w:numFmt w:val="lowerRoman"/>
      <w:pStyle w:val="ListParagraph"/>
      <w:lvlText w:val="%1."/>
      <w:lvlJc w:val="right"/>
      <w:pPr>
        <w:tabs>
          <w:tab w:val="num" w:pos="1080"/>
        </w:tabs>
        <w:ind w:left="1080" w:hanging="360"/>
      </w:pPr>
      <w:rPr>
        <w:rFonts w:hint="default"/>
        <w:b w:val="0"/>
        <w:i w:val="0"/>
        <w:sz w:val="24"/>
      </w:rPr>
    </w:lvl>
    <w:lvl w:ilvl="1">
      <w:start w:val="1"/>
      <w:numFmt w:val="bullet"/>
      <w:lvlText w:val=""/>
      <w:lvlJc w:val="left"/>
      <w:pPr>
        <w:tabs>
          <w:tab w:val="num" w:pos="872"/>
        </w:tabs>
        <w:ind w:left="872" w:hanging="360"/>
      </w:pPr>
      <w:rPr>
        <w:rFonts w:ascii="Wingdings" w:hAnsi="Wingdings" w:hint="default"/>
        <w:sz w:val="12"/>
      </w:rPr>
    </w:lvl>
    <w:lvl w:ilvl="2">
      <w:start w:val="1"/>
      <w:numFmt w:val="bullet"/>
      <w:lvlText w:val="–"/>
      <w:lvlJc w:val="left"/>
      <w:pPr>
        <w:tabs>
          <w:tab w:val="num" w:pos="1232"/>
        </w:tabs>
        <w:ind w:left="1232" w:hanging="360"/>
      </w:pPr>
      <w:rPr>
        <w:rFonts w:ascii="Times New Roman" w:hAnsi="Times New Roman" w:hint="default"/>
        <w:sz w:val="24"/>
      </w:rPr>
    </w:lvl>
    <w:lvl w:ilvl="3">
      <w:start w:val="1"/>
      <w:numFmt w:val="bullet"/>
      <w:lvlText w:val=""/>
      <w:lvlJc w:val="left"/>
      <w:pPr>
        <w:tabs>
          <w:tab w:val="num" w:pos="1592"/>
        </w:tabs>
        <w:ind w:left="1592" w:hanging="360"/>
      </w:pPr>
      <w:rPr>
        <w:rFonts w:ascii="Symbol" w:hAnsi="Symbol" w:hint="default"/>
      </w:rPr>
    </w:lvl>
    <w:lvl w:ilvl="4">
      <w:start w:val="1"/>
      <w:numFmt w:val="bullet"/>
      <w:lvlText w:val=""/>
      <w:lvlJc w:val="left"/>
      <w:pPr>
        <w:tabs>
          <w:tab w:val="num" w:pos="1952"/>
        </w:tabs>
        <w:ind w:left="1952" w:hanging="360"/>
      </w:pPr>
      <w:rPr>
        <w:rFonts w:ascii="Symbol" w:hAnsi="Symbol" w:hint="default"/>
      </w:rPr>
    </w:lvl>
    <w:lvl w:ilvl="5">
      <w:start w:val="1"/>
      <w:numFmt w:val="bullet"/>
      <w:lvlText w:val=""/>
      <w:lvlJc w:val="left"/>
      <w:pPr>
        <w:tabs>
          <w:tab w:val="num" w:pos="2312"/>
        </w:tabs>
        <w:ind w:left="2312" w:hanging="360"/>
      </w:pPr>
      <w:rPr>
        <w:rFonts w:ascii="Wingdings" w:hAnsi="Wingdings" w:hint="default"/>
      </w:rPr>
    </w:lvl>
    <w:lvl w:ilvl="6">
      <w:start w:val="1"/>
      <w:numFmt w:val="bullet"/>
      <w:lvlText w:val=""/>
      <w:lvlJc w:val="left"/>
      <w:pPr>
        <w:tabs>
          <w:tab w:val="num" w:pos="2672"/>
        </w:tabs>
        <w:ind w:left="2672" w:hanging="360"/>
      </w:pPr>
      <w:rPr>
        <w:rFonts w:ascii="Wingdings" w:hAnsi="Wingdings" w:hint="default"/>
      </w:rPr>
    </w:lvl>
    <w:lvl w:ilvl="7">
      <w:start w:val="1"/>
      <w:numFmt w:val="bullet"/>
      <w:lvlText w:val=""/>
      <w:lvlJc w:val="left"/>
      <w:pPr>
        <w:tabs>
          <w:tab w:val="num" w:pos="3032"/>
        </w:tabs>
        <w:ind w:left="3032" w:hanging="360"/>
      </w:pPr>
      <w:rPr>
        <w:rFonts w:ascii="Symbol" w:hAnsi="Symbol" w:hint="default"/>
      </w:rPr>
    </w:lvl>
    <w:lvl w:ilvl="8">
      <w:start w:val="1"/>
      <w:numFmt w:val="bullet"/>
      <w:lvlText w:val=""/>
      <w:lvlJc w:val="left"/>
      <w:pPr>
        <w:tabs>
          <w:tab w:val="num" w:pos="3392"/>
        </w:tabs>
        <w:ind w:left="3392" w:hanging="360"/>
      </w:pPr>
      <w:rPr>
        <w:rFonts w:ascii="Symbol" w:hAnsi="Symbol" w:hint="default"/>
      </w:rPr>
    </w:lvl>
  </w:abstractNum>
  <w:abstractNum w:abstractNumId="2">
    <w:nsid w:val="08124EDD"/>
    <w:multiLevelType w:val="hybridMultilevel"/>
    <w:tmpl w:val="5312676C"/>
    <w:lvl w:ilvl="0" w:tplc="F10C09B6">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3">
    <w:nsid w:val="12992416"/>
    <w:multiLevelType w:val="hybridMultilevel"/>
    <w:tmpl w:val="538ECC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8010E6B"/>
    <w:multiLevelType w:val="singleLevel"/>
    <w:tmpl w:val="5E4850B2"/>
    <w:lvl w:ilvl="0">
      <w:start w:val="1"/>
      <w:numFmt w:val="bullet"/>
      <w:pStyle w:val="ListBullet2"/>
      <w:lvlText w:val=""/>
      <w:lvlJc w:val="left"/>
      <w:pPr>
        <w:tabs>
          <w:tab w:val="num" w:pos="360"/>
        </w:tabs>
        <w:ind w:left="360" w:hanging="360"/>
      </w:pPr>
      <w:rPr>
        <w:rFonts w:ascii="Wingdings" w:hAnsi="Wingdings" w:hint="default"/>
      </w:rPr>
    </w:lvl>
  </w:abstractNum>
  <w:abstractNum w:abstractNumId="5">
    <w:nsid w:val="21805366"/>
    <w:multiLevelType w:val="hybridMultilevel"/>
    <w:tmpl w:val="B3F2C796"/>
    <w:lvl w:ilvl="0" w:tplc="4D482804">
      <w:start w:val="1"/>
      <w:numFmt w:val="decimal"/>
      <w:pStyle w:val="Numbered"/>
      <w:lvlText w:val="%1."/>
      <w:lvlJc w:val="left"/>
      <w:pPr>
        <w:tabs>
          <w:tab w:val="num" w:pos="567"/>
        </w:tabs>
        <w:ind w:left="567" w:hanging="56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nsid w:val="241E5D9E"/>
    <w:multiLevelType w:val="hybridMultilevel"/>
    <w:tmpl w:val="878EEAB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7">
    <w:nsid w:val="26042DE1"/>
    <w:multiLevelType w:val="hybridMultilevel"/>
    <w:tmpl w:val="03B69560"/>
    <w:lvl w:ilvl="0" w:tplc="E0AE36E2">
      <w:start w:val="1"/>
      <w:numFmt w:val="lowerLetter"/>
      <w:pStyle w:val="ABC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CF02FE5"/>
    <w:multiLevelType w:val="hybridMultilevel"/>
    <w:tmpl w:val="30E63E8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42CA085C"/>
    <w:multiLevelType w:val="singleLevel"/>
    <w:tmpl w:val="B86CC12E"/>
    <w:lvl w:ilvl="0">
      <w:start w:val="1"/>
      <w:numFmt w:val="bullet"/>
      <w:pStyle w:val="ListBullet"/>
      <w:lvlText w:val=""/>
      <w:lvlJc w:val="left"/>
      <w:pPr>
        <w:tabs>
          <w:tab w:val="num" w:pos="360"/>
        </w:tabs>
        <w:ind w:left="360" w:hanging="360"/>
      </w:pPr>
      <w:rPr>
        <w:rFonts w:ascii="Wingdings" w:hAnsi="Wingdings" w:hint="default"/>
        <w:sz w:val="24"/>
        <w:szCs w:val="24"/>
      </w:rPr>
    </w:lvl>
  </w:abstractNum>
  <w:abstractNum w:abstractNumId="10">
    <w:nsid w:val="433056AA"/>
    <w:multiLevelType w:val="singleLevel"/>
    <w:tmpl w:val="7A3837B0"/>
    <w:lvl w:ilvl="0">
      <w:numFmt w:val="bullet"/>
      <w:pStyle w:val="ListBullet3"/>
      <w:lvlText w:val="—"/>
      <w:lvlJc w:val="left"/>
      <w:pPr>
        <w:tabs>
          <w:tab w:val="num" w:pos="360"/>
        </w:tabs>
        <w:ind w:left="360" w:hanging="360"/>
      </w:pPr>
      <w:rPr>
        <w:rFonts w:ascii="Times New Roman" w:hAnsi="Times New Roman" w:hint="default"/>
      </w:rPr>
    </w:lvl>
  </w:abstractNum>
  <w:abstractNum w:abstractNumId="11">
    <w:nsid w:val="46352D43"/>
    <w:multiLevelType w:val="hybridMultilevel"/>
    <w:tmpl w:val="5BBA5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0023BF"/>
    <w:multiLevelType w:val="singleLevel"/>
    <w:tmpl w:val="702CADA2"/>
    <w:lvl w:ilvl="0">
      <w:start w:val="1"/>
      <w:numFmt w:val="bullet"/>
      <w:pStyle w:val="Bullet1"/>
      <w:lvlText w:val=""/>
      <w:lvlJc w:val="left"/>
      <w:pPr>
        <w:tabs>
          <w:tab w:val="num" w:pos="360"/>
        </w:tabs>
        <w:ind w:left="360" w:hanging="360"/>
      </w:pPr>
      <w:rPr>
        <w:rFonts w:ascii="Wingdings" w:hAnsi="Wingdings" w:hint="default"/>
        <w:b w:val="0"/>
        <w:i w:val="0"/>
        <w:sz w:val="36"/>
      </w:rPr>
    </w:lvl>
  </w:abstractNum>
  <w:abstractNum w:abstractNumId="13">
    <w:nsid w:val="513A5D01"/>
    <w:multiLevelType w:val="multilevel"/>
    <w:tmpl w:val="730ACE4C"/>
    <w:lvl w:ilvl="0">
      <w:start w:val="1"/>
      <w:numFmt w:val="decimal"/>
      <w:pStyle w:val="NormalParagraph"/>
      <w:lvlText w:val="%1."/>
      <w:lvlJc w:val="left"/>
      <w:pPr>
        <w:tabs>
          <w:tab w:val="num" w:pos="928"/>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bullet"/>
      <w:lvlText w:val=""/>
      <w:lvlJc w:val="left"/>
      <w:pPr>
        <w:tabs>
          <w:tab w:val="num" w:pos="720"/>
        </w:tabs>
        <w:ind w:left="720" w:hanging="360"/>
      </w:pPr>
      <w:rPr>
        <w:rFonts w:ascii="Symbol" w:hAnsi="Symbol" w:hint="default"/>
        <w:sz w:val="22"/>
        <w:szCs w:val="28"/>
      </w:rPr>
    </w:lvl>
    <w:lvl w:ilvl="2">
      <w:start w:val="1"/>
      <w:numFmt w:val="bullet"/>
      <w:lvlText w:val="–"/>
      <w:lvlJc w:val="left"/>
      <w:pPr>
        <w:tabs>
          <w:tab w:val="num" w:pos="1080"/>
        </w:tabs>
        <w:ind w:left="1080" w:hanging="360"/>
      </w:pPr>
      <w:rPr>
        <w:rFonts w:ascii="Times New Roman" w:hAnsi="Times New Roman"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52CE7D9C"/>
    <w:multiLevelType w:val="multilevel"/>
    <w:tmpl w:val="C968366A"/>
    <w:lvl w:ilvl="0">
      <w:start w:val="1"/>
      <w:numFmt w:val="decimal"/>
      <w:pStyle w:val="HeadNumb"/>
      <w:lvlText w:val="%1."/>
      <w:lvlJc w:val="left"/>
      <w:pPr>
        <w:tabs>
          <w:tab w:val="num" w:pos="681"/>
        </w:tabs>
        <w:ind w:left="681" w:hanging="397"/>
      </w:pPr>
      <w:rPr>
        <w:rFonts w:ascii="Arial Bold" w:hAnsi="Arial Bold" w:hint="default"/>
        <w:b/>
        <w:i w:val="0"/>
        <w:caps w:val="0"/>
        <w:strike w:val="0"/>
        <w:dstrike w:val="0"/>
        <w:vanish w:val="0"/>
        <w:color w:val="000000"/>
        <w:sz w:val="18"/>
        <w:szCs w:val="18"/>
        <w:vertAlign w:val="baseline"/>
      </w:rPr>
    </w:lvl>
    <w:lvl w:ilvl="1">
      <w:start w:val="1"/>
      <w:numFmt w:val="decimal"/>
      <w:pStyle w:val="SecondlevelNumb"/>
      <w:lvlText w:val="%1.%2"/>
      <w:lvlJc w:val="left"/>
      <w:pPr>
        <w:tabs>
          <w:tab w:val="num" w:pos="851"/>
        </w:tabs>
        <w:ind w:left="1248" w:hanging="397"/>
      </w:pPr>
      <w:rPr>
        <w:rFonts w:ascii="Arial" w:hAnsi="Arial" w:hint="default"/>
        <w:b w:val="0"/>
        <w:i w:val="0"/>
        <w:caps w:val="0"/>
        <w:strike w:val="0"/>
        <w:dstrike w:val="0"/>
        <w:vanish w:val="0"/>
        <w:color w:val="000000"/>
        <w:sz w:val="22"/>
        <w:szCs w:val="22"/>
        <w:vertAlign w:val="baseline"/>
      </w:rPr>
    </w:lvl>
    <w:lvl w:ilvl="2">
      <w:start w:val="1"/>
      <w:numFmt w:val="lowerLetter"/>
      <w:lvlText w:val="(%3)"/>
      <w:lvlJc w:val="left"/>
      <w:pPr>
        <w:tabs>
          <w:tab w:val="num" w:pos="1724"/>
        </w:tabs>
        <w:ind w:left="1724" w:hanging="720"/>
      </w:pPr>
      <w:rPr>
        <w:rFonts w:ascii="Tahoma" w:hAnsi="Tahoma" w:hint="default"/>
        <w:b w:val="0"/>
        <w:i w:val="0"/>
        <w:caps w:val="0"/>
        <w:strike w:val="0"/>
        <w:dstrike w:val="0"/>
        <w:vanish w:val="0"/>
        <w:color w:val="000000"/>
        <w:sz w:val="24"/>
        <w:vertAlign w:val="baseline"/>
      </w:rPr>
    </w:lvl>
    <w:lvl w:ilvl="3">
      <w:start w:val="1"/>
      <w:numFmt w:val="lowerRoman"/>
      <w:lvlText w:val="(%4)"/>
      <w:lvlJc w:val="left"/>
      <w:pPr>
        <w:tabs>
          <w:tab w:val="num" w:pos="2444"/>
        </w:tabs>
        <w:ind w:left="2444" w:hanging="720"/>
      </w:pPr>
      <w:rPr>
        <w:rFonts w:ascii="Palatino" w:hAnsi="Palatino" w:hint="default"/>
        <w:b w:val="0"/>
        <w:i w:val="0"/>
        <w:caps w:val="0"/>
        <w:strike w:val="0"/>
        <w:dstrike w:val="0"/>
        <w:vanish w:val="0"/>
        <w:color w:val="000000"/>
        <w:sz w:val="24"/>
        <w:vertAlign w:val="baseline"/>
      </w:rPr>
    </w:lvl>
    <w:lvl w:ilvl="4">
      <w:start w:val="1"/>
      <w:numFmt w:val="upperLetter"/>
      <w:lvlText w:val="(%5)"/>
      <w:lvlJc w:val="left"/>
      <w:pPr>
        <w:tabs>
          <w:tab w:val="num" w:pos="3164"/>
        </w:tabs>
        <w:ind w:left="3164" w:hanging="720"/>
      </w:pPr>
      <w:rPr>
        <w:rFonts w:ascii="Palatino" w:hAnsi="Palatino" w:hint="default"/>
        <w:b w:val="0"/>
        <w:i w:val="0"/>
        <w:caps w:val="0"/>
        <w:strike w:val="0"/>
        <w:dstrike w:val="0"/>
        <w:vanish w:val="0"/>
        <w:color w:val="auto"/>
        <w:sz w:val="24"/>
        <w:vertAlign w:val="baseline"/>
      </w:rPr>
    </w:lvl>
    <w:lvl w:ilvl="5">
      <w:start w:val="1"/>
      <w:numFmt w:val="upperRoman"/>
      <w:lvlText w:val="(%6)"/>
      <w:lvlJc w:val="left"/>
      <w:pPr>
        <w:tabs>
          <w:tab w:val="num" w:pos="3884"/>
        </w:tabs>
        <w:ind w:left="3884" w:hanging="720"/>
      </w:pPr>
      <w:rPr>
        <w:rFonts w:ascii="Palatino" w:hAnsi="Palatino" w:hint="default"/>
        <w:b w:val="0"/>
        <w:i w:val="0"/>
        <w:caps w:val="0"/>
        <w:strike w:val="0"/>
        <w:dstrike w:val="0"/>
        <w:vanish w:val="0"/>
        <w:color w:val="000000"/>
        <w:sz w:val="24"/>
        <w:vertAlign w:val="baseline"/>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5FB86F78"/>
    <w:multiLevelType w:val="hybridMultilevel"/>
    <w:tmpl w:val="45F67FB2"/>
    <w:lvl w:ilvl="0" w:tplc="0C09001B">
      <w:start w:val="1"/>
      <w:numFmt w:val="lowerRoman"/>
      <w:lvlText w:val="%1."/>
      <w:lvlJc w:val="right"/>
      <w:pPr>
        <w:ind w:left="1407" w:hanging="360"/>
      </w:pPr>
    </w:lvl>
    <w:lvl w:ilvl="1" w:tplc="0C090019" w:tentative="1">
      <w:start w:val="1"/>
      <w:numFmt w:val="lowerLetter"/>
      <w:lvlText w:val="%2."/>
      <w:lvlJc w:val="left"/>
      <w:pPr>
        <w:ind w:left="2127" w:hanging="360"/>
      </w:pPr>
    </w:lvl>
    <w:lvl w:ilvl="2" w:tplc="0C09001B" w:tentative="1">
      <w:start w:val="1"/>
      <w:numFmt w:val="lowerRoman"/>
      <w:lvlText w:val="%3."/>
      <w:lvlJc w:val="right"/>
      <w:pPr>
        <w:ind w:left="2847" w:hanging="180"/>
      </w:pPr>
    </w:lvl>
    <w:lvl w:ilvl="3" w:tplc="0C09000F" w:tentative="1">
      <w:start w:val="1"/>
      <w:numFmt w:val="decimal"/>
      <w:lvlText w:val="%4."/>
      <w:lvlJc w:val="left"/>
      <w:pPr>
        <w:ind w:left="3567" w:hanging="360"/>
      </w:pPr>
    </w:lvl>
    <w:lvl w:ilvl="4" w:tplc="0C090019" w:tentative="1">
      <w:start w:val="1"/>
      <w:numFmt w:val="lowerLetter"/>
      <w:lvlText w:val="%5."/>
      <w:lvlJc w:val="left"/>
      <w:pPr>
        <w:ind w:left="4287" w:hanging="360"/>
      </w:pPr>
    </w:lvl>
    <w:lvl w:ilvl="5" w:tplc="0C09001B" w:tentative="1">
      <w:start w:val="1"/>
      <w:numFmt w:val="lowerRoman"/>
      <w:lvlText w:val="%6."/>
      <w:lvlJc w:val="right"/>
      <w:pPr>
        <w:ind w:left="5007" w:hanging="180"/>
      </w:pPr>
    </w:lvl>
    <w:lvl w:ilvl="6" w:tplc="0C09000F" w:tentative="1">
      <w:start w:val="1"/>
      <w:numFmt w:val="decimal"/>
      <w:lvlText w:val="%7."/>
      <w:lvlJc w:val="left"/>
      <w:pPr>
        <w:ind w:left="5727" w:hanging="360"/>
      </w:pPr>
    </w:lvl>
    <w:lvl w:ilvl="7" w:tplc="0C090019" w:tentative="1">
      <w:start w:val="1"/>
      <w:numFmt w:val="lowerLetter"/>
      <w:lvlText w:val="%8."/>
      <w:lvlJc w:val="left"/>
      <w:pPr>
        <w:ind w:left="6447" w:hanging="360"/>
      </w:pPr>
    </w:lvl>
    <w:lvl w:ilvl="8" w:tplc="0C09001B" w:tentative="1">
      <w:start w:val="1"/>
      <w:numFmt w:val="lowerRoman"/>
      <w:lvlText w:val="%9."/>
      <w:lvlJc w:val="right"/>
      <w:pPr>
        <w:ind w:left="7167" w:hanging="180"/>
      </w:pPr>
    </w:lvl>
  </w:abstractNum>
  <w:abstractNum w:abstractNumId="16">
    <w:nsid w:val="6CA40F7F"/>
    <w:multiLevelType w:val="hybridMultilevel"/>
    <w:tmpl w:val="0AA60704"/>
    <w:lvl w:ilvl="0" w:tplc="0C090019">
      <w:start w:val="1"/>
      <w:numFmt w:val="lowerLetter"/>
      <w:pStyle w:val="ABClist0"/>
      <w:lvlText w:val="%1."/>
      <w:lvlJc w:val="left"/>
      <w:pPr>
        <w:ind w:left="993" w:hanging="360"/>
      </w:pPr>
    </w:lvl>
    <w:lvl w:ilvl="1" w:tplc="0C090019">
      <w:start w:val="1"/>
      <w:numFmt w:val="lowerLetter"/>
      <w:lvlText w:val="%2."/>
      <w:lvlJc w:val="left"/>
      <w:pPr>
        <w:ind w:left="1713" w:hanging="360"/>
      </w:pPr>
    </w:lvl>
    <w:lvl w:ilvl="2" w:tplc="0C09001B" w:tentative="1">
      <w:start w:val="1"/>
      <w:numFmt w:val="lowerRoman"/>
      <w:lvlText w:val="%3."/>
      <w:lvlJc w:val="right"/>
      <w:pPr>
        <w:ind w:left="2433" w:hanging="180"/>
      </w:pPr>
    </w:lvl>
    <w:lvl w:ilvl="3" w:tplc="0C09000F" w:tentative="1">
      <w:start w:val="1"/>
      <w:numFmt w:val="decimal"/>
      <w:lvlText w:val="%4."/>
      <w:lvlJc w:val="left"/>
      <w:pPr>
        <w:ind w:left="3153" w:hanging="360"/>
      </w:pPr>
    </w:lvl>
    <w:lvl w:ilvl="4" w:tplc="0C090019" w:tentative="1">
      <w:start w:val="1"/>
      <w:numFmt w:val="lowerLetter"/>
      <w:lvlText w:val="%5."/>
      <w:lvlJc w:val="left"/>
      <w:pPr>
        <w:ind w:left="3873" w:hanging="360"/>
      </w:pPr>
    </w:lvl>
    <w:lvl w:ilvl="5" w:tplc="0C09001B" w:tentative="1">
      <w:start w:val="1"/>
      <w:numFmt w:val="lowerRoman"/>
      <w:lvlText w:val="%6."/>
      <w:lvlJc w:val="right"/>
      <w:pPr>
        <w:ind w:left="4593" w:hanging="180"/>
      </w:pPr>
    </w:lvl>
    <w:lvl w:ilvl="6" w:tplc="0C09000F" w:tentative="1">
      <w:start w:val="1"/>
      <w:numFmt w:val="decimal"/>
      <w:lvlText w:val="%7."/>
      <w:lvlJc w:val="left"/>
      <w:pPr>
        <w:ind w:left="5313" w:hanging="360"/>
      </w:pPr>
    </w:lvl>
    <w:lvl w:ilvl="7" w:tplc="0C090019" w:tentative="1">
      <w:start w:val="1"/>
      <w:numFmt w:val="lowerLetter"/>
      <w:lvlText w:val="%8."/>
      <w:lvlJc w:val="left"/>
      <w:pPr>
        <w:ind w:left="6033" w:hanging="360"/>
      </w:pPr>
    </w:lvl>
    <w:lvl w:ilvl="8" w:tplc="0C09001B" w:tentative="1">
      <w:start w:val="1"/>
      <w:numFmt w:val="lowerRoman"/>
      <w:lvlText w:val="%9."/>
      <w:lvlJc w:val="right"/>
      <w:pPr>
        <w:ind w:left="6753" w:hanging="180"/>
      </w:pPr>
    </w:lvl>
  </w:abstractNum>
  <w:num w:numId="1">
    <w:abstractNumId w:val="10"/>
  </w:num>
  <w:num w:numId="2">
    <w:abstractNumId w:val="4"/>
  </w:num>
  <w:num w:numId="3">
    <w:abstractNumId w:val="9"/>
  </w:num>
  <w:num w:numId="4">
    <w:abstractNumId w:val="7"/>
  </w:num>
  <w:num w:numId="5">
    <w:abstractNumId w:val="12"/>
  </w:num>
  <w:num w:numId="6">
    <w:abstractNumId w:val="5"/>
  </w:num>
  <w:num w:numId="7">
    <w:abstractNumId w:val="16"/>
    <w:lvlOverride w:ilvl="0">
      <w:startOverride w:val="1"/>
    </w:lvlOverride>
  </w:num>
  <w:num w:numId="8">
    <w:abstractNumId w:val="14"/>
  </w:num>
  <w:num w:numId="9">
    <w:abstractNumId w:val="13"/>
  </w:num>
  <w:num w:numId="10">
    <w:abstractNumId w:val="1"/>
  </w:num>
  <w:num w:numId="11">
    <w:abstractNumId w:val="8"/>
  </w:num>
  <w:num w:numId="12">
    <w:abstractNumId w:val="3"/>
  </w:num>
  <w:num w:numId="13">
    <w:abstractNumId w:val="2"/>
  </w:num>
  <w:num w:numId="14">
    <w:abstractNumId w:val="0"/>
  </w:num>
  <w:num w:numId="15">
    <w:abstractNumId w:val="6"/>
  </w:num>
  <w:num w:numId="16">
    <w:abstractNumId w:val="15"/>
  </w:num>
  <w:num w:numId="17">
    <w:abstractNumId w:val="13"/>
  </w:num>
  <w:num w:numId="18">
    <w:abstractNumId w:val="1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scamp\expedia wotif - public competition assessment - 12 january 2015 (MER2015-00083).docx"/>
  </w:docVars>
  <w:rsids>
    <w:rsidRoot w:val="0050763A"/>
    <w:rsid w:val="00000786"/>
    <w:rsid w:val="00000C43"/>
    <w:rsid w:val="00002466"/>
    <w:rsid w:val="00002767"/>
    <w:rsid w:val="00003446"/>
    <w:rsid w:val="0000358D"/>
    <w:rsid w:val="00004272"/>
    <w:rsid w:val="00004EDA"/>
    <w:rsid w:val="000059C6"/>
    <w:rsid w:val="00005A5E"/>
    <w:rsid w:val="00006008"/>
    <w:rsid w:val="00006C96"/>
    <w:rsid w:val="00012289"/>
    <w:rsid w:val="0001232E"/>
    <w:rsid w:val="0001262F"/>
    <w:rsid w:val="00013194"/>
    <w:rsid w:val="00013A0B"/>
    <w:rsid w:val="00013B6E"/>
    <w:rsid w:val="00013CC2"/>
    <w:rsid w:val="00014305"/>
    <w:rsid w:val="000158CF"/>
    <w:rsid w:val="000217BC"/>
    <w:rsid w:val="00022209"/>
    <w:rsid w:val="000236EF"/>
    <w:rsid w:val="00023721"/>
    <w:rsid w:val="000242E2"/>
    <w:rsid w:val="00024A42"/>
    <w:rsid w:val="00026A47"/>
    <w:rsid w:val="00030437"/>
    <w:rsid w:val="000312F5"/>
    <w:rsid w:val="0003154B"/>
    <w:rsid w:val="0003170B"/>
    <w:rsid w:val="000328A5"/>
    <w:rsid w:val="00033094"/>
    <w:rsid w:val="000334E9"/>
    <w:rsid w:val="00035579"/>
    <w:rsid w:val="00036D47"/>
    <w:rsid w:val="00037BCC"/>
    <w:rsid w:val="000412DE"/>
    <w:rsid w:val="00041CB2"/>
    <w:rsid w:val="00045962"/>
    <w:rsid w:val="00047D27"/>
    <w:rsid w:val="00052845"/>
    <w:rsid w:val="00054473"/>
    <w:rsid w:val="0006093C"/>
    <w:rsid w:val="000619A8"/>
    <w:rsid w:val="00062257"/>
    <w:rsid w:val="000633FB"/>
    <w:rsid w:val="000637FC"/>
    <w:rsid w:val="00063A39"/>
    <w:rsid w:val="00064B91"/>
    <w:rsid w:val="0006556B"/>
    <w:rsid w:val="00065C5A"/>
    <w:rsid w:val="00070BD0"/>
    <w:rsid w:val="00071A1E"/>
    <w:rsid w:val="0007630C"/>
    <w:rsid w:val="00076424"/>
    <w:rsid w:val="000818D4"/>
    <w:rsid w:val="000824AF"/>
    <w:rsid w:val="000824DC"/>
    <w:rsid w:val="000831F1"/>
    <w:rsid w:val="00083924"/>
    <w:rsid w:val="000840E0"/>
    <w:rsid w:val="0008458D"/>
    <w:rsid w:val="00085FAB"/>
    <w:rsid w:val="000931C8"/>
    <w:rsid w:val="00093DA9"/>
    <w:rsid w:val="00094744"/>
    <w:rsid w:val="00095BC7"/>
    <w:rsid w:val="000A1D3F"/>
    <w:rsid w:val="000A2DEC"/>
    <w:rsid w:val="000A3255"/>
    <w:rsid w:val="000A714F"/>
    <w:rsid w:val="000A71C1"/>
    <w:rsid w:val="000A79C0"/>
    <w:rsid w:val="000A79FA"/>
    <w:rsid w:val="000A7B37"/>
    <w:rsid w:val="000A7F00"/>
    <w:rsid w:val="000B06FB"/>
    <w:rsid w:val="000B4314"/>
    <w:rsid w:val="000B4AE3"/>
    <w:rsid w:val="000B4D2D"/>
    <w:rsid w:val="000B4F87"/>
    <w:rsid w:val="000C02F3"/>
    <w:rsid w:val="000C0616"/>
    <w:rsid w:val="000C07D6"/>
    <w:rsid w:val="000C1C19"/>
    <w:rsid w:val="000C2245"/>
    <w:rsid w:val="000C280F"/>
    <w:rsid w:val="000C2B9A"/>
    <w:rsid w:val="000C3B07"/>
    <w:rsid w:val="000C564C"/>
    <w:rsid w:val="000D0277"/>
    <w:rsid w:val="000D14A1"/>
    <w:rsid w:val="000D3142"/>
    <w:rsid w:val="000D3470"/>
    <w:rsid w:val="000D4ACA"/>
    <w:rsid w:val="000D5494"/>
    <w:rsid w:val="000D64FB"/>
    <w:rsid w:val="000D7159"/>
    <w:rsid w:val="000D78D3"/>
    <w:rsid w:val="000D7D60"/>
    <w:rsid w:val="000E076B"/>
    <w:rsid w:val="000E147B"/>
    <w:rsid w:val="000E2C2B"/>
    <w:rsid w:val="000E3B00"/>
    <w:rsid w:val="000E3C2B"/>
    <w:rsid w:val="000E4494"/>
    <w:rsid w:val="000E4E66"/>
    <w:rsid w:val="000E7F52"/>
    <w:rsid w:val="000F014A"/>
    <w:rsid w:val="000F187E"/>
    <w:rsid w:val="000F31CA"/>
    <w:rsid w:val="000F38D9"/>
    <w:rsid w:val="000F4858"/>
    <w:rsid w:val="000F5F81"/>
    <w:rsid w:val="000F62DA"/>
    <w:rsid w:val="000F6856"/>
    <w:rsid w:val="000F7B57"/>
    <w:rsid w:val="00100AD6"/>
    <w:rsid w:val="00100BC8"/>
    <w:rsid w:val="00100CEF"/>
    <w:rsid w:val="00101DB9"/>
    <w:rsid w:val="001061AC"/>
    <w:rsid w:val="001073D6"/>
    <w:rsid w:val="00111413"/>
    <w:rsid w:val="00112967"/>
    <w:rsid w:val="00113721"/>
    <w:rsid w:val="00113790"/>
    <w:rsid w:val="00113B1E"/>
    <w:rsid w:val="00114C0F"/>
    <w:rsid w:val="00114EC6"/>
    <w:rsid w:val="00117E34"/>
    <w:rsid w:val="0012005D"/>
    <w:rsid w:val="001203F9"/>
    <w:rsid w:val="00120A55"/>
    <w:rsid w:val="0012147E"/>
    <w:rsid w:val="00122613"/>
    <w:rsid w:val="0012299D"/>
    <w:rsid w:val="001229AE"/>
    <w:rsid w:val="00124F8C"/>
    <w:rsid w:val="0012525F"/>
    <w:rsid w:val="00126D95"/>
    <w:rsid w:val="001270E0"/>
    <w:rsid w:val="00131669"/>
    <w:rsid w:val="00133F56"/>
    <w:rsid w:val="00134CA5"/>
    <w:rsid w:val="00135144"/>
    <w:rsid w:val="001400B6"/>
    <w:rsid w:val="001406C7"/>
    <w:rsid w:val="001407BA"/>
    <w:rsid w:val="00142F12"/>
    <w:rsid w:val="00144429"/>
    <w:rsid w:val="001446E8"/>
    <w:rsid w:val="00146609"/>
    <w:rsid w:val="0014739F"/>
    <w:rsid w:val="001475EB"/>
    <w:rsid w:val="0015013E"/>
    <w:rsid w:val="00151536"/>
    <w:rsid w:val="0015182E"/>
    <w:rsid w:val="001528FA"/>
    <w:rsid w:val="001533D3"/>
    <w:rsid w:val="00153B34"/>
    <w:rsid w:val="00154D50"/>
    <w:rsid w:val="00155653"/>
    <w:rsid w:val="00162D19"/>
    <w:rsid w:val="0016688A"/>
    <w:rsid w:val="00167AEE"/>
    <w:rsid w:val="00171803"/>
    <w:rsid w:val="00171B6F"/>
    <w:rsid w:val="0017396D"/>
    <w:rsid w:val="0017418A"/>
    <w:rsid w:val="001743EB"/>
    <w:rsid w:val="001749EF"/>
    <w:rsid w:val="001753A5"/>
    <w:rsid w:val="00175575"/>
    <w:rsid w:val="00175B5A"/>
    <w:rsid w:val="00175CE3"/>
    <w:rsid w:val="00176746"/>
    <w:rsid w:val="00177E5C"/>
    <w:rsid w:val="0018013D"/>
    <w:rsid w:val="00180A69"/>
    <w:rsid w:val="001814DF"/>
    <w:rsid w:val="00182A2B"/>
    <w:rsid w:val="001839E8"/>
    <w:rsid w:val="00185175"/>
    <w:rsid w:val="00185C49"/>
    <w:rsid w:val="00186468"/>
    <w:rsid w:val="00186842"/>
    <w:rsid w:val="00186A20"/>
    <w:rsid w:val="00190096"/>
    <w:rsid w:val="00190E5E"/>
    <w:rsid w:val="00191168"/>
    <w:rsid w:val="001916E8"/>
    <w:rsid w:val="00191F26"/>
    <w:rsid w:val="00193569"/>
    <w:rsid w:val="0019503C"/>
    <w:rsid w:val="001978E1"/>
    <w:rsid w:val="001A074B"/>
    <w:rsid w:val="001A0EA9"/>
    <w:rsid w:val="001A3AF8"/>
    <w:rsid w:val="001A3C54"/>
    <w:rsid w:val="001A42F6"/>
    <w:rsid w:val="001A46BD"/>
    <w:rsid w:val="001A6D65"/>
    <w:rsid w:val="001B0A71"/>
    <w:rsid w:val="001B104B"/>
    <w:rsid w:val="001B272A"/>
    <w:rsid w:val="001B312A"/>
    <w:rsid w:val="001B411B"/>
    <w:rsid w:val="001B67ED"/>
    <w:rsid w:val="001B752F"/>
    <w:rsid w:val="001C0BAE"/>
    <w:rsid w:val="001C0E9E"/>
    <w:rsid w:val="001C1EE2"/>
    <w:rsid w:val="001C34BC"/>
    <w:rsid w:val="001C44E7"/>
    <w:rsid w:val="001C6178"/>
    <w:rsid w:val="001C634F"/>
    <w:rsid w:val="001D018D"/>
    <w:rsid w:val="001D1DBD"/>
    <w:rsid w:val="001D34C0"/>
    <w:rsid w:val="001D52AC"/>
    <w:rsid w:val="001D5584"/>
    <w:rsid w:val="001D5EC8"/>
    <w:rsid w:val="001D6FA1"/>
    <w:rsid w:val="001E0F06"/>
    <w:rsid w:val="001E2914"/>
    <w:rsid w:val="001E3EDB"/>
    <w:rsid w:val="001E3F5B"/>
    <w:rsid w:val="001E50B3"/>
    <w:rsid w:val="001E534C"/>
    <w:rsid w:val="001E56FF"/>
    <w:rsid w:val="001E612C"/>
    <w:rsid w:val="001E7C91"/>
    <w:rsid w:val="001F1628"/>
    <w:rsid w:val="001F27DD"/>
    <w:rsid w:val="001F2AFD"/>
    <w:rsid w:val="001F3D33"/>
    <w:rsid w:val="001F5A96"/>
    <w:rsid w:val="001F5B4F"/>
    <w:rsid w:val="001F5FDE"/>
    <w:rsid w:val="001F6227"/>
    <w:rsid w:val="001F68C8"/>
    <w:rsid w:val="001F70E9"/>
    <w:rsid w:val="00200DB6"/>
    <w:rsid w:val="00200F99"/>
    <w:rsid w:val="00201122"/>
    <w:rsid w:val="002013D0"/>
    <w:rsid w:val="002016D3"/>
    <w:rsid w:val="00202934"/>
    <w:rsid w:val="00202B16"/>
    <w:rsid w:val="00203A5B"/>
    <w:rsid w:val="00205ECB"/>
    <w:rsid w:val="00206796"/>
    <w:rsid w:val="00210AC3"/>
    <w:rsid w:val="0021223D"/>
    <w:rsid w:val="00213AFC"/>
    <w:rsid w:val="00214CD4"/>
    <w:rsid w:val="002158DB"/>
    <w:rsid w:val="00216331"/>
    <w:rsid w:val="00217E8D"/>
    <w:rsid w:val="002202E5"/>
    <w:rsid w:val="00220A7A"/>
    <w:rsid w:val="00221182"/>
    <w:rsid w:val="00223F5D"/>
    <w:rsid w:val="0022480B"/>
    <w:rsid w:val="002252C2"/>
    <w:rsid w:val="002261A5"/>
    <w:rsid w:val="00226CCD"/>
    <w:rsid w:val="0022701C"/>
    <w:rsid w:val="0023024A"/>
    <w:rsid w:val="00232307"/>
    <w:rsid w:val="002328A9"/>
    <w:rsid w:val="0023387E"/>
    <w:rsid w:val="00233A54"/>
    <w:rsid w:val="0023593A"/>
    <w:rsid w:val="0024021F"/>
    <w:rsid w:val="00241340"/>
    <w:rsid w:val="00241DEF"/>
    <w:rsid w:val="00241E10"/>
    <w:rsid w:val="00241F25"/>
    <w:rsid w:val="0024349A"/>
    <w:rsid w:val="00243F34"/>
    <w:rsid w:val="00243F48"/>
    <w:rsid w:val="00247A10"/>
    <w:rsid w:val="00250042"/>
    <w:rsid w:val="002509BE"/>
    <w:rsid w:val="00252DBE"/>
    <w:rsid w:val="00253B18"/>
    <w:rsid w:val="00254564"/>
    <w:rsid w:val="002549A5"/>
    <w:rsid w:val="00254C2B"/>
    <w:rsid w:val="0025547B"/>
    <w:rsid w:val="00255EE5"/>
    <w:rsid w:val="002562A6"/>
    <w:rsid w:val="002565DF"/>
    <w:rsid w:val="00260264"/>
    <w:rsid w:val="00260642"/>
    <w:rsid w:val="002610D6"/>
    <w:rsid w:val="00264C23"/>
    <w:rsid w:val="00264C81"/>
    <w:rsid w:val="00264F96"/>
    <w:rsid w:val="0026516B"/>
    <w:rsid w:val="0026584D"/>
    <w:rsid w:val="0026636B"/>
    <w:rsid w:val="0026646F"/>
    <w:rsid w:val="0026648E"/>
    <w:rsid w:val="002664A3"/>
    <w:rsid w:val="00266D41"/>
    <w:rsid w:val="0026775E"/>
    <w:rsid w:val="002679E9"/>
    <w:rsid w:val="002701A1"/>
    <w:rsid w:val="00270F25"/>
    <w:rsid w:val="002716B3"/>
    <w:rsid w:val="002729FC"/>
    <w:rsid w:val="00273059"/>
    <w:rsid w:val="0027344B"/>
    <w:rsid w:val="002734A4"/>
    <w:rsid w:val="00273BB3"/>
    <w:rsid w:val="00273E8D"/>
    <w:rsid w:val="002769E7"/>
    <w:rsid w:val="00277785"/>
    <w:rsid w:val="00280E03"/>
    <w:rsid w:val="00281423"/>
    <w:rsid w:val="002824B3"/>
    <w:rsid w:val="00283568"/>
    <w:rsid w:val="002837F2"/>
    <w:rsid w:val="0028460C"/>
    <w:rsid w:val="00284EE2"/>
    <w:rsid w:val="002862DC"/>
    <w:rsid w:val="0028687B"/>
    <w:rsid w:val="00286DCB"/>
    <w:rsid w:val="002875E4"/>
    <w:rsid w:val="002879BB"/>
    <w:rsid w:val="0029090C"/>
    <w:rsid w:val="00290B53"/>
    <w:rsid w:val="00294606"/>
    <w:rsid w:val="00294D9E"/>
    <w:rsid w:val="002967D1"/>
    <w:rsid w:val="00296B12"/>
    <w:rsid w:val="002A0193"/>
    <w:rsid w:val="002A0F6D"/>
    <w:rsid w:val="002A18ED"/>
    <w:rsid w:val="002A1E44"/>
    <w:rsid w:val="002A2C53"/>
    <w:rsid w:val="002A5187"/>
    <w:rsid w:val="002A6A5E"/>
    <w:rsid w:val="002A6C64"/>
    <w:rsid w:val="002A76B8"/>
    <w:rsid w:val="002A7F6E"/>
    <w:rsid w:val="002B0F06"/>
    <w:rsid w:val="002B2BBF"/>
    <w:rsid w:val="002B76A1"/>
    <w:rsid w:val="002B7E7D"/>
    <w:rsid w:val="002C0E9C"/>
    <w:rsid w:val="002C1E36"/>
    <w:rsid w:val="002C4779"/>
    <w:rsid w:val="002C77AF"/>
    <w:rsid w:val="002D0637"/>
    <w:rsid w:val="002D12D7"/>
    <w:rsid w:val="002D2002"/>
    <w:rsid w:val="002D44CA"/>
    <w:rsid w:val="002D4CDE"/>
    <w:rsid w:val="002D5B50"/>
    <w:rsid w:val="002D63BC"/>
    <w:rsid w:val="002D6412"/>
    <w:rsid w:val="002D6AFF"/>
    <w:rsid w:val="002D7235"/>
    <w:rsid w:val="002D7E09"/>
    <w:rsid w:val="002E16CF"/>
    <w:rsid w:val="002E179F"/>
    <w:rsid w:val="002E1BF0"/>
    <w:rsid w:val="002E30A0"/>
    <w:rsid w:val="002E332A"/>
    <w:rsid w:val="002E6433"/>
    <w:rsid w:val="002F054C"/>
    <w:rsid w:val="002F23B9"/>
    <w:rsid w:val="002F271C"/>
    <w:rsid w:val="002F29A6"/>
    <w:rsid w:val="002F63C7"/>
    <w:rsid w:val="002F6781"/>
    <w:rsid w:val="00300DDB"/>
    <w:rsid w:val="003013ED"/>
    <w:rsid w:val="00302D39"/>
    <w:rsid w:val="003045DE"/>
    <w:rsid w:val="003074F2"/>
    <w:rsid w:val="00307640"/>
    <w:rsid w:val="0030773D"/>
    <w:rsid w:val="00310CFD"/>
    <w:rsid w:val="00311434"/>
    <w:rsid w:val="0031266A"/>
    <w:rsid w:val="003135B0"/>
    <w:rsid w:val="0031388F"/>
    <w:rsid w:val="0031440B"/>
    <w:rsid w:val="003153D5"/>
    <w:rsid w:val="003161D0"/>
    <w:rsid w:val="00317129"/>
    <w:rsid w:val="00317480"/>
    <w:rsid w:val="00320CE0"/>
    <w:rsid w:val="00321421"/>
    <w:rsid w:val="003229AA"/>
    <w:rsid w:val="00323120"/>
    <w:rsid w:val="00323960"/>
    <w:rsid w:val="00324DBB"/>
    <w:rsid w:val="00324E35"/>
    <w:rsid w:val="0032512E"/>
    <w:rsid w:val="00325FA0"/>
    <w:rsid w:val="00325FC0"/>
    <w:rsid w:val="00326347"/>
    <w:rsid w:val="0033060B"/>
    <w:rsid w:val="003309AF"/>
    <w:rsid w:val="00330AAC"/>
    <w:rsid w:val="003323C2"/>
    <w:rsid w:val="00333F2D"/>
    <w:rsid w:val="003347A1"/>
    <w:rsid w:val="00334DA9"/>
    <w:rsid w:val="003371DE"/>
    <w:rsid w:val="00337397"/>
    <w:rsid w:val="00342211"/>
    <w:rsid w:val="00343AF7"/>
    <w:rsid w:val="00344616"/>
    <w:rsid w:val="00344C1F"/>
    <w:rsid w:val="003456FF"/>
    <w:rsid w:val="00346717"/>
    <w:rsid w:val="00346F0E"/>
    <w:rsid w:val="0035026C"/>
    <w:rsid w:val="00351328"/>
    <w:rsid w:val="00352F6C"/>
    <w:rsid w:val="00352FCB"/>
    <w:rsid w:val="00353535"/>
    <w:rsid w:val="00353923"/>
    <w:rsid w:val="00353B92"/>
    <w:rsid w:val="003551BE"/>
    <w:rsid w:val="0035547A"/>
    <w:rsid w:val="00355F72"/>
    <w:rsid w:val="00356FD8"/>
    <w:rsid w:val="00357109"/>
    <w:rsid w:val="003574A4"/>
    <w:rsid w:val="00363691"/>
    <w:rsid w:val="00364A68"/>
    <w:rsid w:val="00365804"/>
    <w:rsid w:val="00372768"/>
    <w:rsid w:val="00374783"/>
    <w:rsid w:val="00374B39"/>
    <w:rsid w:val="00374B7A"/>
    <w:rsid w:val="00383218"/>
    <w:rsid w:val="003859EE"/>
    <w:rsid w:val="00386085"/>
    <w:rsid w:val="003861D5"/>
    <w:rsid w:val="00387E18"/>
    <w:rsid w:val="00387EDC"/>
    <w:rsid w:val="003903FA"/>
    <w:rsid w:val="003925EA"/>
    <w:rsid w:val="00392E24"/>
    <w:rsid w:val="0039440B"/>
    <w:rsid w:val="00395D4A"/>
    <w:rsid w:val="003A21EA"/>
    <w:rsid w:val="003A240E"/>
    <w:rsid w:val="003A2684"/>
    <w:rsid w:val="003A2A44"/>
    <w:rsid w:val="003A5649"/>
    <w:rsid w:val="003A7477"/>
    <w:rsid w:val="003A7DA8"/>
    <w:rsid w:val="003A7E7A"/>
    <w:rsid w:val="003B0ACB"/>
    <w:rsid w:val="003B1B83"/>
    <w:rsid w:val="003B24FA"/>
    <w:rsid w:val="003B3AFE"/>
    <w:rsid w:val="003B3FCD"/>
    <w:rsid w:val="003B454C"/>
    <w:rsid w:val="003B47D5"/>
    <w:rsid w:val="003B6E93"/>
    <w:rsid w:val="003C3159"/>
    <w:rsid w:val="003C3EEC"/>
    <w:rsid w:val="003C3F7A"/>
    <w:rsid w:val="003C4385"/>
    <w:rsid w:val="003C4A7C"/>
    <w:rsid w:val="003C4FC4"/>
    <w:rsid w:val="003C5763"/>
    <w:rsid w:val="003C6A1C"/>
    <w:rsid w:val="003C7E4D"/>
    <w:rsid w:val="003D062E"/>
    <w:rsid w:val="003D12D0"/>
    <w:rsid w:val="003D2C04"/>
    <w:rsid w:val="003D3DAC"/>
    <w:rsid w:val="003D40F7"/>
    <w:rsid w:val="003D4E1F"/>
    <w:rsid w:val="003D501F"/>
    <w:rsid w:val="003D5BE7"/>
    <w:rsid w:val="003D623C"/>
    <w:rsid w:val="003D7370"/>
    <w:rsid w:val="003E0011"/>
    <w:rsid w:val="003E0A6E"/>
    <w:rsid w:val="003E0B42"/>
    <w:rsid w:val="003E16DC"/>
    <w:rsid w:val="003E3ECD"/>
    <w:rsid w:val="003E4531"/>
    <w:rsid w:val="003E5C34"/>
    <w:rsid w:val="003E5E73"/>
    <w:rsid w:val="003E6582"/>
    <w:rsid w:val="003E78D1"/>
    <w:rsid w:val="003F08B0"/>
    <w:rsid w:val="003F1B55"/>
    <w:rsid w:val="003F2864"/>
    <w:rsid w:val="003F2E0D"/>
    <w:rsid w:val="003F30DE"/>
    <w:rsid w:val="003F43BA"/>
    <w:rsid w:val="003F4A05"/>
    <w:rsid w:val="003F4D29"/>
    <w:rsid w:val="003F4F70"/>
    <w:rsid w:val="003F5062"/>
    <w:rsid w:val="003F59CF"/>
    <w:rsid w:val="003F650F"/>
    <w:rsid w:val="003F698B"/>
    <w:rsid w:val="003F7107"/>
    <w:rsid w:val="004014B1"/>
    <w:rsid w:val="00401757"/>
    <w:rsid w:val="00402863"/>
    <w:rsid w:val="00402D03"/>
    <w:rsid w:val="00403FE1"/>
    <w:rsid w:val="00404E8D"/>
    <w:rsid w:val="00405050"/>
    <w:rsid w:val="0040522C"/>
    <w:rsid w:val="0040650F"/>
    <w:rsid w:val="00406EFE"/>
    <w:rsid w:val="0041128D"/>
    <w:rsid w:val="00412F5B"/>
    <w:rsid w:val="00413123"/>
    <w:rsid w:val="00413536"/>
    <w:rsid w:val="004154D1"/>
    <w:rsid w:val="00415883"/>
    <w:rsid w:val="00416350"/>
    <w:rsid w:val="00416866"/>
    <w:rsid w:val="00420A0C"/>
    <w:rsid w:val="00424B44"/>
    <w:rsid w:val="00427196"/>
    <w:rsid w:val="004308B5"/>
    <w:rsid w:val="004328D2"/>
    <w:rsid w:val="004341F7"/>
    <w:rsid w:val="004342AF"/>
    <w:rsid w:val="004343A1"/>
    <w:rsid w:val="00434BA3"/>
    <w:rsid w:val="00436662"/>
    <w:rsid w:val="00436746"/>
    <w:rsid w:val="004370B9"/>
    <w:rsid w:val="00437AEF"/>
    <w:rsid w:val="00441E16"/>
    <w:rsid w:val="004420FC"/>
    <w:rsid w:val="00442AA9"/>
    <w:rsid w:val="0044633D"/>
    <w:rsid w:val="00446AF3"/>
    <w:rsid w:val="00450E9E"/>
    <w:rsid w:val="00454ED5"/>
    <w:rsid w:val="004558FA"/>
    <w:rsid w:val="00455927"/>
    <w:rsid w:val="0045734A"/>
    <w:rsid w:val="00457A88"/>
    <w:rsid w:val="00460629"/>
    <w:rsid w:val="004611C7"/>
    <w:rsid w:val="00462A19"/>
    <w:rsid w:val="00463A44"/>
    <w:rsid w:val="00466CB8"/>
    <w:rsid w:val="0046762E"/>
    <w:rsid w:val="00470792"/>
    <w:rsid w:val="00475E57"/>
    <w:rsid w:val="00475E5A"/>
    <w:rsid w:val="0047644D"/>
    <w:rsid w:val="00476706"/>
    <w:rsid w:val="004772D5"/>
    <w:rsid w:val="00477493"/>
    <w:rsid w:val="004777DE"/>
    <w:rsid w:val="00477826"/>
    <w:rsid w:val="00477A9C"/>
    <w:rsid w:val="00480999"/>
    <w:rsid w:val="00481547"/>
    <w:rsid w:val="004816CB"/>
    <w:rsid w:val="00483CCC"/>
    <w:rsid w:val="00485181"/>
    <w:rsid w:val="004852DD"/>
    <w:rsid w:val="00485B03"/>
    <w:rsid w:val="00486476"/>
    <w:rsid w:val="0049111A"/>
    <w:rsid w:val="00492292"/>
    <w:rsid w:val="00495266"/>
    <w:rsid w:val="004961A4"/>
    <w:rsid w:val="00497FE7"/>
    <w:rsid w:val="004A0F25"/>
    <w:rsid w:val="004A11F4"/>
    <w:rsid w:val="004A1F36"/>
    <w:rsid w:val="004A23B2"/>
    <w:rsid w:val="004A5238"/>
    <w:rsid w:val="004A6AF9"/>
    <w:rsid w:val="004A71AD"/>
    <w:rsid w:val="004B179F"/>
    <w:rsid w:val="004B3814"/>
    <w:rsid w:val="004B3E18"/>
    <w:rsid w:val="004B3FD0"/>
    <w:rsid w:val="004B40E7"/>
    <w:rsid w:val="004B5259"/>
    <w:rsid w:val="004B58ED"/>
    <w:rsid w:val="004B5F3D"/>
    <w:rsid w:val="004B640C"/>
    <w:rsid w:val="004B70CE"/>
    <w:rsid w:val="004C017E"/>
    <w:rsid w:val="004C0799"/>
    <w:rsid w:val="004C0F52"/>
    <w:rsid w:val="004C20AC"/>
    <w:rsid w:val="004C30FE"/>
    <w:rsid w:val="004C3D10"/>
    <w:rsid w:val="004C4007"/>
    <w:rsid w:val="004C434A"/>
    <w:rsid w:val="004C581D"/>
    <w:rsid w:val="004C5CA7"/>
    <w:rsid w:val="004C611C"/>
    <w:rsid w:val="004C6C06"/>
    <w:rsid w:val="004C74BC"/>
    <w:rsid w:val="004C7CD3"/>
    <w:rsid w:val="004D072C"/>
    <w:rsid w:val="004D10CF"/>
    <w:rsid w:val="004D18CE"/>
    <w:rsid w:val="004D18F4"/>
    <w:rsid w:val="004D550C"/>
    <w:rsid w:val="004D68DC"/>
    <w:rsid w:val="004D6D64"/>
    <w:rsid w:val="004E0381"/>
    <w:rsid w:val="004E1749"/>
    <w:rsid w:val="004E1FAE"/>
    <w:rsid w:val="004E25C1"/>
    <w:rsid w:val="004E2E25"/>
    <w:rsid w:val="004E3A84"/>
    <w:rsid w:val="004E3AA9"/>
    <w:rsid w:val="004E3C13"/>
    <w:rsid w:val="004E3FEE"/>
    <w:rsid w:val="004E4B41"/>
    <w:rsid w:val="004E5AB0"/>
    <w:rsid w:val="004E7C59"/>
    <w:rsid w:val="004F0A2F"/>
    <w:rsid w:val="004F1A81"/>
    <w:rsid w:val="004F1E53"/>
    <w:rsid w:val="004F2645"/>
    <w:rsid w:val="004F37EC"/>
    <w:rsid w:val="004F4B82"/>
    <w:rsid w:val="004F59CA"/>
    <w:rsid w:val="004F6022"/>
    <w:rsid w:val="004F68D3"/>
    <w:rsid w:val="004F7678"/>
    <w:rsid w:val="004F79D2"/>
    <w:rsid w:val="00500B9C"/>
    <w:rsid w:val="005018E3"/>
    <w:rsid w:val="00501C56"/>
    <w:rsid w:val="00501F03"/>
    <w:rsid w:val="00504E50"/>
    <w:rsid w:val="00505403"/>
    <w:rsid w:val="00505B17"/>
    <w:rsid w:val="00505D6D"/>
    <w:rsid w:val="0050763A"/>
    <w:rsid w:val="005111F4"/>
    <w:rsid w:val="00512557"/>
    <w:rsid w:val="005129FB"/>
    <w:rsid w:val="00512FC6"/>
    <w:rsid w:val="00513178"/>
    <w:rsid w:val="00513851"/>
    <w:rsid w:val="00513C0C"/>
    <w:rsid w:val="00516474"/>
    <w:rsid w:val="005174D2"/>
    <w:rsid w:val="00520A4A"/>
    <w:rsid w:val="00520E19"/>
    <w:rsid w:val="00521048"/>
    <w:rsid w:val="005230A9"/>
    <w:rsid w:val="005238A1"/>
    <w:rsid w:val="00523A96"/>
    <w:rsid w:val="00524040"/>
    <w:rsid w:val="005245DD"/>
    <w:rsid w:val="0052503C"/>
    <w:rsid w:val="00527059"/>
    <w:rsid w:val="0052739F"/>
    <w:rsid w:val="005317E5"/>
    <w:rsid w:val="00531E9E"/>
    <w:rsid w:val="00532B7D"/>
    <w:rsid w:val="005332E1"/>
    <w:rsid w:val="00533BC7"/>
    <w:rsid w:val="005342E7"/>
    <w:rsid w:val="0053465A"/>
    <w:rsid w:val="00535997"/>
    <w:rsid w:val="00536176"/>
    <w:rsid w:val="005365A5"/>
    <w:rsid w:val="00536A6B"/>
    <w:rsid w:val="00537651"/>
    <w:rsid w:val="0053769D"/>
    <w:rsid w:val="00540756"/>
    <w:rsid w:val="00540BE6"/>
    <w:rsid w:val="00541120"/>
    <w:rsid w:val="005420C9"/>
    <w:rsid w:val="005431B8"/>
    <w:rsid w:val="00543AE5"/>
    <w:rsid w:val="0054497D"/>
    <w:rsid w:val="00544FF9"/>
    <w:rsid w:val="00546A80"/>
    <w:rsid w:val="00547439"/>
    <w:rsid w:val="005510A8"/>
    <w:rsid w:val="00553DE5"/>
    <w:rsid w:val="005556C3"/>
    <w:rsid w:val="00557263"/>
    <w:rsid w:val="00557782"/>
    <w:rsid w:val="00561A8D"/>
    <w:rsid w:val="0057111D"/>
    <w:rsid w:val="00571246"/>
    <w:rsid w:val="00571EC4"/>
    <w:rsid w:val="00577C69"/>
    <w:rsid w:val="005814FB"/>
    <w:rsid w:val="005826E1"/>
    <w:rsid w:val="0058366E"/>
    <w:rsid w:val="00583F66"/>
    <w:rsid w:val="005847E1"/>
    <w:rsid w:val="00584DCE"/>
    <w:rsid w:val="00584EBD"/>
    <w:rsid w:val="0058533E"/>
    <w:rsid w:val="00586C61"/>
    <w:rsid w:val="00592436"/>
    <w:rsid w:val="00592479"/>
    <w:rsid w:val="00593980"/>
    <w:rsid w:val="00595C3A"/>
    <w:rsid w:val="00595E6C"/>
    <w:rsid w:val="0059643D"/>
    <w:rsid w:val="005967B3"/>
    <w:rsid w:val="005A1712"/>
    <w:rsid w:val="005A2610"/>
    <w:rsid w:val="005A33E8"/>
    <w:rsid w:val="005A3B46"/>
    <w:rsid w:val="005A4503"/>
    <w:rsid w:val="005A4549"/>
    <w:rsid w:val="005A5039"/>
    <w:rsid w:val="005A6016"/>
    <w:rsid w:val="005A66EB"/>
    <w:rsid w:val="005A7617"/>
    <w:rsid w:val="005A7EFC"/>
    <w:rsid w:val="005B0817"/>
    <w:rsid w:val="005B1165"/>
    <w:rsid w:val="005B1495"/>
    <w:rsid w:val="005B3696"/>
    <w:rsid w:val="005B41C1"/>
    <w:rsid w:val="005B4861"/>
    <w:rsid w:val="005B5038"/>
    <w:rsid w:val="005C1E0B"/>
    <w:rsid w:val="005C2EED"/>
    <w:rsid w:val="005C3B83"/>
    <w:rsid w:val="005C64C5"/>
    <w:rsid w:val="005D40FE"/>
    <w:rsid w:val="005D47FC"/>
    <w:rsid w:val="005D56A4"/>
    <w:rsid w:val="005D56F2"/>
    <w:rsid w:val="005D603C"/>
    <w:rsid w:val="005D6B65"/>
    <w:rsid w:val="005D7AFD"/>
    <w:rsid w:val="005D7C33"/>
    <w:rsid w:val="005E066F"/>
    <w:rsid w:val="005E0BDF"/>
    <w:rsid w:val="005E18EF"/>
    <w:rsid w:val="005E2449"/>
    <w:rsid w:val="005E2567"/>
    <w:rsid w:val="005E25DE"/>
    <w:rsid w:val="005E537F"/>
    <w:rsid w:val="005E53B7"/>
    <w:rsid w:val="005E57A0"/>
    <w:rsid w:val="005E5A50"/>
    <w:rsid w:val="005E5EB1"/>
    <w:rsid w:val="005E617E"/>
    <w:rsid w:val="005F11FB"/>
    <w:rsid w:val="005F2325"/>
    <w:rsid w:val="005F2A50"/>
    <w:rsid w:val="005F470F"/>
    <w:rsid w:val="005F4917"/>
    <w:rsid w:val="005F58C3"/>
    <w:rsid w:val="005F66B6"/>
    <w:rsid w:val="005F70F1"/>
    <w:rsid w:val="00601C3D"/>
    <w:rsid w:val="00601D61"/>
    <w:rsid w:val="006025DF"/>
    <w:rsid w:val="00602DBC"/>
    <w:rsid w:val="006036B3"/>
    <w:rsid w:val="006038F4"/>
    <w:rsid w:val="00603A21"/>
    <w:rsid w:val="00603CB6"/>
    <w:rsid w:val="00604088"/>
    <w:rsid w:val="006046B6"/>
    <w:rsid w:val="006058A1"/>
    <w:rsid w:val="00611339"/>
    <w:rsid w:val="00612225"/>
    <w:rsid w:val="006122BE"/>
    <w:rsid w:val="00612339"/>
    <w:rsid w:val="006131FC"/>
    <w:rsid w:val="00613B76"/>
    <w:rsid w:val="00613FE6"/>
    <w:rsid w:val="0061527D"/>
    <w:rsid w:val="006208B5"/>
    <w:rsid w:val="00621A00"/>
    <w:rsid w:val="006232AC"/>
    <w:rsid w:val="00625B0D"/>
    <w:rsid w:val="00631048"/>
    <w:rsid w:val="0063115C"/>
    <w:rsid w:val="00633721"/>
    <w:rsid w:val="006340EA"/>
    <w:rsid w:val="00635009"/>
    <w:rsid w:val="00636EF3"/>
    <w:rsid w:val="00637DCC"/>
    <w:rsid w:val="00637EF1"/>
    <w:rsid w:val="006413DD"/>
    <w:rsid w:val="006430C7"/>
    <w:rsid w:val="006431E2"/>
    <w:rsid w:val="006439EF"/>
    <w:rsid w:val="006439F9"/>
    <w:rsid w:val="0064401B"/>
    <w:rsid w:val="00645B46"/>
    <w:rsid w:val="00646279"/>
    <w:rsid w:val="00646999"/>
    <w:rsid w:val="00647510"/>
    <w:rsid w:val="006503F1"/>
    <w:rsid w:val="00650B7A"/>
    <w:rsid w:val="00651132"/>
    <w:rsid w:val="006527CC"/>
    <w:rsid w:val="00652DA7"/>
    <w:rsid w:val="006531C0"/>
    <w:rsid w:val="006531DE"/>
    <w:rsid w:val="00653357"/>
    <w:rsid w:val="00654111"/>
    <w:rsid w:val="006547BC"/>
    <w:rsid w:val="006578A3"/>
    <w:rsid w:val="006614BB"/>
    <w:rsid w:val="00664531"/>
    <w:rsid w:val="0066554A"/>
    <w:rsid w:val="00665BD1"/>
    <w:rsid w:val="00666243"/>
    <w:rsid w:val="006663FD"/>
    <w:rsid w:val="00666789"/>
    <w:rsid w:val="00666EBF"/>
    <w:rsid w:val="006670AF"/>
    <w:rsid w:val="0067080F"/>
    <w:rsid w:val="00670880"/>
    <w:rsid w:val="00673F19"/>
    <w:rsid w:val="0067465F"/>
    <w:rsid w:val="00676FB1"/>
    <w:rsid w:val="0067715E"/>
    <w:rsid w:val="00680018"/>
    <w:rsid w:val="0068014F"/>
    <w:rsid w:val="0068155E"/>
    <w:rsid w:val="00683D1C"/>
    <w:rsid w:val="00684DB3"/>
    <w:rsid w:val="00685291"/>
    <w:rsid w:val="00685448"/>
    <w:rsid w:val="00687163"/>
    <w:rsid w:val="00687316"/>
    <w:rsid w:val="00687922"/>
    <w:rsid w:val="00691F04"/>
    <w:rsid w:val="00691F35"/>
    <w:rsid w:val="00694532"/>
    <w:rsid w:val="0069560A"/>
    <w:rsid w:val="006962FD"/>
    <w:rsid w:val="00697A7D"/>
    <w:rsid w:val="006A0791"/>
    <w:rsid w:val="006A1970"/>
    <w:rsid w:val="006A3170"/>
    <w:rsid w:val="006A3250"/>
    <w:rsid w:val="006A360A"/>
    <w:rsid w:val="006A362E"/>
    <w:rsid w:val="006A3748"/>
    <w:rsid w:val="006A38A1"/>
    <w:rsid w:val="006A4874"/>
    <w:rsid w:val="006A5C06"/>
    <w:rsid w:val="006A6176"/>
    <w:rsid w:val="006A6E79"/>
    <w:rsid w:val="006A7FE8"/>
    <w:rsid w:val="006B1441"/>
    <w:rsid w:val="006B1713"/>
    <w:rsid w:val="006B5B58"/>
    <w:rsid w:val="006B6B3F"/>
    <w:rsid w:val="006C0440"/>
    <w:rsid w:val="006C3D9E"/>
    <w:rsid w:val="006C3E05"/>
    <w:rsid w:val="006C4BF5"/>
    <w:rsid w:val="006C50F7"/>
    <w:rsid w:val="006C7FA7"/>
    <w:rsid w:val="006D00C8"/>
    <w:rsid w:val="006D07E9"/>
    <w:rsid w:val="006D109D"/>
    <w:rsid w:val="006D16D5"/>
    <w:rsid w:val="006D3550"/>
    <w:rsid w:val="006D3E54"/>
    <w:rsid w:val="006D4B60"/>
    <w:rsid w:val="006D547D"/>
    <w:rsid w:val="006D5D14"/>
    <w:rsid w:val="006D638B"/>
    <w:rsid w:val="006D757B"/>
    <w:rsid w:val="006D7E85"/>
    <w:rsid w:val="006E05A8"/>
    <w:rsid w:val="006E05B4"/>
    <w:rsid w:val="006E101A"/>
    <w:rsid w:val="006E1C12"/>
    <w:rsid w:val="006E28A6"/>
    <w:rsid w:val="006E41C2"/>
    <w:rsid w:val="006E7F95"/>
    <w:rsid w:val="006F128A"/>
    <w:rsid w:val="006F13D4"/>
    <w:rsid w:val="006F198B"/>
    <w:rsid w:val="006F3E58"/>
    <w:rsid w:val="006F6741"/>
    <w:rsid w:val="006F705B"/>
    <w:rsid w:val="006F7121"/>
    <w:rsid w:val="007010E4"/>
    <w:rsid w:val="00703628"/>
    <w:rsid w:val="00704133"/>
    <w:rsid w:val="00704485"/>
    <w:rsid w:val="007073EC"/>
    <w:rsid w:val="00707662"/>
    <w:rsid w:val="0071054B"/>
    <w:rsid w:val="0071074F"/>
    <w:rsid w:val="007108B2"/>
    <w:rsid w:val="00711319"/>
    <w:rsid w:val="00711548"/>
    <w:rsid w:val="007119A5"/>
    <w:rsid w:val="00711E91"/>
    <w:rsid w:val="00711F93"/>
    <w:rsid w:val="0071318E"/>
    <w:rsid w:val="00713CC9"/>
    <w:rsid w:val="007147BB"/>
    <w:rsid w:val="007165A5"/>
    <w:rsid w:val="00720096"/>
    <w:rsid w:val="00722071"/>
    <w:rsid w:val="00722F3E"/>
    <w:rsid w:val="00723CB8"/>
    <w:rsid w:val="00727A02"/>
    <w:rsid w:val="00730B8D"/>
    <w:rsid w:val="00730F6A"/>
    <w:rsid w:val="007324B7"/>
    <w:rsid w:val="00732A40"/>
    <w:rsid w:val="007347BB"/>
    <w:rsid w:val="00734A78"/>
    <w:rsid w:val="00736216"/>
    <w:rsid w:val="007371CB"/>
    <w:rsid w:val="00737961"/>
    <w:rsid w:val="00740334"/>
    <w:rsid w:val="0074113D"/>
    <w:rsid w:val="007420D1"/>
    <w:rsid w:val="00742A2A"/>
    <w:rsid w:val="00742E7B"/>
    <w:rsid w:val="007449B9"/>
    <w:rsid w:val="00744B97"/>
    <w:rsid w:val="00750932"/>
    <w:rsid w:val="00750ADA"/>
    <w:rsid w:val="00751056"/>
    <w:rsid w:val="007516E0"/>
    <w:rsid w:val="0075235C"/>
    <w:rsid w:val="007542CF"/>
    <w:rsid w:val="0075573A"/>
    <w:rsid w:val="00755B21"/>
    <w:rsid w:val="00755CEC"/>
    <w:rsid w:val="0075600B"/>
    <w:rsid w:val="00756B14"/>
    <w:rsid w:val="00756DE5"/>
    <w:rsid w:val="00760BF7"/>
    <w:rsid w:val="007623E6"/>
    <w:rsid w:val="00762D54"/>
    <w:rsid w:val="007633BF"/>
    <w:rsid w:val="00763876"/>
    <w:rsid w:val="007655DD"/>
    <w:rsid w:val="007670F1"/>
    <w:rsid w:val="0077144A"/>
    <w:rsid w:val="007715B6"/>
    <w:rsid w:val="007725A6"/>
    <w:rsid w:val="007741C3"/>
    <w:rsid w:val="00774859"/>
    <w:rsid w:val="00777551"/>
    <w:rsid w:val="00780661"/>
    <w:rsid w:val="00780D5B"/>
    <w:rsid w:val="00781269"/>
    <w:rsid w:val="007814DC"/>
    <w:rsid w:val="007819E8"/>
    <w:rsid w:val="00781F53"/>
    <w:rsid w:val="00781F82"/>
    <w:rsid w:val="007825F9"/>
    <w:rsid w:val="007826E2"/>
    <w:rsid w:val="00782A97"/>
    <w:rsid w:val="00783DFD"/>
    <w:rsid w:val="0078471F"/>
    <w:rsid w:val="00785A28"/>
    <w:rsid w:val="007864B8"/>
    <w:rsid w:val="00786EF1"/>
    <w:rsid w:val="0078726C"/>
    <w:rsid w:val="00790115"/>
    <w:rsid w:val="00790224"/>
    <w:rsid w:val="00790564"/>
    <w:rsid w:val="00790F61"/>
    <w:rsid w:val="00793B2F"/>
    <w:rsid w:val="007947F2"/>
    <w:rsid w:val="007961D9"/>
    <w:rsid w:val="00796F28"/>
    <w:rsid w:val="00797A77"/>
    <w:rsid w:val="007A02A2"/>
    <w:rsid w:val="007A2A00"/>
    <w:rsid w:val="007A2BBD"/>
    <w:rsid w:val="007A482D"/>
    <w:rsid w:val="007A5436"/>
    <w:rsid w:val="007A6E4F"/>
    <w:rsid w:val="007B1EF2"/>
    <w:rsid w:val="007B2246"/>
    <w:rsid w:val="007B2C61"/>
    <w:rsid w:val="007B33A8"/>
    <w:rsid w:val="007B5B77"/>
    <w:rsid w:val="007B5D6D"/>
    <w:rsid w:val="007B64E5"/>
    <w:rsid w:val="007B67EC"/>
    <w:rsid w:val="007B7135"/>
    <w:rsid w:val="007C0158"/>
    <w:rsid w:val="007C41C4"/>
    <w:rsid w:val="007C4F40"/>
    <w:rsid w:val="007C5DC7"/>
    <w:rsid w:val="007C6400"/>
    <w:rsid w:val="007C6D02"/>
    <w:rsid w:val="007C7C60"/>
    <w:rsid w:val="007C7FE2"/>
    <w:rsid w:val="007D0611"/>
    <w:rsid w:val="007D1914"/>
    <w:rsid w:val="007D1EA9"/>
    <w:rsid w:val="007D2293"/>
    <w:rsid w:val="007D24EE"/>
    <w:rsid w:val="007D41D9"/>
    <w:rsid w:val="007D585F"/>
    <w:rsid w:val="007D7363"/>
    <w:rsid w:val="007D78B3"/>
    <w:rsid w:val="007E15ED"/>
    <w:rsid w:val="007E162C"/>
    <w:rsid w:val="007E4934"/>
    <w:rsid w:val="007E5AFD"/>
    <w:rsid w:val="007E620B"/>
    <w:rsid w:val="007E6C9C"/>
    <w:rsid w:val="007E6E12"/>
    <w:rsid w:val="007E773E"/>
    <w:rsid w:val="007E7D32"/>
    <w:rsid w:val="007F0F39"/>
    <w:rsid w:val="007F1463"/>
    <w:rsid w:val="007F5ADF"/>
    <w:rsid w:val="007F65E9"/>
    <w:rsid w:val="007F6EEC"/>
    <w:rsid w:val="00800E11"/>
    <w:rsid w:val="00800E9D"/>
    <w:rsid w:val="00800F36"/>
    <w:rsid w:val="00801B62"/>
    <w:rsid w:val="00802953"/>
    <w:rsid w:val="0080444E"/>
    <w:rsid w:val="00804998"/>
    <w:rsid w:val="00804FEE"/>
    <w:rsid w:val="00805D5A"/>
    <w:rsid w:val="00806F93"/>
    <w:rsid w:val="008103D8"/>
    <w:rsid w:val="00810CC4"/>
    <w:rsid w:val="00811435"/>
    <w:rsid w:val="00815F16"/>
    <w:rsid w:val="00817357"/>
    <w:rsid w:val="00817639"/>
    <w:rsid w:val="00817F2B"/>
    <w:rsid w:val="00820699"/>
    <w:rsid w:val="00821C1B"/>
    <w:rsid w:val="008223F5"/>
    <w:rsid w:val="00823476"/>
    <w:rsid w:val="00824F88"/>
    <w:rsid w:val="00827B8F"/>
    <w:rsid w:val="00831CEF"/>
    <w:rsid w:val="00832328"/>
    <w:rsid w:val="00832746"/>
    <w:rsid w:val="00832CBC"/>
    <w:rsid w:val="00832E5F"/>
    <w:rsid w:val="008346EA"/>
    <w:rsid w:val="00834A13"/>
    <w:rsid w:val="00834C3D"/>
    <w:rsid w:val="00834F6B"/>
    <w:rsid w:val="00835234"/>
    <w:rsid w:val="00837192"/>
    <w:rsid w:val="00844169"/>
    <w:rsid w:val="00844F15"/>
    <w:rsid w:val="00846438"/>
    <w:rsid w:val="00846AC0"/>
    <w:rsid w:val="00847E57"/>
    <w:rsid w:val="0085227F"/>
    <w:rsid w:val="008525B4"/>
    <w:rsid w:val="00855B48"/>
    <w:rsid w:val="00855F4B"/>
    <w:rsid w:val="00856416"/>
    <w:rsid w:val="00860592"/>
    <w:rsid w:val="0086123B"/>
    <w:rsid w:val="00862936"/>
    <w:rsid w:val="00864561"/>
    <w:rsid w:val="008647A7"/>
    <w:rsid w:val="00867914"/>
    <w:rsid w:val="00872043"/>
    <w:rsid w:val="008721FF"/>
    <w:rsid w:val="008738A2"/>
    <w:rsid w:val="008749FA"/>
    <w:rsid w:val="008754D5"/>
    <w:rsid w:val="00877B99"/>
    <w:rsid w:val="00881B4B"/>
    <w:rsid w:val="00884920"/>
    <w:rsid w:val="00884D15"/>
    <w:rsid w:val="00885404"/>
    <w:rsid w:val="00885B7B"/>
    <w:rsid w:val="00887361"/>
    <w:rsid w:val="0089041E"/>
    <w:rsid w:val="0089063E"/>
    <w:rsid w:val="00890EA3"/>
    <w:rsid w:val="00891928"/>
    <w:rsid w:val="00892282"/>
    <w:rsid w:val="00893DC0"/>
    <w:rsid w:val="00894360"/>
    <w:rsid w:val="0089584A"/>
    <w:rsid w:val="00897C3A"/>
    <w:rsid w:val="008A0B61"/>
    <w:rsid w:val="008A2D75"/>
    <w:rsid w:val="008A3C97"/>
    <w:rsid w:val="008A4BD4"/>
    <w:rsid w:val="008A577B"/>
    <w:rsid w:val="008B07AA"/>
    <w:rsid w:val="008B200C"/>
    <w:rsid w:val="008B22A2"/>
    <w:rsid w:val="008B2B1F"/>
    <w:rsid w:val="008B31FA"/>
    <w:rsid w:val="008B426B"/>
    <w:rsid w:val="008B49BB"/>
    <w:rsid w:val="008B4F5D"/>
    <w:rsid w:val="008B5254"/>
    <w:rsid w:val="008B5C0C"/>
    <w:rsid w:val="008B5C39"/>
    <w:rsid w:val="008B69AE"/>
    <w:rsid w:val="008B7745"/>
    <w:rsid w:val="008B78E1"/>
    <w:rsid w:val="008B7A8A"/>
    <w:rsid w:val="008B7B5C"/>
    <w:rsid w:val="008C0FB4"/>
    <w:rsid w:val="008C28F5"/>
    <w:rsid w:val="008C3BB1"/>
    <w:rsid w:val="008C3DB0"/>
    <w:rsid w:val="008C505C"/>
    <w:rsid w:val="008C5214"/>
    <w:rsid w:val="008C53A8"/>
    <w:rsid w:val="008C5562"/>
    <w:rsid w:val="008D1E99"/>
    <w:rsid w:val="008D2357"/>
    <w:rsid w:val="008D282F"/>
    <w:rsid w:val="008D316D"/>
    <w:rsid w:val="008D33AB"/>
    <w:rsid w:val="008D4590"/>
    <w:rsid w:val="008D50E5"/>
    <w:rsid w:val="008D7281"/>
    <w:rsid w:val="008D772F"/>
    <w:rsid w:val="008E323F"/>
    <w:rsid w:val="008E4F7E"/>
    <w:rsid w:val="008E6A84"/>
    <w:rsid w:val="008E7BBC"/>
    <w:rsid w:val="008F2281"/>
    <w:rsid w:val="008F3BF4"/>
    <w:rsid w:val="008F40F8"/>
    <w:rsid w:val="008F4D4A"/>
    <w:rsid w:val="008F5C35"/>
    <w:rsid w:val="008F6984"/>
    <w:rsid w:val="008F79E2"/>
    <w:rsid w:val="00902470"/>
    <w:rsid w:val="0090403A"/>
    <w:rsid w:val="00904E21"/>
    <w:rsid w:val="00904F25"/>
    <w:rsid w:val="00905202"/>
    <w:rsid w:val="0090585B"/>
    <w:rsid w:val="009061B1"/>
    <w:rsid w:val="00906471"/>
    <w:rsid w:val="00906F5E"/>
    <w:rsid w:val="009108D6"/>
    <w:rsid w:val="00911A24"/>
    <w:rsid w:val="009124FE"/>
    <w:rsid w:val="00913190"/>
    <w:rsid w:val="0091361E"/>
    <w:rsid w:val="00914D1C"/>
    <w:rsid w:val="009161B6"/>
    <w:rsid w:val="00916DE0"/>
    <w:rsid w:val="00921AD1"/>
    <w:rsid w:val="0092280C"/>
    <w:rsid w:val="009239E2"/>
    <w:rsid w:val="00923A4D"/>
    <w:rsid w:val="0092477E"/>
    <w:rsid w:val="00925D2D"/>
    <w:rsid w:val="00931602"/>
    <w:rsid w:val="00931FAA"/>
    <w:rsid w:val="0093280C"/>
    <w:rsid w:val="00932A5C"/>
    <w:rsid w:val="00932E88"/>
    <w:rsid w:val="00933960"/>
    <w:rsid w:val="00933B7B"/>
    <w:rsid w:val="00933D60"/>
    <w:rsid w:val="00933E2A"/>
    <w:rsid w:val="00935AFF"/>
    <w:rsid w:val="00936A74"/>
    <w:rsid w:val="00936BC5"/>
    <w:rsid w:val="00940861"/>
    <w:rsid w:val="0094179E"/>
    <w:rsid w:val="00944188"/>
    <w:rsid w:val="00945358"/>
    <w:rsid w:val="00945497"/>
    <w:rsid w:val="009509F4"/>
    <w:rsid w:val="00950B1E"/>
    <w:rsid w:val="00951D7E"/>
    <w:rsid w:val="0095273D"/>
    <w:rsid w:val="0095388D"/>
    <w:rsid w:val="00954279"/>
    <w:rsid w:val="00957908"/>
    <w:rsid w:val="00957C66"/>
    <w:rsid w:val="00960A00"/>
    <w:rsid w:val="00961024"/>
    <w:rsid w:val="00961122"/>
    <w:rsid w:val="00961DF0"/>
    <w:rsid w:val="00962B5C"/>
    <w:rsid w:val="00963343"/>
    <w:rsid w:val="00965215"/>
    <w:rsid w:val="009653EA"/>
    <w:rsid w:val="00965BFE"/>
    <w:rsid w:val="00966554"/>
    <w:rsid w:val="00967C84"/>
    <w:rsid w:val="009704CE"/>
    <w:rsid w:val="00970B9C"/>
    <w:rsid w:val="009713AC"/>
    <w:rsid w:val="0097380C"/>
    <w:rsid w:val="00973C28"/>
    <w:rsid w:val="00977B66"/>
    <w:rsid w:val="009813BC"/>
    <w:rsid w:val="009846AF"/>
    <w:rsid w:val="009853B4"/>
    <w:rsid w:val="00986B78"/>
    <w:rsid w:val="00990354"/>
    <w:rsid w:val="00990AFE"/>
    <w:rsid w:val="00991133"/>
    <w:rsid w:val="00991B08"/>
    <w:rsid w:val="00995100"/>
    <w:rsid w:val="0099621C"/>
    <w:rsid w:val="009A0A9B"/>
    <w:rsid w:val="009A16C3"/>
    <w:rsid w:val="009A269E"/>
    <w:rsid w:val="009A4342"/>
    <w:rsid w:val="009A4623"/>
    <w:rsid w:val="009A6CD3"/>
    <w:rsid w:val="009A6D89"/>
    <w:rsid w:val="009A7ED0"/>
    <w:rsid w:val="009B080C"/>
    <w:rsid w:val="009B186C"/>
    <w:rsid w:val="009B241D"/>
    <w:rsid w:val="009B2A85"/>
    <w:rsid w:val="009B2C4F"/>
    <w:rsid w:val="009B301E"/>
    <w:rsid w:val="009B339A"/>
    <w:rsid w:val="009B3BBC"/>
    <w:rsid w:val="009B6670"/>
    <w:rsid w:val="009C0327"/>
    <w:rsid w:val="009C1B52"/>
    <w:rsid w:val="009C1EA8"/>
    <w:rsid w:val="009C2C8F"/>
    <w:rsid w:val="009C2FB1"/>
    <w:rsid w:val="009C5A26"/>
    <w:rsid w:val="009C5CF0"/>
    <w:rsid w:val="009C6273"/>
    <w:rsid w:val="009C63D4"/>
    <w:rsid w:val="009C70FD"/>
    <w:rsid w:val="009C73FC"/>
    <w:rsid w:val="009C76A5"/>
    <w:rsid w:val="009C7C72"/>
    <w:rsid w:val="009D0D98"/>
    <w:rsid w:val="009D106E"/>
    <w:rsid w:val="009D1228"/>
    <w:rsid w:val="009D174B"/>
    <w:rsid w:val="009D19B7"/>
    <w:rsid w:val="009D1FB4"/>
    <w:rsid w:val="009D25AA"/>
    <w:rsid w:val="009D29E5"/>
    <w:rsid w:val="009D315B"/>
    <w:rsid w:val="009D4296"/>
    <w:rsid w:val="009D4889"/>
    <w:rsid w:val="009D70D6"/>
    <w:rsid w:val="009D7BA8"/>
    <w:rsid w:val="009D7CC9"/>
    <w:rsid w:val="009E0091"/>
    <w:rsid w:val="009E1312"/>
    <w:rsid w:val="009E24F5"/>
    <w:rsid w:val="009E3395"/>
    <w:rsid w:val="009E35A8"/>
    <w:rsid w:val="009E3F4E"/>
    <w:rsid w:val="009E5A8A"/>
    <w:rsid w:val="009E6DD7"/>
    <w:rsid w:val="009F0195"/>
    <w:rsid w:val="009F21D0"/>
    <w:rsid w:val="009F2CD1"/>
    <w:rsid w:val="00A00DA7"/>
    <w:rsid w:val="00A01832"/>
    <w:rsid w:val="00A019F1"/>
    <w:rsid w:val="00A02A19"/>
    <w:rsid w:val="00A030CF"/>
    <w:rsid w:val="00A055B2"/>
    <w:rsid w:val="00A06815"/>
    <w:rsid w:val="00A0707B"/>
    <w:rsid w:val="00A07768"/>
    <w:rsid w:val="00A10B42"/>
    <w:rsid w:val="00A10BE5"/>
    <w:rsid w:val="00A139BA"/>
    <w:rsid w:val="00A1560B"/>
    <w:rsid w:val="00A15BBE"/>
    <w:rsid w:val="00A15EA0"/>
    <w:rsid w:val="00A21465"/>
    <w:rsid w:val="00A21CC9"/>
    <w:rsid w:val="00A22F4C"/>
    <w:rsid w:val="00A23AD3"/>
    <w:rsid w:val="00A23B18"/>
    <w:rsid w:val="00A252A9"/>
    <w:rsid w:val="00A253FF"/>
    <w:rsid w:val="00A25AA8"/>
    <w:rsid w:val="00A25F33"/>
    <w:rsid w:val="00A2651F"/>
    <w:rsid w:val="00A26966"/>
    <w:rsid w:val="00A30988"/>
    <w:rsid w:val="00A312D8"/>
    <w:rsid w:val="00A31C4C"/>
    <w:rsid w:val="00A33099"/>
    <w:rsid w:val="00A3331F"/>
    <w:rsid w:val="00A33C5F"/>
    <w:rsid w:val="00A361AD"/>
    <w:rsid w:val="00A36362"/>
    <w:rsid w:val="00A368D8"/>
    <w:rsid w:val="00A36B2F"/>
    <w:rsid w:val="00A36CAE"/>
    <w:rsid w:val="00A3751D"/>
    <w:rsid w:val="00A37AB5"/>
    <w:rsid w:val="00A40247"/>
    <w:rsid w:val="00A4101F"/>
    <w:rsid w:val="00A41D89"/>
    <w:rsid w:val="00A43C57"/>
    <w:rsid w:val="00A44C81"/>
    <w:rsid w:val="00A453CF"/>
    <w:rsid w:val="00A4598A"/>
    <w:rsid w:val="00A46433"/>
    <w:rsid w:val="00A46496"/>
    <w:rsid w:val="00A46B7B"/>
    <w:rsid w:val="00A46F98"/>
    <w:rsid w:val="00A47416"/>
    <w:rsid w:val="00A47B24"/>
    <w:rsid w:val="00A47F42"/>
    <w:rsid w:val="00A50E61"/>
    <w:rsid w:val="00A51CA2"/>
    <w:rsid w:val="00A522C7"/>
    <w:rsid w:val="00A5337A"/>
    <w:rsid w:val="00A53505"/>
    <w:rsid w:val="00A54606"/>
    <w:rsid w:val="00A5476C"/>
    <w:rsid w:val="00A55B41"/>
    <w:rsid w:val="00A561C9"/>
    <w:rsid w:val="00A57788"/>
    <w:rsid w:val="00A616CA"/>
    <w:rsid w:val="00A617DF"/>
    <w:rsid w:val="00A619E5"/>
    <w:rsid w:val="00A61E4B"/>
    <w:rsid w:val="00A621E8"/>
    <w:rsid w:val="00A631EA"/>
    <w:rsid w:val="00A65593"/>
    <w:rsid w:val="00A6596A"/>
    <w:rsid w:val="00A65AD6"/>
    <w:rsid w:val="00A663D4"/>
    <w:rsid w:val="00A667AC"/>
    <w:rsid w:val="00A67383"/>
    <w:rsid w:val="00A6761C"/>
    <w:rsid w:val="00A67923"/>
    <w:rsid w:val="00A70975"/>
    <w:rsid w:val="00A70DDB"/>
    <w:rsid w:val="00A71574"/>
    <w:rsid w:val="00A71EF8"/>
    <w:rsid w:val="00A721D1"/>
    <w:rsid w:val="00A73F84"/>
    <w:rsid w:val="00A743F7"/>
    <w:rsid w:val="00A745C8"/>
    <w:rsid w:val="00A7497D"/>
    <w:rsid w:val="00A749C0"/>
    <w:rsid w:val="00A77BCF"/>
    <w:rsid w:val="00A80498"/>
    <w:rsid w:val="00A805F4"/>
    <w:rsid w:val="00A80F82"/>
    <w:rsid w:val="00A815A3"/>
    <w:rsid w:val="00A81953"/>
    <w:rsid w:val="00A822F9"/>
    <w:rsid w:val="00A82851"/>
    <w:rsid w:val="00A838AD"/>
    <w:rsid w:val="00A83923"/>
    <w:rsid w:val="00A83AE6"/>
    <w:rsid w:val="00A85C04"/>
    <w:rsid w:val="00A85FCC"/>
    <w:rsid w:val="00A86337"/>
    <w:rsid w:val="00A87A18"/>
    <w:rsid w:val="00A908BD"/>
    <w:rsid w:val="00A9124F"/>
    <w:rsid w:val="00A91D1D"/>
    <w:rsid w:val="00A92992"/>
    <w:rsid w:val="00A92C50"/>
    <w:rsid w:val="00A92F22"/>
    <w:rsid w:val="00A93009"/>
    <w:rsid w:val="00A960D2"/>
    <w:rsid w:val="00AA1EA9"/>
    <w:rsid w:val="00AA2C6C"/>
    <w:rsid w:val="00AA5192"/>
    <w:rsid w:val="00AA5692"/>
    <w:rsid w:val="00AA67FB"/>
    <w:rsid w:val="00AA68F4"/>
    <w:rsid w:val="00AA6DB6"/>
    <w:rsid w:val="00AA77C2"/>
    <w:rsid w:val="00AB32DE"/>
    <w:rsid w:val="00AB55F2"/>
    <w:rsid w:val="00AB6882"/>
    <w:rsid w:val="00AB7653"/>
    <w:rsid w:val="00AB7E52"/>
    <w:rsid w:val="00AC1252"/>
    <w:rsid w:val="00AC1261"/>
    <w:rsid w:val="00AC1EB9"/>
    <w:rsid w:val="00AC414C"/>
    <w:rsid w:val="00AC4FC4"/>
    <w:rsid w:val="00AC5099"/>
    <w:rsid w:val="00AC52AA"/>
    <w:rsid w:val="00AC7A74"/>
    <w:rsid w:val="00AD0EF0"/>
    <w:rsid w:val="00AD1EAE"/>
    <w:rsid w:val="00AD2997"/>
    <w:rsid w:val="00AD30FF"/>
    <w:rsid w:val="00AD4527"/>
    <w:rsid w:val="00AD4F8C"/>
    <w:rsid w:val="00AD551C"/>
    <w:rsid w:val="00AD6100"/>
    <w:rsid w:val="00AD661C"/>
    <w:rsid w:val="00AD6B26"/>
    <w:rsid w:val="00AD7006"/>
    <w:rsid w:val="00AD788F"/>
    <w:rsid w:val="00AE016B"/>
    <w:rsid w:val="00AE0328"/>
    <w:rsid w:val="00AE193E"/>
    <w:rsid w:val="00AE201D"/>
    <w:rsid w:val="00AE26C7"/>
    <w:rsid w:val="00AE2E4D"/>
    <w:rsid w:val="00AE3C1F"/>
    <w:rsid w:val="00AE3C67"/>
    <w:rsid w:val="00AE652D"/>
    <w:rsid w:val="00AF0295"/>
    <w:rsid w:val="00AF032C"/>
    <w:rsid w:val="00AF16A8"/>
    <w:rsid w:val="00AF1A50"/>
    <w:rsid w:val="00AF1B6D"/>
    <w:rsid w:val="00AF1C87"/>
    <w:rsid w:val="00AF2397"/>
    <w:rsid w:val="00AF33ED"/>
    <w:rsid w:val="00AF35C5"/>
    <w:rsid w:val="00AF3B17"/>
    <w:rsid w:val="00AF40FA"/>
    <w:rsid w:val="00AF44DC"/>
    <w:rsid w:val="00AF4C84"/>
    <w:rsid w:val="00AF5B28"/>
    <w:rsid w:val="00AF7034"/>
    <w:rsid w:val="00B00486"/>
    <w:rsid w:val="00B00C2D"/>
    <w:rsid w:val="00B018D9"/>
    <w:rsid w:val="00B01903"/>
    <w:rsid w:val="00B02666"/>
    <w:rsid w:val="00B02C20"/>
    <w:rsid w:val="00B03429"/>
    <w:rsid w:val="00B0368B"/>
    <w:rsid w:val="00B0427F"/>
    <w:rsid w:val="00B04661"/>
    <w:rsid w:val="00B06100"/>
    <w:rsid w:val="00B06407"/>
    <w:rsid w:val="00B06971"/>
    <w:rsid w:val="00B073E4"/>
    <w:rsid w:val="00B10AF8"/>
    <w:rsid w:val="00B10EC0"/>
    <w:rsid w:val="00B133E3"/>
    <w:rsid w:val="00B135A6"/>
    <w:rsid w:val="00B13B0A"/>
    <w:rsid w:val="00B15385"/>
    <w:rsid w:val="00B1596E"/>
    <w:rsid w:val="00B15E63"/>
    <w:rsid w:val="00B16685"/>
    <w:rsid w:val="00B1727A"/>
    <w:rsid w:val="00B17A49"/>
    <w:rsid w:val="00B20485"/>
    <w:rsid w:val="00B20C80"/>
    <w:rsid w:val="00B22E96"/>
    <w:rsid w:val="00B2311C"/>
    <w:rsid w:val="00B231BB"/>
    <w:rsid w:val="00B24587"/>
    <w:rsid w:val="00B249F0"/>
    <w:rsid w:val="00B250BC"/>
    <w:rsid w:val="00B25CDE"/>
    <w:rsid w:val="00B26BA2"/>
    <w:rsid w:val="00B329AA"/>
    <w:rsid w:val="00B3552B"/>
    <w:rsid w:val="00B355CE"/>
    <w:rsid w:val="00B355FC"/>
    <w:rsid w:val="00B35FDD"/>
    <w:rsid w:val="00B3600B"/>
    <w:rsid w:val="00B37542"/>
    <w:rsid w:val="00B37688"/>
    <w:rsid w:val="00B40A87"/>
    <w:rsid w:val="00B40CE4"/>
    <w:rsid w:val="00B413F4"/>
    <w:rsid w:val="00B42F7A"/>
    <w:rsid w:val="00B43A15"/>
    <w:rsid w:val="00B45F5A"/>
    <w:rsid w:val="00B460BC"/>
    <w:rsid w:val="00B467C8"/>
    <w:rsid w:val="00B5104F"/>
    <w:rsid w:val="00B5157C"/>
    <w:rsid w:val="00B51D6F"/>
    <w:rsid w:val="00B51D9A"/>
    <w:rsid w:val="00B52771"/>
    <w:rsid w:val="00B53238"/>
    <w:rsid w:val="00B53CA8"/>
    <w:rsid w:val="00B5404E"/>
    <w:rsid w:val="00B54A31"/>
    <w:rsid w:val="00B54D68"/>
    <w:rsid w:val="00B5592C"/>
    <w:rsid w:val="00B55B26"/>
    <w:rsid w:val="00B56268"/>
    <w:rsid w:val="00B566E7"/>
    <w:rsid w:val="00B5779F"/>
    <w:rsid w:val="00B603B8"/>
    <w:rsid w:val="00B60C7F"/>
    <w:rsid w:val="00B62050"/>
    <w:rsid w:val="00B62278"/>
    <w:rsid w:val="00B62705"/>
    <w:rsid w:val="00B627D2"/>
    <w:rsid w:val="00B62EE6"/>
    <w:rsid w:val="00B6332E"/>
    <w:rsid w:val="00B6476D"/>
    <w:rsid w:val="00B64B76"/>
    <w:rsid w:val="00B667A4"/>
    <w:rsid w:val="00B70DA5"/>
    <w:rsid w:val="00B71F26"/>
    <w:rsid w:val="00B723E4"/>
    <w:rsid w:val="00B74164"/>
    <w:rsid w:val="00B74AEE"/>
    <w:rsid w:val="00B74CC6"/>
    <w:rsid w:val="00B764F6"/>
    <w:rsid w:val="00B76541"/>
    <w:rsid w:val="00B76B92"/>
    <w:rsid w:val="00B81EC9"/>
    <w:rsid w:val="00B842B5"/>
    <w:rsid w:val="00B85342"/>
    <w:rsid w:val="00B85D47"/>
    <w:rsid w:val="00B8615F"/>
    <w:rsid w:val="00B8771E"/>
    <w:rsid w:val="00B87B78"/>
    <w:rsid w:val="00B90194"/>
    <w:rsid w:val="00B915E6"/>
    <w:rsid w:val="00B91881"/>
    <w:rsid w:val="00B91A9E"/>
    <w:rsid w:val="00B93343"/>
    <w:rsid w:val="00B95CF0"/>
    <w:rsid w:val="00BA0C52"/>
    <w:rsid w:val="00BA1C7E"/>
    <w:rsid w:val="00BA2D18"/>
    <w:rsid w:val="00BA3112"/>
    <w:rsid w:val="00BA5A0D"/>
    <w:rsid w:val="00BA69C4"/>
    <w:rsid w:val="00BB0306"/>
    <w:rsid w:val="00BB0646"/>
    <w:rsid w:val="00BB0EFE"/>
    <w:rsid w:val="00BB1003"/>
    <w:rsid w:val="00BB1CD9"/>
    <w:rsid w:val="00BB257D"/>
    <w:rsid w:val="00BB31EE"/>
    <w:rsid w:val="00BB36F6"/>
    <w:rsid w:val="00BB614A"/>
    <w:rsid w:val="00BB633F"/>
    <w:rsid w:val="00BB7DD7"/>
    <w:rsid w:val="00BB7DF5"/>
    <w:rsid w:val="00BC1AAD"/>
    <w:rsid w:val="00BC216C"/>
    <w:rsid w:val="00BC2A71"/>
    <w:rsid w:val="00BC3054"/>
    <w:rsid w:val="00BC3733"/>
    <w:rsid w:val="00BC3FEC"/>
    <w:rsid w:val="00BC4E89"/>
    <w:rsid w:val="00BC5476"/>
    <w:rsid w:val="00BC603D"/>
    <w:rsid w:val="00BC7512"/>
    <w:rsid w:val="00BC75F6"/>
    <w:rsid w:val="00BD0C07"/>
    <w:rsid w:val="00BD2911"/>
    <w:rsid w:val="00BD6623"/>
    <w:rsid w:val="00BE1028"/>
    <w:rsid w:val="00BE1625"/>
    <w:rsid w:val="00BE2910"/>
    <w:rsid w:val="00BE3539"/>
    <w:rsid w:val="00BE6451"/>
    <w:rsid w:val="00BE6BA9"/>
    <w:rsid w:val="00BE6CBF"/>
    <w:rsid w:val="00BE6D61"/>
    <w:rsid w:val="00BE6F30"/>
    <w:rsid w:val="00BE7125"/>
    <w:rsid w:val="00BE75A2"/>
    <w:rsid w:val="00BF081F"/>
    <w:rsid w:val="00BF2370"/>
    <w:rsid w:val="00BF2B5B"/>
    <w:rsid w:val="00BF338A"/>
    <w:rsid w:val="00BF36D3"/>
    <w:rsid w:val="00BF54BD"/>
    <w:rsid w:val="00BF5E09"/>
    <w:rsid w:val="00BF6C9D"/>
    <w:rsid w:val="00C00184"/>
    <w:rsid w:val="00C002E1"/>
    <w:rsid w:val="00C00A7C"/>
    <w:rsid w:val="00C023E2"/>
    <w:rsid w:val="00C03BBF"/>
    <w:rsid w:val="00C04812"/>
    <w:rsid w:val="00C04D30"/>
    <w:rsid w:val="00C0523F"/>
    <w:rsid w:val="00C053B6"/>
    <w:rsid w:val="00C05BD5"/>
    <w:rsid w:val="00C11D1E"/>
    <w:rsid w:val="00C12A07"/>
    <w:rsid w:val="00C13A66"/>
    <w:rsid w:val="00C14F2B"/>
    <w:rsid w:val="00C1505B"/>
    <w:rsid w:val="00C16B3A"/>
    <w:rsid w:val="00C2085B"/>
    <w:rsid w:val="00C20AC4"/>
    <w:rsid w:val="00C217B7"/>
    <w:rsid w:val="00C22C4A"/>
    <w:rsid w:val="00C234E3"/>
    <w:rsid w:val="00C24C30"/>
    <w:rsid w:val="00C24EF1"/>
    <w:rsid w:val="00C24F1D"/>
    <w:rsid w:val="00C24F7C"/>
    <w:rsid w:val="00C31198"/>
    <w:rsid w:val="00C33E67"/>
    <w:rsid w:val="00C3415F"/>
    <w:rsid w:val="00C3456F"/>
    <w:rsid w:val="00C35760"/>
    <w:rsid w:val="00C37993"/>
    <w:rsid w:val="00C37C71"/>
    <w:rsid w:val="00C40765"/>
    <w:rsid w:val="00C419CD"/>
    <w:rsid w:val="00C42375"/>
    <w:rsid w:val="00C42831"/>
    <w:rsid w:val="00C434DE"/>
    <w:rsid w:val="00C43747"/>
    <w:rsid w:val="00C443E6"/>
    <w:rsid w:val="00C44CD3"/>
    <w:rsid w:val="00C464AC"/>
    <w:rsid w:val="00C50228"/>
    <w:rsid w:val="00C5094D"/>
    <w:rsid w:val="00C56CCD"/>
    <w:rsid w:val="00C56E3C"/>
    <w:rsid w:val="00C57AC3"/>
    <w:rsid w:val="00C60086"/>
    <w:rsid w:val="00C60A67"/>
    <w:rsid w:val="00C60C3E"/>
    <w:rsid w:val="00C60E03"/>
    <w:rsid w:val="00C63CDF"/>
    <w:rsid w:val="00C654CA"/>
    <w:rsid w:val="00C66249"/>
    <w:rsid w:val="00C66D62"/>
    <w:rsid w:val="00C670DB"/>
    <w:rsid w:val="00C6729A"/>
    <w:rsid w:val="00C674BA"/>
    <w:rsid w:val="00C67875"/>
    <w:rsid w:val="00C70F4D"/>
    <w:rsid w:val="00C717A5"/>
    <w:rsid w:val="00C71925"/>
    <w:rsid w:val="00C7487E"/>
    <w:rsid w:val="00C74B74"/>
    <w:rsid w:val="00C76E7A"/>
    <w:rsid w:val="00C76EC9"/>
    <w:rsid w:val="00C82B01"/>
    <w:rsid w:val="00C82FA4"/>
    <w:rsid w:val="00C85448"/>
    <w:rsid w:val="00C85CEF"/>
    <w:rsid w:val="00C863F9"/>
    <w:rsid w:val="00C90684"/>
    <w:rsid w:val="00C91650"/>
    <w:rsid w:val="00C92597"/>
    <w:rsid w:val="00C952F3"/>
    <w:rsid w:val="00C9587B"/>
    <w:rsid w:val="00CA1F2B"/>
    <w:rsid w:val="00CA31E3"/>
    <w:rsid w:val="00CA32F9"/>
    <w:rsid w:val="00CA4EC1"/>
    <w:rsid w:val="00CA5272"/>
    <w:rsid w:val="00CA5BC5"/>
    <w:rsid w:val="00CA76C8"/>
    <w:rsid w:val="00CB57F3"/>
    <w:rsid w:val="00CB73E1"/>
    <w:rsid w:val="00CB797F"/>
    <w:rsid w:val="00CB7C2D"/>
    <w:rsid w:val="00CC03BF"/>
    <w:rsid w:val="00CC08CC"/>
    <w:rsid w:val="00CC09EA"/>
    <w:rsid w:val="00CC1414"/>
    <w:rsid w:val="00CC1914"/>
    <w:rsid w:val="00CC1986"/>
    <w:rsid w:val="00CC2C30"/>
    <w:rsid w:val="00CC39CF"/>
    <w:rsid w:val="00CC435F"/>
    <w:rsid w:val="00CC58BC"/>
    <w:rsid w:val="00CC5DEE"/>
    <w:rsid w:val="00CC63EF"/>
    <w:rsid w:val="00CC6992"/>
    <w:rsid w:val="00CD0186"/>
    <w:rsid w:val="00CD1044"/>
    <w:rsid w:val="00CD2F0E"/>
    <w:rsid w:val="00CD4AAE"/>
    <w:rsid w:val="00CD6408"/>
    <w:rsid w:val="00CD74E3"/>
    <w:rsid w:val="00CE0076"/>
    <w:rsid w:val="00CE42D0"/>
    <w:rsid w:val="00CE5E87"/>
    <w:rsid w:val="00CE6583"/>
    <w:rsid w:val="00CE69F1"/>
    <w:rsid w:val="00CE6D9A"/>
    <w:rsid w:val="00CE6E68"/>
    <w:rsid w:val="00CE72BA"/>
    <w:rsid w:val="00CE7439"/>
    <w:rsid w:val="00CE7616"/>
    <w:rsid w:val="00CF345B"/>
    <w:rsid w:val="00CF3BC8"/>
    <w:rsid w:val="00CF5077"/>
    <w:rsid w:val="00CF5D2E"/>
    <w:rsid w:val="00CF6855"/>
    <w:rsid w:val="00CF68C2"/>
    <w:rsid w:val="00CF73DF"/>
    <w:rsid w:val="00CF7683"/>
    <w:rsid w:val="00D0008F"/>
    <w:rsid w:val="00D00439"/>
    <w:rsid w:val="00D004FA"/>
    <w:rsid w:val="00D005D6"/>
    <w:rsid w:val="00D00F3A"/>
    <w:rsid w:val="00D01759"/>
    <w:rsid w:val="00D02BFA"/>
    <w:rsid w:val="00D02D68"/>
    <w:rsid w:val="00D03581"/>
    <w:rsid w:val="00D05668"/>
    <w:rsid w:val="00D10056"/>
    <w:rsid w:val="00D1069F"/>
    <w:rsid w:val="00D1078A"/>
    <w:rsid w:val="00D11E5A"/>
    <w:rsid w:val="00D11F62"/>
    <w:rsid w:val="00D132D6"/>
    <w:rsid w:val="00D16021"/>
    <w:rsid w:val="00D16725"/>
    <w:rsid w:val="00D16C3F"/>
    <w:rsid w:val="00D173EB"/>
    <w:rsid w:val="00D200EF"/>
    <w:rsid w:val="00D203EF"/>
    <w:rsid w:val="00D21815"/>
    <w:rsid w:val="00D21ADC"/>
    <w:rsid w:val="00D227BE"/>
    <w:rsid w:val="00D2492A"/>
    <w:rsid w:val="00D24FAC"/>
    <w:rsid w:val="00D25062"/>
    <w:rsid w:val="00D256AB"/>
    <w:rsid w:val="00D26738"/>
    <w:rsid w:val="00D27F29"/>
    <w:rsid w:val="00D3005C"/>
    <w:rsid w:val="00D31595"/>
    <w:rsid w:val="00D31B25"/>
    <w:rsid w:val="00D31FC5"/>
    <w:rsid w:val="00D33A27"/>
    <w:rsid w:val="00D34BC0"/>
    <w:rsid w:val="00D34F06"/>
    <w:rsid w:val="00D36E7C"/>
    <w:rsid w:val="00D4015D"/>
    <w:rsid w:val="00D403DC"/>
    <w:rsid w:val="00D4088C"/>
    <w:rsid w:val="00D4136A"/>
    <w:rsid w:val="00D41849"/>
    <w:rsid w:val="00D4200F"/>
    <w:rsid w:val="00D42CF5"/>
    <w:rsid w:val="00D42E06"/>
    <w:rsid w:val="00D43E92"/>
    <w:rsid w:val="00D4405F"/>
    <w:rsid w:val="00D45583"/>
    <w:rsid w:val="00D46046"/>
    <w:rsid w:val="00D473C8"/>
    <w:rsid w:val="00D5096D"/>
    <w:rsid w:val="00D52509"/>
    <w:rsid w:val="00D52E88"/>
    <w:rsid w:val="00D53411"/>
    <w:rsid w:val="00D54EEE"/>
    <w:rsid w:val="00D5604D"/>
    <w:rsid w:val="00D56F0E"/>
    <w:rsid w:val="00D576A9"/>
    <w:rsid w:val="00D606FE"/>
    <w:rsid w:val="00D62098"/>
    <w:rsid w:val="00D62160"/>
    <w:rsid w:val="00D6228F"/>
    <w:rsid w:val="00D631B6"/>
    <w:rsid w:val="00D66380"/>
    <w:rsid w:val="00D7132F"/>
    <w:rsid w:val="00D715EA"/>
    <w:rsid w:val="00D717D7"/>
    <w:rsid w:val="00D72AF9"/>
    <w:rsid w:val="00D72CB4"/>
    <w:rsid w:val="00D73075"/>
    <w:rsid w:val="00D74DCC"/>
    <w:rsid w:val="00D7515A"/>
    <w:rsid w:val="00D80547"/>
    <w:rsid w:val="00D80725"/>
    <w:rsid w:val="00D81132"/>
    <w:rsid w:val="00D8120A"/>
    <w:rsid w:val="00D84985"/>
    <w:rsid w:val="00D84AE1"/>
    <w:rsid w:val="00D87656"/>
    <w:rsid w:val="00D877F9"/>
    <w:rsid w:val="00D9041E"/>
    <w:rsid w:val="00D90E5E"/>
    <w:rsid w:val="00D91613"/>
    <w:rsid w:val="00D92E9F"/>
    <w:rsid w:val="00D93C29"/>
    <w:rsid w:val="00D940A8"/>
    <w:rsid w:val="00D96A2F"/>
    <w:rsid w:val="00D9738C"/>
    <w:rsid w:val="00DA2788"/>
    <w:rsid w:val="00DA291B"/>
    <w:rsid w:val="00DA306F"/>
    <w:rsid w:val="00DA4083"/>
    <w:rsid w:val="00DA66AD"/>
    <w:rsid w:val="00DB148F"/>
    <w:rsid w:val="00DB1AF6"/>
    <w:rsid w:val="00DB20A2"/>
    <w:rsid w:val="00DB2F25"/>
    <w:rsid w:val="00DB4899"/>
    <w:rsid w:val="00DB6BC1"/>
    <w:rsid w:val="00DB7735"/>
    <w:rsid w:val="00DB7FF5"/>
    <w:rsid w:val="00DC0FB4"/>
    <w:rsid w:val="00DC569D"/>
    <w:rsid w:val="00DC5B87"/>
    <w:rsid w:val="00DC6359"/>
    <w:rsid w:val="00DC67C8"/>
    <w:rsid w:val="00DC6ED1"/>
    <w:rsid w:val="00DC754F"/>
    <w:rsid w:val="00DD1315"/>
    <w:rsid w:val="00DD1820"/>
    <w:rsid w:val="00DD18EF"/>
    <w:rsid w:val="00DD60FF"/>
    <w:rsid w:val="00DD642D"/>
    <w:rsid w:val="00DD6869"/>
    <w:rsid w:val="00DD7F25"/>
    <w:rsid w:val="00DE0062"/>
    <w:rsid w:val="00DE0AA3"/>
    <w:rsid w:val="00DE0DBA"/>
    <w:rsid w:val="00DE6C49"/>
    <w:rsid w:val="00DF1951"/>
    <w:rsid w:val="00DF5568"/>
    <w:rsid w:val="00DF59BB"/>
    <w:rsid w:val="00E00DE6"/>
    <w:rsid w:val="00E01299"/>
    <w:rsid w:val="00E02EF6"/>
    <w:rsid w:val="00E03EF9"/>
    <w:rsid w:val="00E04498"/>
    <w:rsid w:val="00E0522F"/>
    <w:rsid w:val="00E05439"/>
    <w:rsid w:val="00E07B42"/>
    <w:rsid w:val="00E10012"/>
    <w:rsid w:val="00E109DE"/>
    <w:rsid w:val="00E11D16"/>
    <w:rsid w:val="00E131FA"/>
    <w:rsid w:val="00E13A40"/>
    <w:rsid w:val="00E1546D"/>
    <w:rsid w:val="00E156FE"/>
    <w:rsid w:val="00E16335"/>
    <w:rsid w:val="00E17852"/>
    <w:rsid w:val="00E17A3E"/>
    <w:rsid w:val="00E212A2"/>
    <w:rsid w:val="00E220E4"/>
    <w:rsid w:val="00E24936"/>
    <w:rsid w:val="00E270E4"/>
    <w:rsid w:val="00E27183"/>
    <w:rsid w:val="00E305A9"/>
    <w:rsid w:val="00E30A06"/>
    <w:rsid w:val="00E31A2A"/>
    <w:rsid w:val="00E3328F"/>
    <w:rsid w:val="00E3425D"/>
    <w:rsid w:val="00E349DA"/>
    <w:rsid w:val="00E34A60"/>
    <w:rsid w:val="00E36A92"/>
    <w:rsid w:val="00E3748E"/>
    <w:rsid w:val="00E403BD"/>
    <w:rsid w:val="00E43000"/>
    <w:rsid w:val="00E44662"/>
    <w:rsid w:val="00E44802"/>
    <w:rsid w:val="00E45A3C"/>
    <w:rsid w:val="00E5107F"/>
    <w:rsid w:val="00E51587"/>
    <w:rsid w:val="00E51999"/>
    <w:rsid w:val="00E51E06"/>
    <w:rsid w:val="00E520D2"/>
    <w:rsid w:val="00E53BEA"/>
    <w:rsid w:val="00E55C37"/>
    <w:rsid w:val="00E56122"/>
    <w:rsid w:val="00E56558"/>
    <w:rsid w:val="00E5697F"/>
    <w:rsid w:val="00E56AD8"/>
    <w:rsid w:val="00E57898"/>
    <w:rsid w:val="00E578DD"/>
    <w:rsid w:val="00E57F2E"/>
    <w:rsid w:val="00E61D5B"/>
    <w:rsid w:val="00E629C9"/>
    <w:rsid w:val="00E62F59"/>
    <w:rsid w:val="00E62FAF"/>
    <w:rsid w:val="00E66B91"/>
    <w:rsid w:val="00E7065A"/>
    <w:rsid w:val="00E72171"/>
    <w:rsid w:val="00E72986"/>
    <w:rsid w:val="00E72E28"/>
    <w:rsid w:val="00E73CAD"/>
    <w:rsid w:val="00E74023"/>
    <w:rsid w:val="00E74736"/>
    <w:rsid w:val="00E7553E"/>
    <w:rsid w:val="00E778AD"/>
    <w:rsid w:val="00E81CEA"/>
    <w:rsid w:val="00E82D75"/>
    <w:rsid w:val="00E82F88"/>
    <w:rsid w:val="00E83585"/>
    <w:rsid w:val="00E83608"/>
    <w:rsid w:val="00E83F63"/>
    <w:rsid w:val="00E845AB"/>
    <w:rsid w:val="00E845EB"/>
    <w:rsid w:val="00E86173"/>
    <w:rsid w:val="00E8638F"/>
    <w:rsid w:val="00E869EB"/>
    <w:rsid w:val="00E87C38"/>
    <w:rsid w:val="00E87CD2"/>
    <w:rsid w:val="00E87EDA"/>
    <w:rsid w:val="00E914F2"/>
    <w:rsid w:val="00E91A88"/>
    <w:rsid w:val="00E9230A"/>
    <w:rsid w:val="00E9240E"/>
    <w:rsid w:val="00E93EF8"/>
    <w:rsid w:val="00E951C8"/>
    <w:rsid w:val="00EA0B66"/>
    <w:rsid w:val="00EA3A7C"/>
    <w:rsid w:val="00EA674F"/>
    <w:rsid w:val="00EA6CD8"/>
    <w:rsid w:val="00EA7605"/>
    <w:rsid w:val="00EB0AE2"/>
    <w:rsid w:val="00EB0FDA"/>
    <w:rsid w:val="00EB1308"/>
    <w:rsid w:val="00EB3DC1"/>
    <w:rsid w:val="00EB5750"/>
    <w:rsid w:val="00EB60EF"/>
    <w:rsid w:val="00EB643C"/>
    <w:rsid w:val="00EC0AC0"/>
    <w:rsid w:val="00EC315D"/>
    <w:rsid w:val="00EC31CC"/>
    <w:rsid w:val="00EC3E6F"/>
    <w:rsid w:val="00EC45D4"/>
    <w:rsid w:val="00EC47DA"/>
    <w:rsid w:val="00EC4C7F"/>
    <w:rsid w:val="00EC4D6E"/>
    <w:rsid w:val="00EC6F70"/>
    <w:rsid w:val="00ED15D2"/>
    <w:rsid w:val="00ED1B24"/>
    <w:rsid w:val="00ED370D"/>
    <w:rsid w:val="00ED3A63"/>
    <w:rsid w:val="00ED4C0C"/>
    <w:rsid w:val="00ED5DFC"/>
    <w:rsid w:val="00ED6F7D"/>
    <w:rsid w:val="00ED7DCA"/>
    <w:rsid w:val="00EE0E67"/>
    <w:rsid w:val="00EE186E"/>
    <w:rsid w:val="00EE1DDA"/>
    <w:rsid w:val="00EE220D"/>
    <w:rsid w:val="00EE3BD5"/>
    <w:rsid w:val="00EE46ED"/>
    <w:rsid w:val="00EE54C6"/>
    <w:rsid w:val="00EE5FEF"/>
    <w:rsid w:val="00EE657D"/>
    <w:rsid w:val="00EE71CF"/>
    <w:rsid w:val="00EF0159"/>
    <w:rsid w:val="00EF0491"/>
    <w:rsid w:val="00EF1127"/>
    <w:rsid w:val="00EF2770"/>
    <w:rsid w:val="00EF294C"/>
    <w:rsid w:val="00EF2E41"/>
    <w:rsid w:val="00EF3184"/>
    <w:rsid w:val="00EF3B18"/>
    <w:rsid w:val="00EF4251"/>
    <w:rsid w:val="00EF443D"/>
    <w:rsid w:val="00EF5920"/>
    <w:rsid w:val="00EF6A79"/>
    <w:rsid w:val="00EF72A0"/>
    <w:rsid w:val="00F00375"/>
    <w:rsid w:val="00F014DE"/>
    <w:rsid w:val="00F017E4"/>
    <w:rsid w:val="00F019A4"/>
    <w:rsid w:val="00F0201D"/>
    <w:rsid w:val="00F02581"/>
    <w:rsid w:val="00F03DD2"/>
    <w:rsid w:val="00F03DD5"/>
    <w:rsid w:val="00F05764"/>
    <w:rsid w:val="00F058BD"/>
    <w:rsid w:val="00F06148"/>
    <w:rsid w:val="00F12BD9"/>
    <w:rsid w:val="00F133C1"/>
    <w:rsid w:val="00F13759"/>
    <w:rsid w:val="00F20C31"/>
    <w:rsid w:val="00F21144"/>
    <w:rsid w:val="00F21EA6"/>
    <w:rsid w:val="00F22B5E"/>
    <w:rsid w:val="00F23E0D"/>
    <w:rsid w:val="00F23FD2"/>
    <w:rsid w:val="00F247DD"/>
    <w:rsid w:val="00F24E76"/>
    <w:rsid w:val="00F25EEE"/>
    <w:rsid w:val="00F26342"/>
    <w:rsid w:val="00F2644E"/>
    <w:rsid w:val="00F26F98"/>
    <w:rsid w:val="00F27494"/>
    <w:rsid w:val="00F27CC4"/>
    <w:rsid w:val="00F31266"/>
    <w:rsid w:val="00F3333A"/>
    <w:rsid w:val="00F33D72"/>
    <w:rsid w:val="00F35EE5"/>
    <w:rsid w:val="00F361C2"/>
    <w:rsid w:val="00F41BC4"/>
    <w:rsid w:val="00F41E2D"/>
    <w:rsid w:val="00F42AAD"/>
    <w:rsid w:val="00F435AE"/>
    <w:rsid w:val="00F43AFB"/>
    <w:rsid w:val="00F457F6"/>
    <w:rsid w:val="00F47785"/>
    <w:rsid w:val="00F51823"/>
    <w:rsid w:val="00F51A83"/>
    <w:rsid w:val="00F51AFE"/>
    <w:rsid w:val="00F51B4E"/>
    <w:rsid w:val="00F51C0B"/>
    <w:rsid w:val="00F5284C"/>
    <w:rsid w:val="00F5295C"/>
    <w:rsid w:val="00F532DB"/>
    <w:rsid w:val="00F5428E"/>
    <w:rsid w:val="00F54BF0"/>
    <w:rsid w:val="00F5514A"/>
    <w:rsid w:val="00F6044C"/>
    <w:rsid w:val="00F6075B"/>
    <w:rsid w:val="00F61620"/>
    <w:rsid w:val="00F61BCB"/>
    <w:rsid w:val="00F62CDE"/>
    <w:rsid w:val="00F63405"/>
    <w:rsid w:val="00F63A01"/>
    <w:rsid w:val="00F63ED5"/>
    <w:rsid w:val="00F644E4"/>
    <w:rsid w:val="00F6494E"/>
    <w:rsid w:val="00F6499F"/>
    <w:rsid w:val="00F64DCB"/>
    <w:rsid w:val="00F65176"/>
    <w:rsid w:val="00F6687B"/>
    <w:rsid w:val="00F66AC9"/>
    <w:rsid w:val="00F703E2"/>
    <w:rsid w:val="00F720F2"/>
    <w:rsid w:val="00F732BC"/>
    <w:rsid w:val="00F7357D"/>
    <w:rsid w:val="00F74222"/>
    <w:rsid w:val="00F744F6"/>
    <w:rsid w:val="00F761F6"/>
    <w:rsid w:val="00F762E2"/>
    <w:rsid w:val="00F76AD2"/>
    <w:rsid w:val="00F77537"/>
    <w:rsid w:val="00F77A02"/>
    <w:rsid w:val="00F80A7E"/>
    <w:rsid w:val="00F81581"/>
    <w:rsid w:val="00F849EC"/>
    <w:rsid w:val="00F84DC0"/>
    <w:rsid w:val="00F85E5C"/>
    <w:rsid w:val="00F86F76"/>
    <w:rsid w:val="00F870A5"/>
    <w:rsid w:val="00F8788C"/>
    <w:rsid w:val="00F9057E"/>
    <w:rsid w:val="00F90F91"/>
    <w:rsid w:val="00F92961"/>
    <w:rsid w:val="00F9370D"/>
    <w:rsid w:val="00F93861"/>
    <w:rsid w:val="00F95D74"/>
    <w:rsid w:val="00F97BB9"/>
    <w:rsid w:val="00F97FB3"/>
    <w:rsid w:val="00FA2138"/>
    <w:rsid w:val="00FA2AED"/>
    <w:rsid w:val="00FA34C0"/>
    <w:rsid w:val="00FA60DB"/>
    <w:rsid w:val="00FA7712"/>
    <w:rsid w:val="00FB00A2"/>
    <w:rsid w:val="00FB13C1"/>
    <w:rsid w:val="00FB1B68"/>
    <w:rsid w:val="00FB2728"/>
    <w:rsid w:val="00FB349B"/>
    <w:rsid w:val="00FB4436"/>
    <w:rsid w:val="00FB44AF"/>
    <w:rsid w:val="00FB49F5"/>
    <w:rsid w:val="00FB56D6"/>
    <w:rsid w:val="00FB5C0D"/>
    <w:rsid w:val="00FB6E6D"/>
    <w:rsid w:val="00FB6F6A"/>
    <w:rsid w:val="00FB775C"/>
    <w:rsid w:val="00FB78D5"/>
    <w:rsid w:val="00FB7941"/>
    <w:rsid w:val="00FB7BDC"/>
    <w:rsid w:val="00FB7F01"/>
    <w:rsid w:val="00FC0CCC"/>
    <w:rsid w:val="00FC11A3"/>
    <w:rsid w:val="00FC184F"/>
    <w:rsid w:val="00FC1982"/>
    <w:rsid w:val="00FC2A94"/>
    <w:rsid w:val="00FC3D60"/>
    <w:rsid w:val="00FC529E"/>
    <w:rsid w:val="00FC707D"/>
    <w:rsid w:val="00FC72C6"/>
    <w:rsid w:val="00FC7F2E"/>
    <w:rsid w:val="00FD1FB6"/>
    <w:rsid w:val="00FD24C7"/>
    <w:rsid w:val="00FD2CD2"/>
    <w:rsid w:val="00FD3103"/>
    <w:rsid w:val="00FD47DF"/>
    <w:rsid w:val="00FD4A26"/>
    <w:rsid w:val="00FE016F"/>
    <w:rsid w:val="00FE066A"/>
    <w:rsid w:val="00FE1210"/>
    <w:rsid w:val="00FE1D53"/>
    <w:rsid w:val="00FE1D89"/>
    <w:rsid w:val="00FE259E"/>
    <w:rsid w:val="00FE2848"/>
    <w:rsid w:val="00FE3A9B"/>
    <w:rsid w:val="00FE5479"/>
    <w:rsid w:val="00FE5F0D"/>
    <w:rsid w:val="00FE6D66"/>
    <w:rsid w:val="00FE7421"/>
    <w:rsid w:val="00FF0A2D"/>
    <w:rsid w:val="00FF1481"/>
    <w:rsid w:val="00FF1775"/>
    <w:rsid w:val="00FF2330"/>
    <w:rsid w:val="00FF4545"/>
    <w:rsid w:val="00FF4C39"/>
    <w:rsid w:val="00FF5C91"/>
    <w:rsid w:val="00FF6265"/>
    <w:rsid w:val="00FF76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F2330"/>
    <w:rPr>
      <w:sz w:val="24"/>
      <w:szCs w:val="24"/>
    </w:rPr>
  </w:style>
  <w:style w:type="paragraph" w:styleId="Heading1">
    <w:name w:val="heading 1"/>
    <w:basedOn w:val="Normal"/>
    <w:next w:val="Normal"/>
    <w:link w:val="Heading1Char"/>
    <w:qFormat/>
    <w:rsid w:val="00A53505"/>
    <w:pPr>
      <w:keepNext/>
      <w:tabs>
        <w:tab w:val="left" w:pos="360"/>
      </w:tabs>
      <w:spacing w:after="480"/>
      <w:ind w:left="357" w:hanging="357"/>
      <w:jc w:val="right"/>
      <w:outlineLvl w:val="0"/>
    </w:pPr>
    <w:rPr>
      <w:rFonts w:ascii="Arial" w:hAnsi="Arial"/>
      <w:b/>
      <w:sz w:val="36"/>
    </w:rPr>
  </w:style>
  <w:style w:type="paragraph" w:styleId="Heading2">
    <w:name w:val="heading 2"/>
    <w:basedOn w:val="Normal"/>
    <w:next w:val="Normal"/>
    <w:link w:val="Heading2Char"/>
    <w:qFormat/>
    <w:rsid w:val="00A53505"/>
    <w:pPr>
      <w:keepNext/>
      <w:pBdr>
        <w:bottom w:val="single" w:sz="4" w:space="1" w:color="auto"/>
      </w:pBdr>
      <w:spacing w:before="240"/>
      <w:jc w:val="right"/>
      <w:outlineLvl w:val="1"/>
    </w:pPr>
    <w:rPr>
      <w:rFonts w:ascii="Arial" w:hAnsi="Arial"/>
      <w:b/>
      <w:sz w:val="30"/>
    </w:rPr>
  </w:style>
  <w:style w:type="paragraph" w:styleId="Heading3">
    <w:name w:val="heading 3"/>
    <w:basedOn w:val="Normal"/>
    <w:next w:val="Normal"/>
    <w:link w:val="Heading3Char"/>
    <w:autoRedefine/>
    <w:qFormat/>
    <w:rsid w:val="00B56268"/>
    <w:pPr>
      <w:keepNext/>
      <w:spacing w:before="240" w:after="240"/>
      <w:outlineLvl w:val="2"/>
    </w:pPr>
    <w:rPr>
      <w:rFonts w:ascii="Arial" w:hAnsi="Arial"/>
      <w:b/>
      <w:sz w:val="30"/>
      <w:szCs w:val="30"/>
    </w:rPr>
  </w:style>
  <w:style w:type="paragraph" w:styleId="Heading4">
    <w:name w:val="heading 4"/>
    <w:basedOn w:val="Normal"/>
    <w:next w:val="Normal"/>
    <w:link w:val="Heading4Char"/>
    <w:autoRedefine/>
    <w:qFormat/>
    <w:rsid w:val="003347A1"/>
    <w:pPr>
      <w:keepNext/>
      <w:spacing w:before="240" w:after="240"/>
      <w:outlineLvl w:val="3"/>
    </w:pPr>
    <w:rPr>
      <w:rFonts w:ascii="Arial" w:hAnsi="Arial"/>
      <w:sz w:val="26"/>
      <w:szCs w:val="26"/>
    </w:rPr>
  </w:style>
  <w:style w:type="paragraph" w:styleId="Heading5">
    <w:name w:val="heading 5"/>
    <w:basedOn w:val="Normal"/>
    <w:next w:val="Normal"/>
    <w:qFormat/>
    <w:rsid w:val="003347A1"/>
    <w:pPr>
      <w:keepNext/>
      <w:spacing w:before="240" w:after="240"/>
      <w:outlineLvl w:val="4"/>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060B"/>
    <w:pPr>
      <w:tabs>
        <w:tab w:val="center" w:pos="4153"/>
        <w:tab w:val="right" w:pos="8306"/>
      </w:tabs>
    </w:pPr>
  </w:style>
  <w:style w:type="paragraph" w:styleId="Caption">
    <w:name w:val="caption"/>
    <w:basedOn w:val="Normal"/>
    <w:next w:val="Normal"/>
    <w:qFormat/>
    <w:rsid w:val="0033060B"/>
    <w:pPr>
      <w:spacing w:before="120" w:after="120"/>
    </w:pPr>
    <w:rPr>
      <w:b/>
    </w:rPr>
  </w:style>
  <w:style w:type="paragraph" w:customStyle="1" w:styleId="paragraphtext">
    <w:name w:val="paragraph text"/>
    <w:basedOn w:val="Normal"/>
    <w:rsid w:val="0033060B"/>
    <w:pPr>
      <w:spacing w:before="120" w:after="120"/>
    </w:pPr>
    <w:rPr>
      <w:szCs w:val="20"/>
    </w:rPr>
  </w:style>
  <w:style w:type="character" w:styleId="CommentReference">
    <w:name w:val="annotation reference"/>
    <w:semiHidden/>
    <w:rsid w:val="0033060B"/>
    <w:rPr>
      <w:sz w:val="16"/>
      <w:szCs w:val="16"/>
    </w:rPr>
  </w:style>
  <w:style w:type="paragraph" w:customStyle="1" w:styleId="Quotes">
    <w:name w:val="Quotes"/>
    <w:basedOn w:val="Normal"/>
    <w:rsid w:val="0033060B"/>
    <w:pPr>
      <w:ind w:left="397" w:right="397"/>
    </w:pPr>
    <w:rPr>
      <w:sz w:val="20"/>
    </w:rPr>
  </w:style>
  <w:style w:type="paragraph" w:styleId="TOC1">
    <w:name w:val="toc 1"/>
    <w:basedOn w:val="Normal"/>
    <w:next w:val="Normal"/>
    <w:semiHidden/>
    <w:rsid w:val="0033060B"/>
    <w:pPr>
      <w:tabs>
        <w:tab w:val="left" w:pos="360"/>
        <w:tab w:val="right" w:leader="dot" w:pos="8453"/>
      </w:tabs>
      <w:spacing w:before="240" w:after="120"/>
      <w:ind w:left="360" w:hanging="360"/>
    </w:pPr>
    <w:rPr>
      <w:b/>
    </w:rPr>
  </w:style>
  <w:style w:type="paragraph" w:styleId="TOC2">
    <w:name w:val="toc 2"/>
    <w:basedOn w:val="Normal"/>
    <w:next w:val="Normal"/>
    <w:semiHidden/>
    <w:rsid w:val="0033060B"/>
    <w:pPr>
      <w:tabs>
        <w:tab w:val="right" w:leader="dot" w:pos="8453"/>
      </w:tabs>
    </w:pPr>
  </w:style>
  <w:style w:type="paragraph" w:styleId="TOC3">
    <w:name w:val="toc 3"/>
    <w:basedOn w:val="Normal"/>
    <w:next w:val="Normal"/>
    <w:semiHidden/>
    <w:rsid w:val="0033060B"/>
    <w:pPr>
      <w:tabs>
        <w:tab w:val="right" w:leader="dot" w:pos="8453"/>
      </w:tabs>
      <w:ind w:left="360"/>
    </w:pPr>
  </w:style>
  <w:style w:type="paragraph" w:styleId="TOC4">
    <w:name w:val="toc 4"/>
    <w:basedOn w:val="Normal"/>
    <w:next w:val="Normal"/>
    <w:semiHidden/>
    <w:rsid w:val="0033060B"/>
    <w:pPr>
      <w:tabs>
        <w:tab w:val="right" w:leader="dot" w:pos="8453"/>
      </w:tabs>
      <w:ind w:left="720"/>
    </w:pPr>
  </w:style>
  <w:style w:type="character" w:styleId="PageNumber">
    <w:name w:val="page number"/>
    <w:basedOn w:val="DefaultParagraphFont"/>
    <w:rsid w:val="0033060B"/>
  </w:style>
  <w:style w:type="paragraph" w:styleId="Header">
    <w:name w:val="header"/>
    <w:basedOn w:val="Normal"/>
    <w:link w:val="HeaderChar"/>
    <w:rsid w:val="0033060B"/>
    <w:pPr>
      <w:tabs>
        <w:tab w:val="center" w:pos="4153"/>
        <w:tab w:val="right" w:pos="8306"/>
      </w:tabs>
    </w:pPr>
  </w:style>
  <w:style w:type="paragraph" w:styleId="ListBullet">
    <w:name w:val="List Bullet"/>
    <w:basedOn w:val="Normal"/>
    <w:rsid w:val="0033060B"/>
    <w:pPr>
      <w:numPr>
        <w:numId w:val="3"/>
      </w:numPr>
    </w:pPr>
  </w:style>
  <w:style w:type="character" w:styleId="FootnoteReference">
    <w:name w:val="footnote reference"/>
    <w:uiPriority w:val="99"/>
    <w:rsid w:val="0033060B"/>
    <w:rPr>
      <w:rFonts w:ascii="Times New Roman" w:hAnsi="Times New Roman"/>
      <w:sz w:val="18"/>
      <w:vertAlign w:val="superscript"/>
    </w:rPr>
  </w:style>
  <w:style w:type="paragraph" w:styleId="FootnoteText">
    <w:name w:val="footnote text"/>
    <w:basedOn w:val="Normal"/>
    <w:link w:val="FootnoteTextChar"/>
    <w:uiPriority w:val="99"/>
    <w:rsid w:val="0033060B"/>
    <w:pPr>
      <w:ind w:left="360" w:hanging="360"/>
    </w:pPr>
    <w:rPr>
      <w:sz w:val="20"/>
    </w:rPr>
  </w:style>
  <w:style w:type="paragraph" w:styleId="ListBullet2">
    <w:name w:val="List Bullet 2"/>
    <w:basedOn w:val="Normal"/>
    <w:rsid w:val="0033060B"/>
    <w:pPr>
      <w:numPr>
        <w:numId w:val="2"/>
      </w:numPr>
      <w:tabs>
        <w:tab w:val="clear" w:pos="360"/>
      </w:tabs>
      <w:ind w:left="714" w:hanging="357"/>
    </w:pPr>
  </w:style>
  <w:style w:type="paragraph" w:styleId="ListBullet3">
    <w:name w:val="List Bullet 3"/>
    <w:basedOn w:val="Normal"/>
    <w:rsid w:val="0033060B"/>
    <w:pPr>
      <w:numPr>
        <w:numId w:val="1"/>
      </w:numPr>
      <w:tabs>
        <w:tab w:val="clear" w:pos="360"/>
      </w:tabs>
      <w:ind w:left="1071" w:hanging="357"/>
    </w:pPr>
  </w:style>
  <w:style w:type="paragraph" w:styleId="CommentText">
    <w:name w:val="annotation text"/>
    <w:basedOn w:val="Normal"/>
    <w:link w:val="CommentTextChar"/>
    <w:semiHidden/>
    <w:rsid w:val="0033060B"/>
    <w:rPr>
      <w:sz w:val="20"/>
      <w:szCs w:val="20"/>
    </w:rPr>
  </w:style>
  <w:style w:type="paragraph" w:styleId="CommentSubject">
    <w:name w:val="annotation subject"/>
    <w:basedOn w:val="CommentText"/>
    <w:next w:val="CommentText"/>
    <w:semiHidden/>
    <w:rsid w:val="0033060B"/>
    <w:rPr>
      <w:b/>
      <w:bCs/>
    </w:rPr>
  </w:style>
  <w:style w:type="paragraph" w:styleId="BalloonText">
    <w:name w:val="Balloon Text"/>
    <w:basedOn w:val="Normal"/>
    <w:semiHidden/>
    <w:rsid w:val="0033060B"/>
    <w:rPr>
      <w:rFonts w:ascii="Tahoma" w:hAnsi="Tahoma" w:cs="Tahoma"/>
      <w:sz w:val="16"/>
      <w:szCs w:val="16"/>
    </w:rPr>
  </w:style>
  <w:style w:type="paragraph" w:customStyle="1" w:styleId="paragraph">
    <w:name w:val="paragraph"/>
    <w:basedOn w:val="Normal"/>
    <w:rsid w:val="0033060B"/>
    <w:pPr>
      <w:spacing w:after="240"/>
    </w:pPr>
    <w:rPr>
      <w:szCs w:val="20"/>
    </w:rPr>
  </w:style>
  <w:style w:type="table" w:styleId="TableGrid">
    <w:name w:val="Table Grid"/>
    <w:basedOn w:val="TableNormal"/>
    <w:uiPriority w:val="59"/>
    <w:rsid w:val="0033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Heading2"/>
    <w:qFormat/>
    <w:rsid w:val="00A53505"/>
    <w:pPr>
      <w:pBdr>
        <w:bottom w:val="none" w:sz="0" w:space="0" w:color="auto"/>
      </w:pBdr>
    </w:pPr>
    <w:rPr>
      <w:sz w:val="28"/>
    </w:rPr>
  </w:style>
  <w:style w:type="paragraph" w:customStyle="1" w:styleId="NormalParagraph">
    <w:name w:val="Normal Paragraph"/>
    <w:basedOn w:val="paragraph"/>
    <w:link w:val="NormalParagraphChar"/>
    <w:qFormat/>
    <w:rsid w:val="00A4598A"/>
    <w:pPr>
      <w:numPr>
        <w:numId w:val="9"/>
      </w:numPr>
      <w:spacing w:before="120" w:after="120"/>
    </w:pPr>
    <w:rPr>
      <w:rFonts w:ascii="Arial" w:hAnsi="Arial"/>
      <w:sz w:val="22"/>
      <w:szCs w:val="22"/>
    </w:rPr>
  </w:style>
  <w:style w:type="paragraph" w:styleId="ListParagraph">
    <w:name w:val="List Paragraph"/>
    <w:basedOn w:val="ListBullet"/>
    <w:autoRedefine/>
    <w:uiPriority w:val="34"/>
    <w:qFormat/>
    <w:rsid w:val="00A815A3"/>
    <w:pPr>
      <w:numPr>
        <w:numId w:val="10"/>
      </w:numPr>
      <w:tabs>
        <w:tab w:val="clear" w:pos="1080"/>
      </w:tabs>
      <w:spacing w:before="120" w:after="120"/>
      <w:ind w:left="1276"/>
    </w:pPr>
    <w:rPr>
      <w:rFonts w:ascii="Arial" w:hAnsi="Arial" w:cs="Arial"/>
      <w:sz w:val="22"/>
      <w:szCs w:val="22"/>
    </w:rPr>
  </w:style>
  <w:style w:type="character" w:customStyle="1" w:styleId="FooterChar">
    <w:name w:val="Footer Char"/>
    <w:link w:val="Footer"/>
    <w:uiPriority w:val="99"/>
    <w:rsid w:val="000D14A1"/>
    <w:rPr>
      <w:sz w:val="24"/>
      <w:szCs w:val="24"/>
    </w:rPr>
  </w:style>
  <w:style w:type="paragraph" w:customStyle="1" w:styleId="commentbox">
    <w:name w:val="comment box"/>
    <w:basedOn w:val="NormalParagraph"/>
    <w:qFormat/>
    <w:rsid w:val="00504E50"/>
    <w:pPr>
      <w:numPr>
        <w:numId w:val="0"/>
      </w:numPr>
      <w:shd w:val="clear" w:color="auto" w:fill="D9D9D9"/>
    </w:pPr>
  </w:style>
  <w:style w:type="paragraph" w:customStyle="1" w:styleId="ABCList">
    <w:name w:val="ABC List"/>
    <w:qFormat/>
    <w:rsid w:val="00504E50"/>
    <w:pPr>
      <w:numPr>
        <w:numId w:val="4"/>
      </w:numPr>
      <w:spacing w:after="120"/>
      <w:ind w:left="992" w:hanging="425"/>
    </w:pPr>
    <w:rPr>
      <w:rFonts w:ascii="Arial" w:hAnsi="Arial" w:cs="Arial"/>
      <w:sz w:val="22"/>
      <w:szCs w:val="22"/>
    </w:rPr>
  </w:style>
  <w:style w:type="character" w:customStyle="1" w:styleId="HeaderChar">
    <w:name w:val="Header Char"/>
    <w:link w:val="Header"/>
    <w:rsid w:val="00F457F6"/>
    <w:rPr>
      <w:sz w:val="24"/>
      <w:szCs w:val="24"/>
    </w:rPr>
  </w:style>
  <w:style w:type="paragraph" w:customStyle="1" w:styleId="Bullet1">
    <w:name w:val="Bullet1"/>
    <w:basedOn w:val="Normal"/>
    <w:rsid w:val="00F457F6"/>
    <w:pPr>
      <w:numPr>
        <w:numId w:val="5"/>
      </w:numPr>
      <w:spacing w:after="240"/>
    </w:pPr>
    <w:rPr>
      <w:szCs w:val="20"/>
    </w:rPr>
  </w:style>
  <w:style w:type="character" w:customStyle="1" w:styleId="FootnoteTextChar">
    <w:name w:val="Footnote Text Char"/>
    <w:link w:val="FootnoteText"/>
    <w:uiPriority w:val="99"/>
    <w:rsid w:val="00802953"/>
    <w:rPr>
      <w:szCs w:val="24"/>
    </w:rPr>
  </w:style>
  <w:style w:type="paragraph" w:customStyle="1" w:styleId="Numbered">
    <w:name w:val="Numbered"/>
    <w:basedOn w:val="Normal"/>
    <w:link w:val="NumberedChar"/>
    <w:autoRedefine/>
    <w:rsid w:val="004E3C13"/>
    <w:pPr>
      <w:numPr>
        <w:numId w:val="6"/>
      </w:numPr>
      <w:spacing w:before="120" w:after="120"/>
    </w:pPr>
    <w:rPr>
      <w:rFonts w:ascii="Arial" w:hAnsi="Arial" w:cs="Arial"/>
      <w:sz w:val="22"/>
      <w:szCs w:val="22"/>
      <w:lang w:eastAsia="en-US"/>
    </w:rPr>
  </w:style>
  <w:style w:type="paragraph" w:customStyle="1" w:styleId="ABClist0">
    <w:name w:val="ABC list"/>
    <w:qFormat/>
    <w:rsid w:val="00584EBD"/>
    <w:pPr>
      <w:numPr>
        <w:numId w:val="7"/>
      </w:numPr>
      <w:spacing w:after="120"/>
    </w:pPr>
    <w:rPr>
      <w:rFonts w:ascii="Arial" w:hAnsi="Arial" w:cs="Arial"/>
      <w:sz w:val="22"/>
      <w:szCs w:val="22"/>
      <w:lang w:eastAsia="en-US"/>
    </w:rPr>
  </w:style>
  <w:style w:type="paragraph" w:customStyle="1" w:styleId="HeadNumb">
    <w:name w:val="Head Numb"/>
    <w:basedOn w:val="Normal"/>
    <w:rsid w:val="008525B4"/>
    <w:pPr>
      <w:numPr>
        <w:numId w:val="8"/>
      </w:numPr>
      <w:shd w:val="clear" w:color="auto" w:fill="D9D9D9"/>
    </w:pPr>
    <w:rPr>
      <w:rFonts w:ascii="Arial" w:hAnsi="Arial"/>
      <w:b/>
      <w:sz w:val="18"/>
      <w:szCs w:val="18"/>
    </w:rPr>
  </w:style>
  <w:style w:type="paragraph" w:customStyle="1" w:styleId="SecondlevelNumb">
    <w:name w:val="Second level Numb"/>
    <w:basedOn w:val="Normal"/>
    <w:rsid w:val="008525B4"/>
    <w:pPr>
      <w:numPr>
        <w:ilvl w:val="1"/>
        <w:numId w:val="8"/>
      </w:numPr>
      <w:spacing w:line="360" w:lineRule="auto"/>
    </w:pPr>
  </w:style>
  <w:style w:type="paragraph" w:customStyle="1" w:styleId="Default">
    <w:name w:val="Default"/>
    <w:rsid w:val="008C505C"/>
    <w:pPr>
      <w:autoSpaceDE w:val="0"/>
      <w:autoSpaceDN w:val="0"/>
      <w:adjustRightInd w:val="0"/>
    </w:pPr>
    <w:rPr>
      <w:color w:val="000000"/>
      <w:sz w:val="24"/>
      <w:szCs w:val="24"/>
    </w:rPr>
  </w:style>
  <w:style w:type="paragraph" w:styleId="Revision">
    <w:name w:val="Revision"/>
    <w:hidden/>
    <w:uiPriority w:val="99"/>
    <w:semiHidden/>
    <w:rsid w:val="00CD0186"/>
    <w:rPr>
      <w:sz w:val="24"/>
      <w:szCs w:val="24"/>
    </w:rPr>
  </w:style>
  <w:style w:type="character" w:customStyle="1" w:styleId="NormalParagraphChar">
    <w:name w:val="Normal Paragraph Char"/>
    <w:link w:val="NormalParagraph"/>
    <w:rsid w:val="003A7DA8"/>
    <w:rPr>
      <w:rFonts w:ascii="Arial" w:hAnsi="Arial"/>
      <w:sz w:val="22"/>
      <w:szCs w:val="22"/>
    </w:rPr>
  </w:style>
  <w:style w:type="character" w:customStyle="1" w:styleId="Heading1Char">
    <w:name w:val="Heading 1 Char"/>
    <w:link w:val="Heading1"/>
    <w:rsid w:val="00415883"/>
    <w:rPr>
      <w:rFonts w:ascii="Arial" w:hAnsi="Arial"/>
      <w:b/>
      <w:sz w:val="36"/>
      <w:szCs w:val="24"/>
    </w:rPr>
  </w:style>
  <w:style w:type="character" w:customStyle="1" w:styleId="Heading2Char">
    <w:name w:val="Heading 2 Char"/>
    <w:link w:val="Heading2"/>
    <w:rsid w:val="00415883"/>
    <w:rPr>
      <w:rFonts w:ascii="Arial" w:hAnsi="Arial"/>
      <w:b/>
      <w:sz w:val="30"/>
      <w:szCs w:val="24"/>
    </w:rPr>
  </w:style>
  <w:style w:type="character" w:customStyle="1" w:styleId="Heading3Char">
    <w:name w:val="Heading 3 Char"/>
    <w:link w:val="Heading3"/>
    <w:rsid w:val="00B56268"/>
    <w:rPr>
      <w:rFonts w:ascii="Arial" w:hAnsi="Arial"/>
      <w:b/>
      <w:sz w:val="30"/>
      <w:szCs w:val="30"/>
    </w:rPr>
  </w:style>
  <w:style w:type="character" w:customStyle="1" w:styleId="Heading4Char">
    <w:name w:val="Heading 4 Char"/>
    <w:link w:val="Heading4"/>
    <w:rsid w:val="003347A1"/>
    <w:rPr>
      <w:rFonts w:ascii="Arial" w:hAnsi="Arial"/>
      <w:sz w:val="26"/>
      <w:szCs w:val="26"/>
    </w:rPr>
  </w:style>
  <w:style w:type="character" w:customStyle="1" w:styleId="CommentTextChar">
    <w:name w:val="Comment Text Char"/>
    <w:link w:val="CommentText"/>
    <w:semiHidden/>
    <w:rsid w:val="00415883"/>
  </w:style>
  <w:style w:type="paragraph" w:customStyle="1" w:styleId="Heading6">
    <w:name w:val="Heading6"/>
    <w:basedOn w:val="NormalParagraph"/>
    <w:link w:val="Heading6Char"/>
    <w:autoRedefine/>
    <w:qFormat/>
    <w:rsid w:val="00FF2330"/>
    <w:pPr>
      <w:keepNext/>
      <w:numPr>
        <w:numId w:val="0"/>
      </w:numPr>
      <w:spacing w:before="240" w:after="240"/>
      <w:ind w:left="567" w:hanging="283"/>
    </w:pPr>
    <w:rPr>
      <w:rFonts w:cs="Arial"/>
      <w:u w:val="single"/>
      <w:lang w:eastAsia="en-US"/>
    </w:rPr>
  </w:style>
  <w:style w:type="character" w:customStyle="1" w:styleId="Heading6Char">
    <w:name w:val="Heading6 Char"/>
    <w:link w:val="Heading6"/>
    <w:rsid w:val="00FF2330"/>
    <w:rPr>
      <w:rFonts w:ascii="Arial" w:hAnsi="Arial" w:cs="Arial"/>
      <w:sz w:val="22"/>
      <w:szCs w:val="22"/>
      <w:u w:val="single"/>
      <w:lang w:eastAsia="en-US"/>
    </w:rPr>
  </w:style>
  <w:style w:type="character" w:customStyle="1" w:styleId="NumberedChar">
    <w:name w:val="Numbered Char"/>
    <w:link w:val="Numbered"/>
    <w:rsid w:val="00D43E92"/>
    <w:rPr>
      <w:rFonts w:ascii="Arial" w:hAnsi="Arial" w:cs="Arial"/>
      <w:sz w:val="22"/>
      <w:szCs w:val="22"/>
      <w:lang w:eastAsia="en-US"/>
    </w:rPr>
  </w:style>
  <w:style w:type="character" w:styleId="Hyperlink">
    <w:name w:val="Hyperlink"/>
    <w:basedOn w:val="DefaultParagraphFont"/>
    <w:rsid w:val="00260264"/>
    <w:rPr>
      <w:color w:val="0000FF" w:themeColor="hyperlink"/>
      <w:u w:val="single"/>
    </w:rPr>
  </w:style>
  <w:style w:type="character" w:styleId="FollowedHyperlink">
    <w:name w:val="FollowedHyperlink"/>
    <w:basedOn w:val="DefaultParagraphFont"/>
    <w:rsid w:val="00437A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075">
      <w:bodyDiv w:val="1"/>
      <w:marLeft w:val="0"/>
      <w:marRight w:val="0"/>
      <w:marTop w:val="0"/>
      <w:marBottom w:val="0"/>
      <w:divBdr>
        <w:top w:val="none" w:sz="0" w:space="0" w:color="auto"/>
        <w:left w:val="none" w:sz="0" w:space="0" w:color="auto"/>
        <w:bottom w:val="none" w:sz="0" w:space="0" w:color="auto"/>
        <w:right w:val="none" w:sz="0" w:space="0" w:color="auto"/>
      </w:divBdr>
    </w:div>
    <w:div w:id="702751061">
      <w:bodyDiv w:val="1"/>
      <w:marLeft w:val="0"/>
      <w:marRight w:val="0"/>
      <w:marTop w:val="0"/>
      <w:marBottom w:val="0"/>
      <w:divBdr>
        <w:top w:val="none" w:sz="0" w:space="0" w:color="auto"/>
        <w:left w:val="none" w:sz="0" w:space="0" w:color="auto"/>
        <w:bottom w:val="none" w:sz="0" w:space="0" w:color="auto"/>
        <w:right w:val="none" w:sz="0" w:space="0" w:color="auto"/>
      </w:divBdr>
    </w:div>
    <w:div w:id="837772239">
      <w:bodyDiv w:val="1"/>
      <w:marLeft w:val="0"/>
      <w:marRight w:val="0"/>
      <w:marTop w:val="0"/>
      <w:marBottom w:val="0"/>
      <w:divBdr>
        <w:top w:val="none" w:sz="0" w:space="0" w:color="auto"/>
        <w:left w:val="none" w:sz="0" w:space="0" w:color="auto"/>
        <w:bottom w:val="none" w:sz="0" w:space="0" w:color="auto"/>
        <w:right w:val="none" w:sz="0" w:space="0" w:color="auto"/>
      </w:divBdr>
    </w:div>
    <w:div w:id="927735550">
      <w:bodyDiv w:val="1"/>
      <w:marLeft w:val="0"/>
      <w:marRight w:val="0"/>
      <w:marTop w:val="0"/>
      <w:marBottom w:val="0"/>
      <w:divBdr>
        <w:top w:val="none" w:sz="0" w:space="0" w:color="auto"/>
        <w:left w:val="none" w:sz="0" w:space="0" w:color="auto"/>
        <w:bottom w:val="none" w:sz="0" w:space="0" w:color="auto"/>
        <w:right w:val="none" w:sz="0" w:space="0" w:color="auto"/>
      </w:divBdr>
    </w:div>
    <w:div w:id="1121148655">
      <w:bodyDiv w:val="1"/>
      <w:marLeft w:val="0"/>
      <w:marRight w:val="0"/>
      <w:marTop w:val="0"/>
      <w:marBottom w:val="0"/>
      <w:divBdr>
        <w:top w:val="none" w:sz="0" w:space="0" w:color="auto"/>
        <w:left w:val="none" w:sz="0" w:space="0" w:color="auto"/>
        <w:bottom w:val="none" w:sz="0" w:space="0" w:color="auto"/>
        <w:right w:val="none" w:sz="0" w:space="0" w:color="auto"/>
      </w:divBdr>
    </w:div>
    <w:div w:id="1162620289">
      <w:bodyDiv w:val="1"/>
      <w:marLeft w:val="0"/>
      <w:marRight w:val="0"/>
      <w:marTop w:val="0"/>
      <w:marBottom w:val="0"/>
      <w:divBdr>
        <w:top w:val="none" w:sz="0" w:space="0" w:color="auto"/>
        <w:left w:val="none" w:sz="0" w:space="0" w:color="auto"/>
        <w:bottom w:val="none" w:sz="0" w:space="0" w:color="auto"/>
        <w:right w:val="none" w:sz="0" w:space="0" w:color="auto"/>
      </w:divBdr>
    </w:div>
    <w:div w:id="1418558862">
      <w:bodyDiv w:val="1"/>
      <w:marLeft w:val="0"/>
      <w:marRight w:val="0"/>
      <w:marTop w:val="0"/>
      <w:marBottom w:val="0"/>
      <w:divBdr>
        <w:top w:val="none" w:sz="0" w:space="0" w:color="auto"/>
        <w:left w:val="none" w:sz="0" w:space="0" w:color="auto"/>
        <w:bottom w:val="none" w:sz="0" w:space="0" w:color="auto"/>
        <w:right w:val="none" w:sz="0" w:space="0" w:color="auto"/>
      </w:divBdr>
    </w:div>
    <w:div w:id="20028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economist.com/blogs/gulliver/2014/11/online-travel-firms?fsrc=scn/tw/te/bl/enteramazon" TargetMode="External"/><Relationship Id="rId1" Type="http://schemas.openxmlformats.org/officeDocument/2006/relationships/hyperlink" Target="http://www.traveltrends.biz/ttn555-global-sites-grow-fastest-as-locals-struggle-to-stay-with-the-pace-2014-hitwise-hottest-100-rev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044EA-27F5-4100-879E-7FCCFBFA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C1772B0</Template>
  <TotalTime>494</TotalTime>
  <Pages>16</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Samuel</dc:creator>
  <cp:lastModifiedBy>Campbell, Samuel</cp:lastModifiedBy>
  <cp:revision>18</cp:revision>
  <cp:lastPrinted>2015-01-12T05:28:00Z</cp:lastPrinted>
  <dcterms:created xsi:type="dcterms:W3CDTF">2014-11-18T01:34:00Z</dcterms:created>
  <dcterms:modified xsi:type="dcterms:W3CDTF">2015-01-12T06:22:00Z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\\cdchnas-evs02\home$\scamp\expedia wotif - public competition assessment - 12 january 2015 (MER2015-00083).docx</vt:lpwstr>
  </property>
  <property fmtid="{D5CDD505-2E9C-101B-9397-08002B2CF9AE}" pid="3" name="URI">
    <vt:lpwstr>8354976</vt:lpwstr>
  </property>
</Properties>
</file>