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87" w:rsidRPr="001D52AC" w:rsidRDefault="004A01FB" w:rsidP="00A10BE5">
      <w:pPr>
        <w:pStyle w:val="Heading1"/>
      </w:pPr>
      <w:r>
        <w:pict w14:anchorId="18B1F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n Competition &amp; Consumer Commission" style="width:190.5pt;height:45.75pt;mso-left-percent:-10001;mso-top-percent:-10001;mso-position-horizontal:absolute;mso-position-horizontal-relative:char;mso-position-vertical:absolute;mso-position-vertical-relative:line;mso-left-percent:-10001;mso-top-percent:-10001">
            <v:imagedata r:id="rId9" o:title=""/>
          </v:shape>
        </w:pict>
      </w:r>
    </w:p>
    <w:p w:rsidR="00AF1C87" w:rsidRPr="00EF2E41" w:rsidRDefault="00AF1C87" w:rsidP="00A53505">
      <w:pPr>
        <w:pStyle w:val="Heading1"/>
        <w:rPr>
          <w:sz w:val="32"/>
          <w:szCs w:val="32"/>
        </w:rPr>
      </w:pPr>
      <w:r w:rsidRPr="00EF2E41">
        <w:rPr>
          <w:sz w:val="32"/>
          <w:szCs w:val="32"/>
        </w:rPr>
        <w:t>Public Competition Assessment</w:t>
      </w:r>
    </w:p>
    <w:p w:rsidR="00AF1C87" w:rsidRDefault="008B172C" w:rsidP="00A53505">
      <w:pPr>
        <w:pStyle w:val="Date1"/>
      </w:pPr>
      <w:r>
        <w:t xml:space="preserve">22 </w:t>
      </w:r>
      <w:r w:rsidR="000E509E">
        <w:t>December</w:t>
      </w:r>
      <w:r w:rsidR="00264EDD">
        <w:t xml:space="preserve"> </w:t>
      </w:r>
      <w:r w:rsidR="006A4A02">
        <w:t>2015</w:t>
      </w:r>
    </w:p>
    <w:p w:rsidR="00AF1C87" w:rsidRDefault="006A652B" w:rsidP="006A652B">
      <w:pPr>
        <w:pStyle w:val="Heading2"/>
        <w:jc w:val="left"/>
      </w:pPr>
      <w:bookmarkStart w:id="0" w:name="Title"/>
      <w:bookmarkEnd w:id="0"/>
      <w:r>
        <w:t xml:space="preserve">Elgas Limited – </w:t>
      </w:r>
      <w:r w:rsidR="00821C2D">
        <w:t>proposed acquisition of Wesfarmers Kleenheat Gas Pty Ltd's east coast LPG assets</w:t>
      </w:r>
    </w:p>
    <w:p w:rsidR="00AF1C87" w:rsidRPr="00977B66" w:rsidRDefault="00F335D8" w:rsidP="006A7FE8">
      <w:pPr>
        <w:pStyle w:val="Heading3"/>
      </w:pPr>
      <w:r>
        <w:t>Purpose</w:t>
      </w:r>
    </w:p>
    <w:p w:rsidR="00F335D8" w:rsidRDefault="00F335D8" w:rsidP="00AF46D2">
      <w:pPr>
        <w:pStyle w:val="NormalParagraph"/>
        <w:tabs>
          <w:tab w:val="clear" w:pos="360"/>
          <w:tab w:val="num" w:pos="567"/>
        </w:tabs>
        <w:ind w:left="567" w:hanging="567"/>
      </w:pPr>
      <w:r w:rsidRPr="0071499C">
        <w:t>This public competition ass</w:t>
      </w:r>
      <w:r>
        <w:t>essment outlines reasons</w:t>
      </w:r>
      <w:r w:rsidRPr="0071499C">
        <w:t xml:space="preserve"> </w:t>
      </w:r>
      <w:r>
        <w:t xml:space="preserve">for </w:t>
      </w:r>
      <w:r w:rsidRPr="0071499C">
        <w:t xml:space="preserve">the </w:t>
      </w:r>
      <w:r>
        <w:t>Australian Competition and Consumer Commission (</w:t>
      </w:r>
      <w:r w:rsidRPr="00A56771">
        <w:rPr>
          <w:b/>
        </w:rPr>
        <w:t>ACCC</w:t>
      </w:r>
      <w:r>
        <w:t>)</w:t>
      </w:r>
      <w:r w:rsidRPr="0071499C">
        <w:t xml:space="preserve"> </w:t>
      </w:r>
      <w:r w:rsidRPr="00E55A80">
        <w:t xml:space="preserve">decision </w:t>
      </w:r>
      <w:r w:rsidR="00AF1C87" w:rsidRPr="00E55A80">
        <w:t>to</w:t>
      </w:r>
      <w:r w:rsidR="00AF1C87" w:rsidRPr="00A53505">
        <w:t xml:space="preserve"> </w:t>
      </w:r>
      <w:r w:rsidR="00411E32">
        <w:t xml:space="preserve">not </w:t>
      </w:r>
      <w:r w:rsidR="00AF1C87" w:rsidRPr="00A53505">
        <w:t>oppose</w:t>
      </w:r>
      <w:r>
        <w:t xml:space="preserve"> </w:t>
      </w:r>
      <w:r w:rsidR="00AF1C87" w:rsidRPr="00A53505">
        <w:t>th</w:t>
      </w:r>
      <w:r w:rsidR="00EF2E41">
        <w:t xml:space="preserve">e </w:t>
      </w:r>
      <w:bookmarkStart w:id="1" w:name="Type"/>
      <w:bookmarkEnd w:id="1"/>
      <w:r w:rsidR="00821C2D">
        <w:t>proposed</w:t>
      </w:r>
      <w:r w:rsidR="003A7E7A">
        <w:t xml:space="preserve"> </w:t>
      </w:r>
      <w:r w:rsidR="00AF1C87" w:rsidRPr="00A53505">
        <w:t xml:space="preserve">acquisition of </w:t>
      </w:r>
      <w:bookmarkStart w:id="2" w:name="Target"/>
      <w:bookmarkEnd w:id="2"/>
      <w:r w:rsidR="00821C2D">
        <w:t xml:space="preserve">Wesfarmers Kleenheat Gas Pty Ltd's east coast </w:t>
      </w:r>
      <w:r w:rsidR="00524D3B">
        <w:t xml:space="preserve">liquefied petroleum gas </w:t>
      </w:r>
      <w:r w:rsidR="00821C2D">
        <w:t>assets</w:t>
      </w:r>
      <w:r w:rsidR="00AF1C87" w:rsidRPr="00A53505">
        <w:t xml:space="preserve"> </w:t>
      </w:r>
      <w:r w:rsidR="00FD74FF">
        <w:t>(</w:t>
      </w:r>
      <w:r w:rsidR="00FD74FF" w:rsidRPr="00E55A80">
        <w:rPr>
          <w:b/>
        </w:rPr>
        <w:t>Kleenheat</w:t>
      </w:r>
      <w:r w:rsidR="00FD74FF">
        <w:t xml:space="preserve">) </w:t>
      </w:r>
      <w:r w:rsidR="00AF1C87" w:rsidRPr="00A53505">
        <w:t xml:space="preserve">by </w:t>
      </w:r>
      <w:bookmarkStart w:id="3" w:name="Acquirer"/>
      <w:bookmarkEnd w:id="3"/>
      <w:r w:rsidR="00821C2D">
        <w:t>Elgas Limited</w:t>
      </w:r>
      <w:r w:rsidR="00AF1C87" w:rsidRPr="00A53505">
        <w:t xml:space="preserve"> </w:t>
      </w:r>
      <w:r w:rsidR="000015EA">
        <w:t>(</w:t>
      </w:r>
      <w:r w:rsidR="000015EA" w:rsidRPr="00A167D1">
        <w:rPr>
          <w:b/>
        </w:rPr>
        <w:t>Elgas</w:t>
      </w:r>
      <w:r w:rsidR="000015EA">
        <w:t xml:space="preserve">) </w:t>
      </w:r>
      <w:r w:rsidR="00AF1C87" w:rsidRPr="00A53505">
        <w:t>(</w:t>
      </w:r>
      <w:r w:rsidR="00B073D7">
        <w:t xml:space="preserve">the </w:t>
      </w:r>
      <w:r w:rsidR="00AF1C87" w:rsidRPr="00977B66">
        <w:rPr>
          <w:b/>
        </w:rPr>
        <w:t>proposed acquisition</w:t>
      </w:r>
      <w:r w:rsidR="00AF1C87" w:rsidRPr="003E2A3E">
        <w:t>)</w:t>
      </w:r>
      <w:r w:rsidR="00D66DAB">
        <w:t xml:space="preserve">, subject to </w:t>
      </w:r>
      <w:r w:rsidR="009B7713">
        <w:t xml:space="preserve">enforceable </w:t>
      </w:r>
      <w:r w:rsidR="00D66DAB">
        <w:t>undertakings</w:t>
      </w:r>
      <w:r>
        <w:t>.</w:t>
      </w:r>
    </w:p>
    <w:p w:rsidR="00F335D8" w:rsidRPr="0071499C" w:rsidRDefault="00F335D8" w:rsidP="00F335D8">
      <w:pPr>
        <w:pStyle w:val="NormalParagraph"/>
        <w:tabs>
          <w:tab w:val="clear" w:pos="360"/>
          <w:tab w:val="num" w:pos="567"/>
        </w:tabs>
        <w:ind w:left="567" w:hanging="567"/>
      </w:pPr>
      <w:r w:rsidRPr="0071499C">
        <w:t>ACCC public competition assessment</w:t>
      </w:r>
      <w:r>
        <w:t xml:space="preserve">s aim to improve transparency </w:t>
      </w:r>
      <w:r w:rsidRPr="0071499C">
        <w:t>a</w:t>
      </w:r>
      <w:r>
        <w:t>nd ensure procedural fairness</w:t>
      </w:r>
      <w:r w:rsidRPr="0071499C">
        <w:t xml:space="preserve">. </w:t>
      </w:r>
      <w:r>
        <w:t>W</w:t>
      </w:r>
      <w:r w:rsidRPr="0071499C">
        <w:t xml:space="preserve">e aim to provide the public with a better understanding of our analysis of various markets and competition issues. We </w:t>
      </w:r>
      <w:r w:rsidR="00411E32">
        <w:t xml:space="preserve">generally </w:t>
      </w:r>
      <w:r w:rsidRPr="0071499C">
        <w:t>issue a public competition assessment for transactions when:</w:t>
      </w:r>
    </w:p>
    <w:p w:rsidR="00F335D8" w:rsidRPr="00F80A7E" w:rsidRDefault="00F335D8" w:rsidP="00F335D8">
      <w:pPr>
        <w:pStyle w:val="ListParagraph"/>
        <w:numPr>
          <w:ilvl w:val="0"/>
          <w:numId w:val="6"/>
        </w:numPr>
      </w:pPr>
      <w:r w:rsidRPr="00F80A7E">
        <w:t>a</w:t>
      </w:r>
      <w:r>
        <w:t>n</w:t>
      </w:r>
      <w:r w:rsidRPr="00F80A7E">
        <w:t xml:space="preserve"> </w:t>
      </w:r>
      <w:r>
        <w:t>acquisition</w:t>
      </w:r>
      <w:r w:rsidRPr="00F80A7E">
        <w:t xml:space="preserve"> is opposed</w:t>
      </w:r>
    </w:p>
    <w:p w:rsidR="00F335D8" w:rsidRPr="00F80A7E" w:rsidRDefault="00F335D8" w:rsidP="00F335D8">
      <w:pPr>
        <w:pStyle w:val="ListParagraph"/>
        <w:numPr>
          <w:ilvl w:val="0"/>
          <w:numId w:val="6"/>
        </w:numPr>
      </w:pPr>
      <w:r w:rsidRPr="00F80A7E">
        <w:t>a</w:t>
      </w:r>
      <w:r>
        <w:t>n</w:t>
      </w:r>
      <w:r w:rsidRPr="00F80A7E">
        <w:t xml:space="preserve"> </w:t>
      </w:r>
      <w:r>
        <w:t>acquisition</w:t>
      </w:r>
      <w:r w:rsidRPr="00F80A7E">
        <w:t xml:space="preserve"> is subject to enforceable undertakings</w:t>
      </w:r>
    </w:p>
    <w:p w:rsidR="00F335D8" w:rsidRPr="00F80A7E" w:rsidRDefault="00F335D8" w:rsidP="00F335D8">
      <w:pPr>
        <w:pStyle w:val="ListParagraph"/>
        <w:numPr>
          <w:ilvl w:val="0"/>
          <w:numId w:val="6"/>
        </w:numPr>
      </w:pPr>
      <w:r w:rsidRPr="00F80A7E">
        <w:t xml:space="preserve">the parties </w:t>
      </w:r>
      <w:r>
        <w:t xml:space="preserve">to the acquisition </w:t>
      </w:r>
      <w:r w:rsidRPr="00F80A7E">
        <w:t>seek such disclosure</w:t>
      </w:r>
      <w:r w:rsidR="004F6C62">
        <w:t>,</w:t>
      </w:r>
      <w:r w:rsidRPr="00F80A7E">
        <w:t xml:space="preserve"> or</w:t>
      </w:r>
    </w:p>
    <w:p w:rsidR="00F335D8" w:rsidRPr="00F80A7E" w:rsidRDefault="00F335D8" w:rsidP="00F335D8">
      <w:pPr>
        <w:pStyle w:val="ListParagraph"/>
        <w:numPr>
          <w:ilvl w:val="0"/>
          <w:numId w:val="6"/>
        </w:numPr>
      </w:pPr>
      <w:r w:rsidRPr="00F80A7E">
        <w:t>a</w:t>
      </w:r>
      <w:r>
        <w:t>n</w:t>
      </w:r>
      <w:r w:rsidRPr="00F80A7E">
        <w:t xml:space="preserve"> </w:t>
      </w:r>
      <w:r>
        <w:t>acquisition</w:t>
      </w:r>
      <w:r w:rsidRPr="00F80A7E">
        <w:t xml:space="preserve"> is not opposed but raises important issues that the ACCC considers should be made public.</w:t>
      </w:r>
    </w:p>
    <w:p w:rsidR="00F335D8" w:rsidRPr="0071499C" w:rsidRDefault="00F335D8" w:rsidP="00E55A80">
      <w:pPr>
        <w:pStyle w:val="NormalParagraph"/>
        <w:tabs>
          <w:tab w:val="clear" w:pos="360"/>
          <w:tab w:val="num" w:pos="567"/>
        </w:tabs>
        <w:ind w:left="567" w:hanging="567"/>
      </w:pPr>
      <w:r w:rsidRPr="0071499C">
        <w:t xml:space="preserve">The ACCC considers each </w:t>
      </w:r>
      <w:r w:rsidR="00B073D7">
        <w:t>matter</w:t>
      </w:r>
      <w:r w:rsidRPr="0071499C">
        <w:t xml:space="preserve"> on a case-by-cas</w:t>
      </w:r>
      <w:r>
        <w:t xml:space="preserve">e basis. While some transactions </w:t>
      </w:r>
      <w:r w:rsidRPr="0071499C">
        <w:t xml:space="preserve">may involve the same or related markets, the analysis and decision outlined in one assessment will not necessarily reflect the ACCC’s view about other </w:t>
      </w:r>
      <w:r>
        <w:t>transactions</w:t>
      </w:r>
      <w:r w:rsidRPr="0071499C">
        <w:t>.</w:t>
      </w:r>
    </w:p>
    <w:p w:rsidR="00F335D8" w:rsidRDefault="00F335D8" w:rsidP="00E55A80">
      <w:pPr>
        <w:pStyle w:val="NormalParagraph"/>
        <w:tabs>
          <w:tab w:val="clear" w:pos="360"/>
          <w:tab w:val="num" w:pos="567"/>
        </w:tabs>
        <w:ind w:left="567" w:hanging="567"/>
      </w:pPr>
      <w:r w:rsidRPr="0071499C">
        <w:t xml:space="preserve">The ACCC considers confidential information from parties and market participants when making a decision. </w:t>
      </w:r>
      <w:r>
        <w:t>Our</w:t>
      </w:r>
      <w:r w:rsidRPr="0071499C">
        <w:t xml:space="preserve"> </w:t>
      </w:r>
      <w:r w:rsidR="00D66DAB">
        <w:t xml:space="preserve">public </w:t>
      </w:r>
      <w:r w:rsidRPr="0071499C">
        <w:t>assessments may not identify and explain all issues that we consider</w:t>
      </w:r>
      <w:r>
        <w:t>ed</w:t>
      </w:r>
      <w:r w:rsidRPr="0071499C">
        <w:t xml:space="preserve"> because we must maintain confidentiality about c</w:t>
      </w:r>
      <w:r w:rsidR="00095D75">
        <w:t>ertain information and sources.</w:t>
      </w:r>
    </w:p>
    <w:p w:rsidR="00AF1C87" w:rsidRDefault="00F335D8" w:rsidP="006A7FE8">
      <w:pPr>
        <w:pStyle w:val="Heading3"/>
      </w:pPr>
      <w:r>
        <w:t>The ACCC’s decision</w:t>
      </w:r>
    </w:p>
    <w:p w:rsidR="00B073D7" w:rsidRDefault="00B073D7" w:rsidP="00B073D7">
      <w:pPr>
        <w:pStyle w:val="NormalParagraph"/>
        <w:tabs>
          <w:tab w:val="clear" w:pos="360"/>
          <w:tab w:val="num" w:pos="567"/>
        </w:tabs>
        <w:ind w:left="567" w:hanging="567"/>
      </w:pPr>
      <w:r>
        <w:t xml:space="preserve">Section 50 of the </w:t>
      </w:r>
      <w:r w:rsidRPr="00262EDA">
        <w:rPr>
          <w:i/>
        </w:rPr>
        <w:t>Competition and Consumer Act 2010</w:t>
      </w:r>
      <w:r>
        <w:t xml:space="preserve"> </w:t>
      </w:r>
      <w:r w:rsidRPr="00262EDA">
        <w:t xml:space="preserve">(the </w:t>
      </w:r>
      <w:r w:rsidRPr="00262EDA">
        <w:rPr>
          <w:b/>
        </w:rPr>
        <w:t>Act</w:t>
      </w:r>
      <w:r>
        <w:t>) is the relevant provis</w:t>
      </w:r>
      <w:r w:rsidR="00095D75">
        <w:t xml:space="preserve">ion for the ACCC’s assessment. </w:t>
      </w:r>
      <w:r>
        <w:t>Section 50 prohibits acquisitions that would have the effect, or be likely to have the effect, of substantially lesse</w:t>
      </w:r>
      <w:r w:rsidR="00095D75">
        <w:t>ning competition in any market.</w:t>
      </w:r>
    </w:p>
    <w:p w:rsidR="00B073D7" w:rsidRDefault="00B073D7" w:rsidP="00B073D7">
      <w:pPr>
        <w:pStyle w:val="NormalParagraph"/>
        <w:tabs>
          <w:tab w:val="clear" w:pos="360"/>
          <w:tab w:val="num" w:pos="567"/>
        </w:tabs>
        <w:ind w:left="567" w:hanging="567"/>
      </w:pPr>
      <w:r w:rsidRPr="00A53505">
        <w:lastRenderedPageBreak/>
        <w:t xml:space="preserve">On </w:t>
      </w:r>
      <w:r>
        <w:t>18 December 2014</w:t>
      </w:r>
      <w:r w:rsidRPr="00A53505">
        <w:t xml:space="preserve">, the </w:t>
      </w:r>
      <w:r>
        <w:t xml:space="preserve">ACCC </w:t>
      </w:r>
      <w:r w:rsidRPr="00A53505">
        <w:t>announced its decision</w:t>
      </w:r>
      <w:r w:rsidDel="00F335D8">
        <w:t xml:space="preserve"> </w:t>
      </w:r>
      <w:r w:rsidRPr="00262EDA">
        <w:t>not</w:t>
      </w:r>
      <w:r w:rsidRPr="00A53505">
        <w:t xml:space="preserve"> to oppose</w:t>
      </w:r>
      <w:r>
        <w:t xml:space="preserve"> the proposed acquisition, </w:t>
      </w:r>
      <w:r w:rsidR="009F3447">
        <w:t>after accepting</w:t>
      </w:r>
      <w:r>
        <w:t xml:space="preserve"> section 87B undertakings from Elgas and Kleenheat (together</w:t>
      </w:r>
      <w:r w:rsidRPr="00262EDA">
        <w:t>, the</w:t>
      </w:r>
      <w:r w:rsidRPr="000F0CFD">
        <w:rPr>
          <w:b/>
        </w:rPr>
        <w:t xml:space="preserve"> undertakings</w:t>
      </w:r>
      <w:r w:rsidR="00095D75">
        <w:t>).</w:t>
      </w:r>
    </w:p>
    <w:p w:rsidR="000015EA" w:rsidRDefault="000015EA" w:rsidP="000015EA">
      <w:pPr>
        <w:pStyle w:val="NormalParagraph"/>
        <w:tabs>
          <w:tab w:val="clear" w:pos="360"/>
          <w:tab w:val="num" w:pos="567"/>
        </w:tabs>
        <w:ind w:left="567" w:hanging="567"/>
      </w:pPr>
      <w:r>
        <w:t>On 29 August 2014, the ACCC suspended the timeline for its review in anticipation of receiving an undertaking from Elgas. Subsequent negotiations resulted i</w:t>
      </w:r>
      <w:r w:rsidR="00180FF7">
        <w:t xml:space="preserve">n Elgas offering an undertaking </w:t>
      </w:r>
      <w:r>
        <w:t>to the ACCC on 5 December 2014.</w:t>
      </w:r>
    </w:p>
    <w:p w:rsidR="00262EDA" w:rsidRPr="001E25B2" w:rsidRDefault="00EC4792" w:rsidP="00B073D7">
      <w:pPr>
        <w:pStyle w:val="NormalParagraph"/>
        <w:tabs>
          <w:tab w:val="clear" w:pos="360"/>
          <w:tab w:val="num" w:pos="567"/>
        </w:tabs>
        <w:ind w:left="567" w:hanging="567"/>
      </w:pPr>
      <w:r w:rsidRPr="001E25B2">
        <w:t xml:space="preserve">On 10 April 2014, Elgas announced </w:t>
      </w:r>
      <w:r w:rsidR="000F0CFD">
        <w:t>its</w:t>
      </w:r>
      <w:r w:rsidRPr="001E25B2">
        <w:t xml:space="preserve"> proposal to acquire the east coast </w:t>
      </w:r>
      <w:r w:rsidR="00524D3B">
        <w:t>liquefied petroleum gas (</w:t>
      </w:r>
      <w:r w:rsidRPr="00524D3B">
        <w:rPr>
          <w:b/>
        </w:rPr>
        <w:t>LPG</w:t>
      </w:r>
      <w:r w:rsidR="00524D3B">
        <w:t>)</w:t>
      </w:r>
      <w:r w:rsidRPr="001E25B2">
        <w:t xml:space="preserve"> assets of Kleenheat. </w:t>
      </w:r>
      <w:r w:rsidR="00524D3B">
        <w:t>The assets</w:t>
      </w:r>
      <w:r w:rsidR="00262EDA">
        <w:t xml:space="preserve"> included Kleenheat’s depots, trucks, storage tanks and cylinders.</w:t>
      </w:r>
      <w:r w:rsidR="00262EDA" w:rsidRPr="00262EDA">
        <w:t xml:space="preserve"> </w:t>
      </w:r>
      <w:r w:rsidR="00262EDA" w:rsidRPr="001E25B2">
        <w:t xml:space="preserve">For the purposes of the </w:t>
      </w:r>
      <w:r w:rsidR="00262EDA">
        <w:t>proposed acquisition and this public competition assessment</w:t>
      </w:r>
      <w:r w:rsidR="00262EDA" w:rsidRPr="001E25B2">
        <w:t>, ‘east coast’ refers to Queensland, New South Wales, the Australian Capital Territory, Victoria, Tasmania and South Australia.</w:t>
      </w:r>
      <w:r w:rsidR="00262EDA">
        <w:t xml:space="preserve"> </w:t>
      </w:r>
      <w:r w:rsidR="00262EDA" w:rsidRPr="001E25B2">
        <w:t>Kleenheat</w:t>
      </w:r>
      <w:r w:rsidR="00524D3B">
        <w:t>’s</w:t>
      </w:r>
      <w:r w:rsidR="00262EDA" w:rsidRPr="001E25B2">
        <w:t xml:space="preserve"> LPG assets in Western Australia and </w:t>
      </w:r>
      <w:r w:rsidR="00262EDA">
        <w:t xml:space="preserve">the </w:t>
      </w:r>
      <w:r w:rsidR="00524D3B">
        <w:t>Northern Territory were not part of the proposed acquisition.</w:t>
      </w:r>
    </w:p>
    <w:p w:rsidR="00D468A9" w:rsidRDefault="00D468A9" w:rsidP="00A81A2F">
      <w:pPr>
        <w:pStyle w:val="NormalParagraph"/>
        <w:tabs>
          <w:tab w:val="clear" w:pos="360"/>
          <w:tab w:val="num" w:pos="567"/>
        </w:tabs>
        <w:ind w:left="567" w:hanging="567"/>
      </w:pPr>
      <w:r>
        <w:t xml:space="preserve">The ACCC decided that the proposed acquisition, </w:t>
      </w:r>
      <w:r w:rsidR="009F3447">
        <w:t xml:space="preserve">after taking into account </w:t>
      </w:r>
      <w:r>
        <w:t>the undertakings</w:t>
      </w:r>
      <w:r w:rsidR="009F3447">
        <w:t xml:space="preserve"> given by the merger parties</w:t>
      </w:r>
      <w:r>
        <w:t xml:space="preserve">, would </w:t>
      </w:r>
      <w:r w:rsidR="009F3447">
        <w:t xml:space="preserve">not </w:t>
      </w:r>
      <w:r>
        <w:t>be likely to have the effect of substantially lessening competition in contravention of section 50 of the</w:t>
      </w:r>
      <w:r w:rsidR="00B073D7">
        <w:t xml:space="preserve"> Act. </w:t>
      </w:r>
      <w:r w:rsidR="00A81A2F">
        <w:t xml:space="preserve">The </w:t>
      </w:r>
      <w:r w:rsidR="00B073D7">
        <w:t xml:space="preserve">ACCC </w:t>
      </w:r>
      <w:r w:rsidR="00A81A2F">
        <w:t>considered the competitive effects of the proposed acquisition</w:t>
      </w:r>
      <w:r>
        <w:t xml:space="preserve"> in </w:t>
      </w:r>
      <w:r w:rsidR="00A81A2F">
        <w:t xml:space="preserve">the </w:t>
      </w:r>
      <w:r w:rsidR="0035776B">
        <w:t>following markets</w:t>
      </w:r>
      <w:r>
        <w:t>:</w:t>
      </w:r>
    </w:p>
    <w:p w:rsidR="0035776B" w:rsidRDefault="0035776B" w:rsidP="0035776B">
      <w:pPr>
        <w:pStyle w:val="ListParagraph"/>
        <w:numPr>
          <w:ilvl w:val="0"/>
          <w:numId w:val="6"/>
        </w:numPr>
      </w:pPr>
      <w:r>
        <w:t>state and regional markets for the distribution of non-automotive LPG in bulk</w:t>
      </w:r>
      <w:r w:rsidR="006A652B">
        <w:t xml:space="preserve"> and in cylinders</w:t>
      </w:r>
    </w:p>
    <w:p w:rsidR="0035776B" w:rsidRDefault="0035776B" w:rsidP="0035776B">
      <w:pPr>
        <w:pStyle w:val="ListParagraph"/>
        <w:numPr>
          <w:ilvl w:val="0"/>
          <w:numId w:val="6"/>
        </w:numPr>
      </w:pPr>
      <w:r>
        <w:t>state-wide markets for the wholesale supply of LPG, and</w:t>
      </w:r>
    </w:p>
    <w:p w:rsidR="0035776B" w:rsidRDefault="0035776B" w:rsidP="0035776B">
      <w:pPr>
        <w:pStyle w:val="ListParagraph"/>
        <w:numPr>
          <w:ilvl w:val="0"/>
          <w:numId w:val="6"/>
        </w:numPr>
      </w:pPr>
      <w:r>
        <w:t>markets fo</w:t>
      </w:r>
      <w:r w:rsidR="00095D75">
        <w:t>r the supply of automotive LPG.</w:t>
      </w:r>
    </w:p>
    <w:p w:rsidR="004F6C62" w:rsidRDefault="004F6C62" w:rsidP="00A81A2F">
      <w:pPr>
        <w:pStyle w:val="NormalParagraph"/>
        <w:tabs>
          <w:tab w:val="clear" w:pos="360"/>
          <w:tab w:val="num" w:pos="567"/>
        </w:tabs>
        <w:ind w:left="567" w:hanging="567"/>
      </w:pPr>
      <w:r>
        <w:t>Further details regarding the ACCC</w:t>
      </w:r>
      <w:r w:rsidR="00095D75">
        <w:t xml:space="preserve">’s reasoning </w:t>
      </w:r>
      <w:r w:rsidR="00DC2DE7">
        <w:t>are</w:t>
      </w:r>
      <w:r w:rsidR="00095D75">
        <w:t xml:space="preserve"> provided below.</w:t>
      </w:r>
    </w:p>
    <w:p w:rsidR="00AF1C87" w:rsidRDefault="00AF1C87" w:rsidP="006A7FE8">
      <w:pPr>
        <w:pStyle w:val="Heading3"/>
      </w:pPr>
      <w:r>
        <w:t xml:space="preserve">The </w:t>
      </w:r>
      <w:r w:rsidRPr="00A53505">
        <w:t>parties</w:t>
      </w:r>
    </w:p>
    <w:p w:rsidR="00AF1C87" w:rsidRPr="006A7FE8" w:rsidRDefault="00AF1C87" w:rsidP="002F3F31">
      <w:pPr>
        <w:pStyle w:val="Heading4"/>
      </w:pPr>
      <w:r w:rsidRPr="006A7FE8">
        <w:t xml:space="preserve">The acquirer: </w:t>
      </w:r>
      <w:bookmarkStart w:id="4" w:name="Acquirer3"/>
      <w:bookmarkEnd w:id="4"/>
      <w:r w:rsidR="00821C2D">
        <w:t>Elgas Limited</w:t>
      </w:r>
    </w:p>
    <w:p w:rsidR="00D41048" w:rsidRDefault="00D41048" w:rsidP="00AF46D2">
      <w:pPr>
        <w:pStyle w:val="NormalParagraph"/>
        <w:tabs>
          <w:tab w:val="clear" w:pos="360"/>
          <w:tab w:val="num" w:pos="567"/>
        </w:tabs>
        <w:ind w:left="567" w:hanging="567"/>
      </w:pPr>
      <w:r>
        <w:t xml:space="preserve">Elgas is a major wholesaler and distributor of automotive and non-automotive </w:t>
      </w:r>
      <w:r w:rsidR="00524D3B">
        <w:t>LPG</w:t>
      </w:r>
      <w:r w:rsidR="00662465">
        <w:t xml:space="preserve"> </w:t>
      </w:r>
      <w:r>
        <w:t xml:space="preserve">in Australia. It uses a range of transport options and storage facilities to </w:t>
      </w:r>
      <w:r w:rsidR="00DB45E0">
        <w:t>distribute</w:t>
      </w:r>
      <w:r>
        <w:t xml:space="preserve"> LPG in both cylinders and bulk to a variety of </w:t>
      </w:r>
      <w:r w:rsidR="00095D75">
        <w:t>customer segments.</w:t>
      </w:r>
    </w:p>
    <w:p w:rsidR="00D41048" w:rsidRDefault="00D41048" w:rsidP="00AF46D2">
      <w:pPr>
        <w:pStyle w:val="NormalParagraph"/>
        <w:tabs>
          <w:tab w:val="clear" w:pos="360"/>
          <w:tab w:val="num" w:pos="567"/>
        </w:tabs>
        <w:ind w:left="567" w:hanging="567"/>
      </w:pPr>
      <w:r>
        <w:t xml:space="preserve">Elgas owns and operates the </w:t>
      </w:r>
      <w:r w:rsidR="00DB45E0">
        <w:t>‘</w:t>
      </w:r>
      <w:r>
        <w:t>Cavern</w:t>
      </w:r>
      <w:r w:rsidR="00DB45E0">
        <w:t>’</w:t>
      </w:r>
      <w:r>
        <w:t>, which is a major LPG import and storage fac</w:t>
      </w:r>
      <w:r w:rsidR="009C70C6">
        <w:t xml:space="preserve">ility in </w:t>
      </w:r>
      <w:r w:rsidR="002C5E58">
        <w:t>Port Botany, New South Wales</w:t>
      </w:r>
      <w:r>
        <w:t>. Elgas also owns and operates a</w:t>
      </w:r>
      <w:r w:rsidR="00DB45E0">
        <w:t>n extensive</w:t>
      </w:r>
      <w:r>
        <w:t xml:space="preserve"> network of </w:t>
      </w:r>
      <w:r w:rsidR="0093704A">
        <w:t xml:space="preserve">LPG </w:t>
      </w:r>
      <w:r>
        <w:t>depot</w:t>
      </w:r>
      <w:r w:rsidR="0093704A">
        <w:t>s</w:t>
      </w:r>
      <w:r>
        <w:t xml:space="preserve"> throughout Australia.</w:t>
      </w:r>
    </w:p>
    <w:p w:rsidR="0093704A" w:rsidRDefault="0093704A" w:rsidP="00AF46D2">
      <w:pPr>
        <w:pStyle w:val="NormalParagraph"/>
        <w:tabs>
          <w:tab w:val="clear" w:pos="360"/>
          <w:tab w:val="num" w:pos="567"/>
        </w:tabs>
        <w:ind w:left="567" w:hanging="567"/>
      </w:pPr>
      <w:r>
        <w:t>Elgas is a member of the BOC Group of companies, which is owned by the Linde Group, an international gas and engineering company.</w:t>
      </w:r>
    </w:p>
    <w:p w:rsidR="00AF1C87" w:rsidRDefault="00AF1C87" w:rsidP="006A7FE8">
      <w:pPr>
        <w:pStyle w:val="Heading4"/>
      </w:pPr>
      <w:r>
        <w:t xml:space="preserve">The target: </w:t>
      </w:r>
      <w:bookmarkStart w:id="5" w:name="Target3"/>
      <w:bookmarkEnd w:id="5"/>
      <w:r w:rsidR="00821C2D">
        <w:t>Wesfarmers Kleenheat Gas Pty Ltd's east coast LPG assets</w:t>
      </w:r>
    </w:p>
    <w:p w:rsidR="00767531" w:rsidRDefault="00767531" w:rsidP="00AF46D2">
      <w:pPr>
        <w:pStyle w:val="NormalParagraph"/>
        <w:tabs>
          <w:tab w:val="clear" w:pos="360"/>
          <w:tab w:val="num" w:pos="567"/>
        </w:tabs>
        <w:ind w:left="567" w:hanging="567"/>
      </w:pPr>
      <w:r>
        <w:t xml:space="preserve">Kleenheat is a major wholesaler and distributor of automotive and non-automotive LPG in Australia, supplying LPG in cylinders and </w:t>
      </w:r>
      <w:r w:rsidR="00524D3B">
        <w:t xml:space="preserve">in </w:t>
      </w:r>
      <w:r>
        <w:t xml:space="preserve">bulk to </w:t>
      </w:r>
      <w:r w:rsidR="002C5E58">
        <w:t>serv</w:t>
      </w:r>
      <w:r w:rsidR="0093704A">
        <w:t xml:space="preserve">e the needs of different </w:t>
      </w:r>
      <w:r>
        <w:t>customer</w:t>
      </w:r>
      <w:r w:rsidR="00524D3B">
        <w:t>s</w:t>
      </w:r>
      <w:r>
        <w:t>.</w:t>
      </w:r>
    </w:p>
    <w:p w:rsidR="0093704A" w:rsidRDefault="00767531" w:rsidP="00095D75">
      <w:pPr>
        <w:pStyle w:val="NormalParagraph"/>
        <w:tabs>
          <w:tab w:val="clear" w:pos="360"/>
          <w:tab w:val="num" w:pos="567"/>
        </w:tabs>
        <w:ind w:left="567" w:hanging="567"/>
      </w:pPr>
      <w:r>
        <w:t>Kleenheat owns a</w:t>
      </w:r>
      <w:r w:rsidR="001A3270">
        <w:t>n LPG extraction plant</w:t>
      </w:r>
      <w:r>
        <w:t xml:space="preserve"> in </w:t>
      </w:r>
      <w:r w:rsidR="001A3270">
        <w:t xml:space="preserve">Kwinana, Western Australia, </w:t>
      </w:r>
      <w:r w:rsidR="00DB45E0">
        <w:t xml:space="preserve">and operates a large </w:t>
      </w:r>
      <w:r>
        <w:t xml:space="preserve">network </w:t>
      </w:r>
      <w:r w:rsidR="0093704A">
        <w:t xml:space="preserve">of </w:t>
      </w:r>
      <w:r>
        <w:t>depot</w:t>
      </w:r>
      <w:r w:rsidR="0093704A">
        <w:t>s</w:t>
      </w:r>
      <w:r>
        <w:t xml:space="preserve"> </w:t>
      </w:r>
      <w:r w:rsidR="00095D75">
        <w:t>throughout Australia. It</w:t>
      </w:r>
      <w:r w:rsidR="0093704A">
        <w:t xml:space="preserve"> is a wholly-owned </w:t>
      </w:r>
      <w:r w:rsidR="0093704A">
        <w:lastRenderedPageBreak/>
        <w:t>subsidiary of Wesfarmers Limited, a public company listed on the Australian Securities Exchange.</w:t>
      </w:r>
    </w:p>
    <w:p w:rsidR="00AF1C87" w:rsidRDefault="00AF1C87" w:rsidP="006A7FE8">
      <w:pPr>
        <w:pStyle w:val="Heading4"/>
      </w:pPr>
      <w:r>
        <w:t>Other industry participants</w:t>
      </w:r>
    </w:p>
    <w:p w:rsidR="006A652B" w:rsidRPr="006A652B" w:rsidRDefault="006A652B" w:rsidP="00265D15">
      <w:pPr>
        <w:pStyle w:val="Heading5"/>
      </w:pPr>
      <w:r w:rsidRPr="006A652B">
        <w:t>Origin</w:t>
      </w:r>
    </w:p>
    <w:p w:rsidR="00767531" w:rsidRDefault="00767531" w:rsidP="00AF46D2">
      <w:pPr>
        <w:pStyle w:val="NormalParagraph"/>
        <w:tabs>
          <w:tab w:val="clear" w:pos="360"/>
          <w:tab w:val="num" w:pos="567"/>
        </w:tabs>
        <w:ind w:left="567" w:hanging="567"/>
      </w:pPr>
      <w:r w:rsidRPr="002F3F31">
        <w:t>Origin</w:t>
      </w:r>
      <w:r w:rsidR="006863FF" w:rsidRPr="002F3F31">
        <w:t xml:space="preserve"> Energy Limited (</w:t>
      </w:r>
      <w:r w:rsidR="006863FF" w:rsidRPr="002F3F31">
        <w:rPr>
          <w:b/>
        </w:rPr>
        <w:t>Origin</w:t>
      </w:r>
      <w:r w:rsidR="006863FF" w:rsidRPr="002F3F31">
        <w:t>)</w:t>
      </w:r>
      <w:r>
        <w:t xml:space="preserve"> </w:t>
      </w:r>
      <w:r w:rsidRPr="00666508">
        <w:t>is</w:t>
      </w:r>
      <w:r>
        <w:t xml:space="preserve"> a</w:t>
      </w:r>
      <w:r w:rsidRPr="00666508">
        <w:t xml:space="preserve"> national energy retailer which </w:t>
      </w:r>
      <w:r>
        <w:t>wholesales</w:t>
      </w:r>
      <w:r w:rsidRPr="00666508">
        <w:t xml:space="preserve"> and </w:t>
      </w:r>
      <w:r>
        <w:t>distributes</w:t>
      </w:r>
      <w:r w:rsidRPr="00666508">
        <w:t xml:space="preserve"> automotive and non-automotive LPG (bulk</w:t>
      </w:r>
      <w:r>
        <w:t xml:space="preserve"> and cylinder) to a variety of customer segments. Origin has LPG operations in all Australian states and territories</w:t>
      </w:r>
      <w:r w:rsidR="00F263DB">
        <w:t>.</w:t>
      </w:r>
      <w:r>
        <w:t xml:space="preserve"> </w:t>
      </w:r>
      <w:r w:rsidR="00F263DB">
        <w:t>I</w:t>
      </w:r>
      <w:r>
        <w:t>t owns and operates seven seaboard terminals on the east coast of Australia, and a network of depot</w:t>
      </w:r>
      <w:r w:rsidR="002F3F31">
        <w:t>s</w:t>
      </w:r>
      <w:r>
        <w:t xml:space="preserve"> throughout Australia. Origin operates its LPG businesses under four brands: Origin LPG, Speed-e-gas, Powergas and Quickswap.</w:t>
      </w:r>
      <w:r w:rsidR="002F3F31" w:rsidRPr="002F3F31">
        <w:t xml:space="preserve"> </w:t>
      </w:r>
      <w:r w:rsidR="002F3F31">
        <w:t>Origin is listed on the Australian Securities Exchange.</w:t>
      </w:r>
    </w:p>
    <w:p w:rsidR="002F3F31" w:rsidRPr="006A652B" w:rsidRDefault="002F3F31" w:rsidP="00265D15">
      <w:pPr>
        <w:pStyle w:val="Heading5"/>
      </w:pPr>
      <w:r>
        <w:t>Supagas</w:t>
      </w:r>
    </w:p>
    <w:p w:rsidR="00767531" w:rsidRDefault="00767531" w:rsidP="00AF46D2">
      <w:pPr>
        <w:pStyle w:val="NormalParagraph"/>
        <w:tabs>
          <w:tab w:val="clear" w:pos="360"/>
          <w:tab w:val="num" w:pos="567"/>
        </w:tabs>
        <w:ind w:left="567" w:hanging="567"/>
      </w:pPr>
      <w:r w:rsidRPr="002F3F31">
        <w:t>Supagas Pty Ltd</w:t>
      </w:r>
      <w:r>
        <w:t xml:space="preserve"> (</w:t>
      </w:r>
      <w:r w:rsidRPr="00767531">
        <w:rPr>
          <w:b/>
        </w:rPr>
        <w:t>Supagas</w:t>
      </w:r>
      <w:r>
        <w:t xml:space="preserve">) is a non-automotive LPG distributor (bulk and cylinder) operating in Victoria, South Australia, Tasmania, </w:t>
      </w:r>
      <w:r w:rsidR="00F263DB">
        <w:t xml:space="preserve">the </w:t>
      </w:r>
      <w:r>
        <w:t>Northern Territory, and Western Australia. It operates a number of depot facilities within these states and territories. Supagas is a private company which began in Melbourne in 1968 under the name of Australian Forklifts.</w:t>
      </w:r>
    </w:p>
    <w:p w:rsidR="00C93697" w:rsidRDefault="00C93697" w:rsidP="00265D15">
      <w:pPr>
        <w:pStyle w:val="Heading5"/>
      </w:pPr>
      <w:r w:rsidRPr="00767531">
        <w:t>Renegade</w:t>
      </w:r>
    </w:p>
    <w:p w:rsidR="00767531" w:rsidRDefault="00767531" w:rsidP="00AF46D2">
      <w:pPr>
        <w:pStyle w:val="NormalParagraph"/>
        <w:tabs>
          <w:tab w:val="clear" w:pos="360"/>
          <w:tab w:val="num" w:pos="567"/>
        </w:tabs>
        <w:ind w:left="567" w:hanging="567"/>
      </w:pPr>
      <w:r w:rsidRPr="00C93697">
        <w:t>Renegade Gas Pty Ltd</w:t>
      </w:r>
      <w:r>
        <w:t xml:space="preserve"> (</w:t>
      </w:r>
      <w:r w:rsidRPr="00767531">
        <w:rPr>
          <w:b/>
        </w:rPr>
        <w:t>Renegade</w:t>
      </w:r>
      <w:r>
        <w:t>) is a non-automotive LPG distributor (bulk and cylinder) operating in New South Wales, Queensland, and the Australian Capital Territory. It operates a number of depot facilities within these states and territories. Renegade is a private company which was established in 1997. Renegade trades under the name “Supagas”, but is a separate entity and business from Supagas Pty Ltd.</w:t>
      </w:r>
    </w:p>
    <w:p w:rsidR="00C93697" w:rsidRDefault="00C93697" w:rsidP="00265D15">
      <w:pPr>
        <w:pStyle w:val="Heading5"/>
      </w:pPr>
      <w:r w:rsidRPr="00767531">
        <w:t>United Gas</w:t>
      </w:r>
    </w:p>
    <w:p w:rsidR="00767531" w:rsidRDefault="00767531" w:rsidP="00AF46D2">
      <w:pPr>
        <w:pStyle w:val="NormalParagraph"/>
        <w:tabs>
          <w:tab w:val="clear" w:pos="360"/>
          <w:tab w:val="num" w:pos="567"/>
        </w:tabs>
        <w:ind w:left="567" w:hanging="567"/>
      </w:pPr>
      <w:r w:rsidRPr="00C93697">
        <w:t>United Gas</w:t>
      </w:r>
      <w:r>
        <w:t xml:space="preserve"> is a non-automotive LPG distributor (bulk and cylinder) operating in South Australia and Victoria. United Gas </w:t>
      </w:r>
      <w:r w:rsidR="0035776B">
        <w:t xml:space="preserve">is owned </w:t>
      </w:r>
      <w:r>
        <w:t>by Arcadia Energy Trading Limited</w:t>
      </w:r>
      <w:r w:rsidR="006863FF">
        <w:t xml:space="preserve"> (</w:t>
      </w:r>
      <w:r w:rsidR="006863FF" w:rsidRPr="006A652B">
        <w:rPr>
          <w:b/>
        </w:rPr>
        <w:t>Arcadia</w:t>
      </w:r>
      <w:r w:rsidR="006863FF">
        <w:t xml:space="preserve">), which acquired the </w:t>
      </w:r>
      <w:r w:rsidR="00C93697">
        <w:t xml:space="preserve">United Gas </w:t>
      </w:r>
      <w:r w:rsidR="006863FF">
        <w:t>business from United Petroleum in 2013.</w:t>
      </w:r>
      <w:r w:rsidR="00047028">
        <w:t xml:space="preserve"> </w:t>
      </w:r>
      <w:r w:rsidR="006863FF">
        <w:t xml:space="preserve">Arcadia is </w:t>
      </w:r>
      <w:r>
        <w:t>a wholesale commodity trader specialising in the energy sector</w:t>
      </w:r>
      <w:r w:rsidR="00C42A49">
        <w:t>. It is</w:t>
      </w:r>
      <w:r w:rsidR="00047028">
        <w:t xml:space="preserve"> </w:t>
      </w:r>
      <w:r>
        <w:t>part of the global Farahead Group of companies which owns major oil shipping and physical oil trading companies worldwide.</w:t>
      </w:r>
    </w:p>
    <w:p w:rsidR="00C93697" w:rsidRDefault="00C93697" w:rsidP="00265D15">
      <w:pPr>
        <w:pStyle w:val="Heading5"/>
      </w:pPr>
      <w:r w:rsidRPr="00C93697">
        <w:t>Direct Gas</w:t>
      </w:r>
    </w:p>
    <w:p w:rsidR="00767531" w:rsidRDefault="00767531" w:rsidP="00C93697">
      <w:pPr>
        <w:pStyle w:val="NormalParagraph"/>
        <w:tabs>
          <w:tab w:val="clear" w:pos="360"/>
          <w:tab w:val="num" w:pos="567"/>
        </w:tabs>
        <w:ind w:left="567" w:hanging="567"/>
      </w:pPr>
      <w:r w:rsidRPr="00C93697">
        <w:t>Direct Gas is</w:t>
      </w:r>
      <w:r>
        <w:t xml:space="preserve"> a non-automotive LPG distributor </w:t>
      </w:r>
      <w:r w:rsidR="00C93697">
        <w:t>(bulk and cylinder) operating out of</w:t>
      </w:r>
      <w:r>
        <w:t xml:space="preserve"> Dandenong, Victoria. Direct Gas began supplying non-automotive LPG </w:t>
      </w:r>
      <w:r w:rsidR="006863FF">
        <w:t>in 2012</w:t>
      </w:r>
      <w:r>
        <w:t>.</w:t>
      </w:r>
      <w:r w:rsidR="006863FF">
        <w:t xml:space="preserve"> Direct Gas also operates the United Gas business</w:t>
      </w:r>
      <w:r w:rsidR="00512B21">
        <w:t xml:space="preserve"> (as contractors)</w:t>
      </w:r>
      <w:r w:rsidR="00095D75">
        <w:t xml:space="preserve"> for Arcadia.</w:t>
      </w:r>
    </w:p>
    <w:p w:rsidR="00C93697" w:rsidRDefault="00C93697" w:rsidP="00265D15">
      <w:pPr>
        <w:pStyle w:val="Heading5"/>
      </w:pPr>
      <w:r w:rsidRPr="00C93697">
        <w:t>Air Liquide Australia</w:t>
      </w:r>
    </w:p>
    <w:p w:rsidR="00767531" w:rsidRDefault="00767531" w:rsidP="00AF46D2">
      <w:pPr>
        <w:pStyle w:val="NormalParagraph"/>
        <w:tabs>
          <w:tab w:val="clear" w:pos="360"/>
          <w:tab w:val="num" w:pos="567"/>
        </w:tabs>
        <w:ind w:left="567" w:hanging="567"/>
      </w:pPr>
      <w:r w:rsidRPr="00C93697">
        <w:t>Air Liquide Australia</w:t>
      </w:r>
      <w:r>
        <w:t xml:space="preserve"> is a member of the Air Liquide Group, an international industrial gas company. In Australia, Air Liquide Australia’s business is predominantly in industrial gases, </w:t>
      </w:r>
      <w:r w:rsidR="00C93697">
        <w:t>with limited distribution of</w:t>
      </w:r>
      <w:r>
        <w:t xml:space="preserve"> non-automotive LPG (</w:t>
      </w:r>
      <w:r w:rsidR="00C93697">
        <w:t xml:space="preserve">in </w:t>
      </w:r>
      <w:r>
        <w:t>cylinder</w:t>
      </w:r>
      <w:r w:rsidR="00C93697">
        <w:t>s</w:t>
      </w:r>
      <w:r>
        <w:t xml:space="preserve"> only).</w:t>
      </w:r>
    </w:p>
    <w:p w:rsidR="00AF1C87" w:rsidRDefault="00E845AB" w:rsidP="006A7FE8">
      <w:pPr>
        <w:pStyle w:val="Heading3"/>
      </w:pPr>
      <w:r>
        <w:t>Review timeline</w:t>
      </w:r>
    </w:p>
    <w:p w:rsidR="00AF1C87" w:rsidRPr="005E537F" w:rsidRDefault="00AF1C87" w:rsidP="00C93697">
      <w:pPr>
        <w:pStyle w:val="NormalParagraph"/>
        <w:tabs>
          <w:tab w:val="clear" w:pos="360"/>
          <w:tab w:val="num" w:pos="567"/>
        </w:tabs>
        <w:ind w:left="567" w:hanging="567"/>
      </w:pPr>
      <w:r>
        <w:t>The following</w:t>
      </w:r>
      <w:r w:rsidRPr="00C93697">
        <w:t xml:space="preserve"> table </w:t>
      </w:r>
      <w:r>
        <w:t>outlines the timelin</w:t>
      </w:r>
      <w:r w:rsidR="005E537F">
        <w:t>e of key events in this matter.</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93"/>
        <w:gridCol w:w="6475"/>
      </w:tblGrid>
      <w:tr w:rsidR="00AF1C87" w:rsidRPr="00F80A7E" w:rsidTr="00694465">
        <w:trPr>
          <w:trHeight w:val="263"/>
          <w:tblHeader/>
        </w:trPr>
        <w:tc>
          <w:tcPr>
            <w:tcW w:w="2093" w:type="dxa"/>
          </w:tcPr>
          <w:p w:rsidR="00AF1C87" w:rsidRPr="00E845AB" w:rsidRDefault="00AF1C87">
            <w:pPr>
              <w:rPr>
                <w:rFonts w:ascii="Arial" w:hAnsi="Arial" w:cs="Arial"/>
                <w:b/>
                <w:sz w:val="22"/>
                <w:szCs w:val="22"/>
              </w:rPr>
            </w:pPr>
            <w:r w:rsidRPr="00E845AB">
              <w:rPr>
                <w:rFonts w:ascii="Arial" w:hAnsi="Arial" w:cs="Arial"/>
                <w:b/>
                <w:sz w:val="22"/>
                <w:szCs w:val="22"/>
              </w:rPr>
              <w:t>Date</w:t>
            </w:r>
          </w:p>
        </w:tc>
        <w:tc>
          <w:tcPr>
            <w:tcW w:w="6475" w:type="dxa"/>
          </w:tcPr>
          <w:p w:rsidR="00AF1C87" w:rsidRPr="00E845AB" w:rsidRDefault="00AF1C87" w:rsidP="00BC3FEC">
            <w:pPr>
              <w:ind w:left="-68"/>
              <w:rPr>
                <w:rFonts w:ascii="Arial" w:hAnsi="Arial" w:cs="Arial"/>
                <w:b/>
                <w:sz w:val="22"/>
                <w:szCs w:val="22"/>
              </w:rPr>
            </w:pPr>
            <w:r w:rsidRPr="00E845AB">
              <w:rPr>
                <w:rFonts w:ascii="Arial" w:hAnsi="Arial" w:cs="Arial"/>
                <w:b/>
                <w:sz w:val="22"/>
                <w:szCs w:val="22"/>
              </w:rPr>
              <w:t>Event</w:t>
            </w:r>
          </w:p>
        </w:tc>
      </w:tr>
      <w:tr w:rsidR="00AF1C87" w:rsidRPr="00F80A7E" w:rsidTr="00694465">
        <w:tc>
          <w:tcPr>
            <w:tcW w:w="2093" w:type="dxa"/>
          </w:tcPr>
          <w:p w:rsidR="00AF1C87" w:rsidRPr="00F80A7E" w:rsidRDefault="00821C2D" w:rsidP="007C5768">
            <w:pPr>
              <w:spacing w:before="120" w:after="120"/>
              <w:rPr>
                <w:rFonts w:ascii="Arial" w:hAnsi="Arial" w:cs="Arial"/>
                <w:sz w:val="22"/>
                <w:szCs w:val="22"/>
              </w:rPr>
            </w:pPr>
            <w:bookmarkStart w:id="6" w:name="EventDate"/>
            <w:bookmarkEnd w:id="6"/>
            <w:r>
              <w:rPr>
                <w:rFonts w:ascii="Arial" w:hAnsi="Arial" w:cs="Arial"/>
                <w:sz w:val="22"/>
                <w:szCs w:val="22"/>
              </w:rPr>
              <w:t>1</w:t>
            </w:r>
            <w:r w:rsidR="002E2466">
              <w:rPr>
                <w:rFonts w:ascii="Arial" w:hAnsi="Arial" w:cs="Arial"/>
                <w:sz w:val="22"/>
                <w:szCs w:val="22"/>
              </w:rPr>
              <w:t xml:space="preserve">0 April </w:t>
            </w:r>
            <w:r>
              <w:rPr>
                <w:rFonts w:ascii="Arial" w:hAnsi="Arial" w:cs="Arial"/>
                <w:sz w:val="22"/>
                <w:szCs w:val="22"/>
              </w:rPr>
              <w:t>201</w:t>
            </w:r>
            <w:r w:rsidR="002E2466">
              <w:rPr>
                <w:rFonts w:ascii="Arial" w:hAnsi="Arial" w:cs="Arial"/>
                <w:sz w:val="22"/>
                <w:szCs w:val="22"/>
              </w:rPr>
              <w:t>4</w:t>
            </w:r>
          </w:p>
        </w:tc>
        <w:tc>
          <w:tcPr>
            <w:tcW w:w="6475" w:type="dxa"/>
          </w:tcPr>
          <w:p w:rsidR="00AF1C87" w:rsidRPr="00F80A7E" w:rsidRDefault="00821C2D" w:rsidP="007C5768">
            <w:pPr>
              <w:spacing w:before="120" w:after="120"/>
              <w:rPr>
                <w:rFonts w:ascii="Arial" w:hAnsi="Arial" w:cs="Arial"/>
                <w:sz w:val="22"/>
                <w:szCs w:val="22"/>
              </w:rPr>
            </w:pPr>
            <w:bookmarkStart w:id="7" w:name="EventDescription"/>
            <w:bookmarkEnd w:id="7"/>
            <w:r>
              <w:rPr>
                <w:rFonts w:ascii="Arial" w:hAnsi="Arial" w:cs="Arial"/>
                <w:sz w:val="22"/>
                <w:szCs w:val="22"/>
              </w:rPr>
              <w:t>ACCC commenced review under the Merger Process Guidelines.</w:t>
            </w:r>
          </w:p>
        </w:tc>
      </w:tr>
      <w:tr w:rsidR="002E2466" w:rsidRPr="00F80A7E" w:rsidTr="00694465">
        <w:tc>
          <w:tcPr>
            <w:tcW w:w="2093" w:type="dxa"/>
          </w:tcPr>
          <w:p w:rsidR="002E2466" w:rsidRDefault="002E2466" w:rsidP="007C5768">
            <w:pPr>
              <w:spacing w:before="120" w:after="120"/>
              <w:rPr>
                <w:rFonts w:ascii="Arial" w:hAnsi="Arial" w:cs="Arial"/>
                <w:sz w:val="22"/>
                <w:szCs w:val="22"/>
              </w:rPr>
            </w:pPr>
            <w:r>
              <w:rPr>
                <w:rFonts w:ascii="Arial" w:hAnsi="Arial" w:cs="Arial"/>
                <w:sz w:val="22"/>
                <w:szCs w:val="22"/>
              </w:rPr>
              <w:t>17 April 2014</w:t>
            </w:r>
          </w:p>
        </w:tc>
        <w:tc>
          <w:tcPr>
            <w:tcW w:w="6475" w:type="dxa"/>
          </w:tcPr>
          <w:p w:rsidR="002E2466" w:rsidRDefault="002E2466" w:rsidP="007C5768">
            <w:pPr>
              <w:spacing w:before="120" w:after="120"/>
              <w:rPr>
                <w:rFonts w:ascii="Arial" w:hAnsi="Arial" w:cs="Arial"/>
                <w:sz w:val="22"/>
                <w:szCs w:val="22"/>
              </w:rPr>
            </w:pPr>
            <w:r>
              <w:rPr>
                <w:rFonts w:ascii="Arial" w:hAnsi="Arial" w:cs="Arial"/>
                <w:sz w:val="22"/>
                <w:szCs w:val="22"/>
              </w:rPr>
              <w:t>ACCC requested further information from the merger parties.</w:t>
            </w:r>
          </w:p>
        </w:tc>
      </w:tr>
      <w:tr w:rsidR="00B073D7" w:rsidRPr="00F80A7E" w:rsidTr="00694465">
        <w:tc>
          <w:tcPr>
            <w:tcW w:w="2093" w:type="dxa"/>
          </w:tcPr>
          <w:p w:rsidR="00B073D7" w:rsidRDefault="00B073D7" w:rsidP="007C5768">
            <w:pPr>
              <w:spacing w:before="120" w:after="120"/>
              <w:rPr>
                <w:rFonts w:ascii="Arial" w:hAnsi="Arial" w:cs="Arial"/>
                <w:sz w:val="22"/>
                <w:szCs w:val="22"/>
              </w:rPr>
            </w:pPr>
            <w:r>
              <w:rPr>
                <w:rFonts w:ascii="Arial" w:hAnsi="Arial" w:cs="Arial"/>
                <w:sz w:val="22"/>
                <w:szCs w:val="22"/>
              </w:rPr>
              <w:t>9 May 2014</w:t>
            </w:r>
          </w:p>
        </w:tc>
        <w:tc>
          <w:tcPr>
            <w:tcW w:w="6475" w:type="dxa"/>
          </w:tcPr>
          <w:p w:rsidR="00B073D7" w:rsidRDefault="00B073D7" w:rsidP="007C5768">
            <w:pPr>
              <w:spacing w:before="120" w:after="120"/>
              <w:rPr>
                <w:rFonts w:ascii="Arial" w:hAnsi="Arial" w:cs="Arial"/>
                <w:sz w:val="22"/>
                <w:szCs w:val="22"/>
              </w:rPr>
            </w:pPr>
            <w:r>
              <w:rPr>
                <w:rFonts w:ascii="Arial" w:hAnsi="Arial" w:cs="Arial"/>
                <w:sz w:val="22"/>
                <w:szCs w:val="22"/>
              </w:rPr>
              <w:t>ACCC received information from the merger parties.</w:t>
            </w:r>
          </w:p>
        </w:tc>
      </w:tr>
      <w:tr w:rsidR="00B073D7" w:rsidRPr="00F80A7E" w:rsidTr="00694465">
        <w:tc>
          <w:tcPr>
            <w:tcW w:w="2093" w:type="dxa"/>
          </w:tcPr>
          <w:p w:rsidR="00B073D7" w:rsidRDefault="00B073D7" w:rsidP="007C5768">
            <w:pPr>
              <w:spacing w:before="120" w:after="120"/>
              <w:rPr>
                <w:rFonts w:ascii="Arial" w:hAnsi="Arial" w:cs="Arial"/>
                <w:sz w:val="22"/>
                <w:szCs w:val="22"/>
              </w:rPr>
            </w:pPr>
            <w:r>
              <w:rPr>
                <w:rFonts w:ascii="Arial" w:hAnsi="Arial" w:cs="Arial"/>
                <w:sz w:val="22"/>
                <w:szCs w:val="22"/>
              </w:rPr>
              <w:t>5 June 2014</w:t>
            </w:r>
          </w:p>
        </w:tc>
        <w:tc>
          <w:tcPr>
            <w:tcW w:w="6475" w:type="dxa"/>
          </w:tcPr>
          <w:p w:rsidR="00B073D7" w:rsidRDefault="00B073D7" w:rsidP="007C5768">
            <w:pPr>
              <w:spacing w:before="120" w:after="120"/>
              <w:rPr>
                <w:rFonts w:ascii="Arial" w:hAnsi="Arial" w:cs="Arial"/>
                <w:sz w:val="22"/>
                <w:szCs w:val="22"/>
              </w:rPr>
            </w:pPr>
            <w:r>
              <w:rPr>
                <w:rFonts w:ascii="Arial" w:hAnsi="Arial" w:cs="Arial"/>
                <w:sz w:val="22"/>
                <w:szCs w:val="22"/>
              </w:rPr>
              <w:t>ACCC published a Statement of Issues outlining preliminary competition concerns.</w:t>
            </w:r>
          </w:p>
        </w:tc>
      </w:tr>
      <w:tr w:rsidR="00B073D7" w:rsidRPr="00F80A7E" w:rsidTr="00694465">
        <w:tc>
          <w:tcPr>
            <w:tcW w:w="2093" w:type="dxa"/>
          </w:tcPr>
          <w:p w:rsidR="00B073D7" w:rsidRDefault="00B073D7" w:rsidP="0007328B">
            <w:pPr>
              <w:spacing w:before="120" w:after="120"/>
              <w:rPr>
                <w:rFonts w:ascii="Arial" w:hAnsi="Arial" w:cs="Arial"/>
                <w:sz w:val="22"/>
                <w:szCs w:val="22"/>
              </w:rPr>
            </w:pPr>
            <w:r>
              <w:rPr>
                <w:rFonts w:ascii="Arial" w:hAnsi="Arial" w:cs="Arial"/>
                <w:sz w:val="22"/>
                <w:szCs w:val="22"/>
              </w:rPr>
              <w:t>27 June 2014</w:t>
            </w:r>
          </w:p>
        </w:tc>
        <w:tc>
          <w:tcPr>
            <w:tcW w:w="6475" w:type="dxa"/>
          </w:tcPr>
          <w:p w:rsidR="00B073D7" w:rsidRDefault="00B073D7" w:rsidP="0007328B">
            <w:pPr>
              <w:spacing w:before="120" w:after="120"/>
              <w:rPr>
                <w:rFonts w:ascii="Arial" w:hAnsi="Arial" w:cs="Arial"/>
                <w:sz w:val="22"/>
                <w:szCs w:val="22"/>
              </w:rPr>
            </w:pPr>
            <w:r>
              <w:rPr>
                <w:rFonts w:ascii="Arial" w:hAnsi="Arial" w:cs="Arial"/>
                <w:sz w:val="22"/>
                <w:szCs w:val="22"/>
              </w:rPr>
              <w:t>ACCC requested further information from the merger parties.</w:t>
            </w:r>
            <w:r w:rsidR="0007328B" w:rsidDel="0084507A">
              <w:rPr>
                <w:rFonts w:ascii="Arial" w:hAnsi="Arial" w:cs="Arial"/>
                <w:sz w:val="22"/>
                <w:szCs w:val="22"/>
              </w:rPr>
              <w:t xml:space="preserve"> </w:t>
            </w:r>
          </w:p>
        </w:tc>
      </w:tr>
      <w:tr w:rsidR="00B073D7" w:rsidRPr="00F80A7E" w:rsidTr="00694465">
        <w:tc>
          <w:tcPr>
            <w:tcW w:w="2093" w:type="dxa"/>
          </w:tcPr>
          <w:p w:rsidR="00B073D7" w:rsidRDefault="0007328B" w:rsidP="007C5768">
            <w:pPr>
              <w:spacing w:before="120" w:after="120"/>
              <w:rPr>
                <w:rFonts w:ascii="Arial" w:hAnsi="Arial" w:cs="Arial"/>
                <w:sz w:val="22"/>
                <w:szCs w:val="22"/>
              </w:rPr>
            </w:pPr>
            <w:r>
              <w:rPr>
                <w:rFonts w:ascii="Arial" w:hAnsi="Arial" w:cs="Arial"/>
                <w:sz w:val="22"/>
                <w:szCs w:val="22"/>
              </w:rPr>
              <w:t>18 July 2014</w:t>
            </w:r>
          </w:p>
        </w:tc>
        <w:tc>
          <w:tcPr>
            <w:tcW w:w="6475" w:type="dxa"/>
          </w:tcPr>
          <w:p w:rsidR="00B073D7" w:rsidRDefault="00B073D7" w:rsidP="007C5768">
            <w:pPr>
              <w:spacing w:before="120" w:after="120"/>
              <w:rPr>
                <w:rFonts w:ascii="Arial" w:hAnsi="Arial" w:cs="Arial"/>
                <w:sz w:val="22"/>
                <w:szCs w:val="22"/>
              </w:rPr>
            </w:pPr>
            <w:r>
              <w:rPr>
                <w:rFonts w:ascii="Arial" w:hAnsi="Arial" w:cs="Arial"/>
                <w:sz w:val="22"/>
                <w:szCs w:val="22"/>
              </w:rPr>
              <w:t>ACCC received information from the merger parties.</w:t>
            </w:r>
          </w:p>
        </w:tc>
      </w:tr>
      <w:tr w:rsidR="00B073D7" w:rsidRPr="00F80A7E" w:rsidTr="00694465">
        <w:tc>
          <w:tcPr>
            <w:tcW w:w="2093" w:type="dxa"/>
          </w:tcPr>
          <w:p w:rsidR="00B073D7" w:rsidRDefault="00B073D7" w:rsidP="007C5768">
            <w:pPr>
              <w:spacing w:before="120" w:after="120"/>
              <w:rPr>
                <w:rFonts w:ascii="Arial" w:hAnsi="Arial" w:cs="Arial"/>
                <w:sz w:val="22"/>
                <w:szCs w:val="22"/>
              </w:rPr>
            </w:pPr>
            <w:r>
              <w:rPr>
                <w:rFonts w:ascii="Arial" w:hAnsi="Arial" w:cs="Arial"/>
                <w:sz w:val="22"/>
                <w:szCs w:val="22"/>
              </w:rPr>
              <w:t>14 August 2014</w:t>
            </w:r>
          </w:p>
          <w:p w:rsidR="00B073D7" w:rsidRDefault="00B073D7" w:rsidP="007C5768">
            <w:pPr>
              <w:spacing w:before="120" w:after="120"/>
              <w:rPr>
                <w:rFonts w:ascii="Arial" w:hAnsi="Arial" w:cs="Arial"/>
                <w:sz w:val="22"/>
                <w:szCs w:val="22"/>
              </w:rPr>
            </w:pPr>
          </w:p>
        </w:tc>
        <w:tc>
          <w:tcPr>
            <w:tcW w:w="6475" w:type="dxa"/>
          </w:tcPr>
          <w:p w:rsidR="00B073D7" w:rsidRDefault="00B073D7" w:rsidP="007C5768">
            <w:pPr>
              <w:spacing w:before="120" w:after="120"/>
              <w:rPr>
                <w:rFonts w:ascii="Arial" w:hAnsi="Arial" w:cs="Arial"/>
                <w:sz w:val="22"/>
                <w:szCs w:val="22"/>
              </w:rPr>
            </w:pPr>
            <w:r>
              <w:rPr>
                <w:rFonts w:ascii="Arial" w:hAnsi="Arial" w:cs="Arial"/>
                <w:sz w:val="22"/>
                <w:szCs w:val="22"/>
              </w:rPr>
              <w:t>ACCC requested further information from the merger parties. Former proposed date for announcement of ACCC's final decision (28 August) delayed to allow the merger parties time to provide additional information.</w:t>
            </w:r>
          </w:p>
        </w:tc>
      </w:tr>
      <w:tr w:rsidR="00694465" w:rsidRPr="00F80A7E" w:rsidTr="0007328B">
        <w:tc>
          <w:tcPr>
            <w:tcW w:w="2093" w:type="dxa"/>
          </w:tcPr>
          <w:p w:rsidR="00694465" w:rsidRDefault="00694465" w:rsidP="007C5768">
            <w:pPr>
              <w:spacing w:before="120" w:after="120"/>
              <w:rPr>
                <w:rFonts w:ascii="Arial" w:hAnsi="Arial" w:cs="Arial"/>
                <w:sz w:val="22"/>
                <w:szCs w:val="22"/>
              </w:rPr>
            </w:pPr>
            <w:r>
              <w:rPr>
                <w:rFonts w:ascii="Arial" w:hAnsi="Arial" w:cs="Arial"/>
                <w:sz w:val="22"/>
                <w:szCs w:val="22"/>
              </w:rPr>
              <w:t>19 August 2014</w:t>
            </w:r>
          </w:p>
        </w:tc>
        <w:tc>
          <w:tcPr>
            <w:tcW w:w="6475" w:type="dxa"/>
          </w:tcPr>
          <w:p w:rsidR="00694465" w:rsidRDefault="00694465" w:rsidP="006252F1">
            <w:pPr>
              <w:spacing w:before="120" w:after="120"/>
              <w:rPr>
                <w:rFonts w:ascii="Arial" w:hAnsi="Arial" w:cs="Arial"/>
                <w:sz w:val="22"/>
                <w:szCs w:val="22"/>
              </w:rPr>
            </w:pPr>
            <w:r>
              <w:rPr>
                <w:rFonts w:ascii="Arial" w:hAnsi="Arial" w:cs="Arial"/>
                <w:sz w:val="22"/>
                <w:szCs w:val="22"/>
              </w:rPr>
              <w:t>ACCC received further information from the merger parties.</w:t>
            </w:r>
          </w:p>
        </w:tc>
      </w:tr>
      <w:tr w:rsidR="00B073D7" w:rsidRPr="00F80A7E" w:rsidTr="00A10F1A">
        <w:tc>
          <w:tcPr>
            <w:tcW w:w="2093" w:type="dxa"/>
          </w:tcPr>
          <w:p w:rsidR="00B073D7" w:rsidRDefault="00B073D7" w:rsidP="007C5768">
            <w:pPr>
              <w:spacing w:before="120" w:after="120"/>
              <w:rPr>
                <w:rFonts w:ascii="Arial" w:hAnsi="Arial" w:cs="Arial"/>
                <w:sz w:val="22"/>
                <w:szCs w:val="22"/>
              </w:rPr>
            </w:pPr>
            <w:r>
              <w:rPr>
                <w:rFonts w:ascii="Arial" w:hAnsi="Arial" w:cs="Arial"/>
                <w:sz w:val="22"/>
                <w:szCs w:val="22"/>
              </w:rPr>
              <w:t>26 August 2014</w:t>
            </w:r>
          </w:p>
        </w:tc>
        <w:tc>
          <w:tcPr>
            <w:tcW w:w="6475" w:type="dxa"/>
          </w:tcPr>
          <w:p w:rsidR="00B073D7" w:rsidRDefault="00B073D7" w:rsidP="00694465">
            <w:pPr>
              <w:spacing w:before="120" w:after="120"/>
              <w:rPr>
                <w:rFonts w:ascii="Arial" w:hAnsi="Arial" w:cs="Arial"/>
                <w:sz w:val="22"/>
                <w:szCs w:val="22"/>
              </w:rPr>
            </w:pPr>
            <w:r>
              <w:rPr>
                <w:rFonts w:ascii="Arial" w:hAnsi="Arial" w:cs="Arial"/>
                <w:sz w:val="22"/>
                <w:szCs w:val="22"/>
              </w:rPr>
              <w:t>Former proposed decision date of 4 September delayed to allow</w:t>
            </w:r>
            <w:r w:rsidR="00694465">
              <w:rPr>
                <w:rFonts w:ascii="Arial" w:hAnsi="Arial" w:cs="Arial"/>
                <w:sz w:val="22"/>
                <w:szCs w:val="22"/>
              </w:rPr>
              <w:t xml:space="preserve"> the </w:t>
            </w:r>
            <w:r>
              <w:rPr>
                <w:rFonts w:ascii="Arial" w:hAnsi="Arial" w:cs="Arial"/>
                <w:sz w:val="22"/>
                <w:szCs w:val="22"/>
              </w:rPr>
              <w:t>vendor to provide more information in response to issues raised by the ACCC.</w:t>
            </w:r>
          </w:p>
        </w:tc>
      </w:tr>
      <w:tr w:rsidR="00B073D7" w:rsidRPr="00F80A7E" w:rsidTr="00694465">
        <w:tc>
          <w:tcPr>
            <w:tcW w:w="2093" w:type="dxa"/>
          </w:tcPr>
          <w:p w:rsidR="00B073D7" w:rsidRDefault="00B073D7" w:rsidP="0007328B">
            <w:pPr>
              <w:spacing w:before="120" w:after="120"/>
              <w:rPr>
                <w:rFonts w:ascii="Arial" w:hAnsi="Arial" w:cs="Arial"/>
                <w:sz w:val="22"/>
                <w:szCs w:val="22"/>
              </w:rPr>
            </w:pPr>
            <w:r>
              <w:rPr>
                <w:rFonts w:ascii="Arial" w:hAnsi="Arial" w:cs="Arial"/>
                <w:sz w:val="22"/>
                <w:szCs w:val="22"/>
              </w:rPr>
              <w:t>29 August 2014</w:t>
            </w:r>
          </w:p>
        </w:tc>
        <w:tc>
          <w:tcPr>
            <w:tcW w:w="6475" w:type="dxa"/>
          </w:tcPr>
          <w:p w:rsidR="00B073D7" w:rsidRDefault="00B073D7" w:rsidP="00694465">
            <w:pPr>
              <w:spacing w:before="120" w:after="120"/>
              <w:rPr>
                <w:rFonts w:ascii="Arial" w:hAnsi="Arial" w:cs="Arial"/>
                <w:sz w:val="22"/>
                <w:szCs w:val="22"/>
              </w:rPr>
            </w:pPr>
            <w:r>
              <w:rPr>
                <w:rFonts w:ascii="Arial" w:hAnsi="Arial" w:cs="Arial"/>
                <w:sz w:val="22"/>
                <w:szCs w:val="22"/>
              </w:rPr>
              <w:t xml:space="preserve">ACCC received further information from </w:t>
            </w:r>
            <w:r w:rsidR="00694465">
              <w:rPr>
                <w:rFonts w:ascii="Arial" w:hAnsi="Arial" w:cs="Arial"/>
                <w:sz w:val="22"/>
                <w:szCs w:val="22"/>
              </w:rPr>
              <w:t xml:space="preserve">the </w:t>
            </w:r>
            <w:r>
              <w:rPr>
                <w:rFonts w:ascii="Arial" w:hAnsi="Arial" w:cs="Arial"/>
                <w:sz w:val="22"/>
                <w:szCs w:val="22"/>
              </w:rPr>
              <w:t>vendor. Former proposed decision date of 11 September delayed to allow more time for the acquirer to provide additional information.</w:t>
            </w:r>
            <w:r w:rsidR="0007328B">
              <w:rPr>
                <w:rFonts w:ascii="Arial" w:hAnsi="Arial" w:cs="Arial"/>
                <w:sz w:val="22"/>
                <w:szCs w:val="22"/>
              </w:rPr>
              <w:t xml:space="preserve"> </w:t>
            </w:r>
          </w:p>
        </w:tc>
      </w:tr>
      <w:tr w:rsidR="00B073D7" w:rsidRPr="00F80A7E" w:rsidTr="00694465">
        <w:tc>
          <w:tcPr>
            <w:tcW w:w="2093" w:type="dxa"/>
          </w:tcPr>
          <w:p w:rsidR="00B073D7" w:rsidRDefault="00B073D7" w:rsidP="007C5768">
            <w:pPr>
              <w:spacing w:before="120" w:after="120"/>
              <w:rPr>
                <w:rFonts w:ascii="Arial" w:hAnsi="Arial" w:cs="Arial"/>
                <w:sz w:val="22"/>
                <w:szCs w:val="22"/>
              </w:rPr>
            </w:pPr>
            <w:r>
              <w:rPr>
                <w:rFonts w:ascii="Arial" w:hAnsi="Arial" w:cs="Arial"/>
                <w:sz w:val="22"/>
                <w:szCs w:val="22"/>
              </w:rPr>
              <w:t>5 December 2014</w:t>
            </w:r>
          </w:p>
        </w:tc>
        <w:tc>
          <w:tcPr>
            <w:tcW w:w="6475" w:type="dxa"/>
          </w:tcPr>
          <w:p w:rsidR="00B073D7" w:rsidRDefault="00B073D7" w:rsidP="007C5768">
            <w:pPr>
              <w:spacing w:before="120" w:after="120"/>
              <w:rPr>
                <w:rFonts w:ascii="Arial" w:hAnsi="Arial" w:cs="Arial"/>
                <w:sz w:val="22"/>
                <w:szCs w:val="22"/>
              </w:rPr>
            </w:pPr>
            <w:r>
              <w:rPr>
                <w:rFonts w:ascii="Arial" w:hAnsi="Arial" w:cs="Arial"/>
                <w:sz w:val="22"/>
                <w:szCs w:val="22"/>
              </w:rPr>
              <w:t>Elgas offered a section 87B undertaking to the ACCC.</w:t>
            </w:r>
          </w:p>
        </w:tc>
      </w:tr>
      <w:tr w:rsidR="00B073D7" w:rsidRPr="00F80A7E" w:rsidTr="00A10F1A">
        <w:tc>
          <w:tcPr>
            <w:tcW w:w="2093" w:type="dxa"/>
          </w:tcPr>
          <w:p w:rsidR="00B073D7" w:rsidRDefault="00B073D7" w:rsidP="0007328B">
            <w:pPr>
              <w:spacing w:before="120" w:after="120"/>
              <w:rPr>
                <w:rFonts w:ascii="Arial" w:hAnsi="Arial" w:cs="Arial"/>
                <w:sz w:val="22"/>
                <w:szCs w:val="22"/>
              </w:rPr>
            </w:pPr>
            <w:r>
              <w:rPr>
                <w:rFonts w:ascii="Arial" w:hAnsi="Arial" w:cs="Arial"/>
                <w:sz w:val="22"/>
                <w:szCs w:val="22"/>
              </w:rPr>
              <w:t>8 December 2014</w:t>
            </w:r>
          </w:p>
        </w:tc>
        <w:tc>
          <w:tcPr>
            <w:tcW w:w="6475" w:type="dxa"/>
          </w:tcPr>
          <w:p w:rsidR="00B073D7" w:rsidRDefault="00B073D7" w:rsidP="0007328B">
            <w:pPr>
              <w:spacing w:before="120" w:after="120"/>
              <w:rPr>
                <w:rFonts w:ascii="Arial" w:hAnsi="Arial" w:cs="Arial"/>
                <w:sz w:val="22"/>
                <w:szCs w:val="22"/>
              </w:rPr>
            </w:pPr>
            <w:r>
              <w:rPr>
                <w:rFonts w:ascii="Arial" w:hAnsi="Arial" w:cs="Arial"/>
                <w:sz w:val="22"/>
                <w:szCs w:val="22"/>
              </w:rPr>
              <w:t>ACCC commenced market inquiries in relation to proposed section 87B undertaking offered by Elgas.</w:t>
            </w:r>
            <w:r w:rsidR="0007328B" w:rsidDel="00220A08">
              <w:rPr>
                <w:rFonts w:ascii="Arial" w:hAnsi="Arial" w:cs="Arial"/>
                <w:sz w:val="22"/>
                <w:szCs w:val="22"/>
              </w:rPr>
              <w:t xml:space="preserve"> </w:t>
            </w:r>
          </w:p>
        </w:tc>
      </w:tr>
      <w:tr w:rsidR="00B073D7" w:rsidRPr="00F80A7E" w:rsidTr="00694465">
        <w:tc>
          <w:tcPr>
            <w:tcW w:w="2093" w:type="dxa"/>
          </w:tcPr>
          <w:p w:rsidR="00B073D7" w:rsidRDefault="00B073D7" w:rsidP="007C5768">
            <w:pPr>
              <w:spacing w:before="120" w:after="120"/>
              <w:rPr>
                <w:rFonts w:ascii="Arial" w:hAnsi="Arial" w:cs="Arial"/>
                <w:sz w:val="22"/>
                <w:szCs w:val="22"/>
              </w:rPr>
            </w:pPr>
            <w:r w:rsidDel="00D33171">
              <w:rPr>
                <w:rFonts w:ascii="Arial" w:hAnsi="Arial" w:cs="Arial"/>
                <w:sz w:val="22"/>
                <w:szCs w:val="22"/>
              </w:rPr>
              <w:t>18 December 2014</w:t>
            </w:r>
          </w:p>
        </w:tc>
        <w:tc>
          <w:tcPr>
            <w:tcW w:w="6475" w:type="dxa"/>
          </w:tcPr>
          <w:p w:rsidR="00B073D7" w:rsidRDefault="00B073D7" w:rsidP="007C5768">
            <w:pPr>
              <w:spacing w:before="120" w:after="120"/>
              <w:rPr>
                <w:rFonts w:ascii="Arial" w:hAnsi="Arial" w:cs="Arial"/>
                <w:sz w:val="22"/>
                <w:szCs w:val="22"/>
              </w:rPr>
            </w:pPr>
            <w:r w:rsidDel="00B073D7">
              <w:rPr>
                <w:rFonts w:ascii="Arial" w:hAnsi="Arial" w:cs="Arial"/>
                <w:sz w:val="22"/>
                <w:szCs w:val="22"/>
              </w:rPr>
              <w:t>ACCC announced it would not oppose the proposed acquisition, subject to section 87B undertakings accepted by ACCC.</w:t>
            </w:r>
          </w:p>
        </w:tc>
      </w:tr>
    </w:tbl>
    <w:p w:rsidR="00AF1C87" w:rsidRDefault="00AF1C87" w:rsidP="006A7FE8">
      <w:pPr>
        <w:pStyle w:val="Heading3"/>
      </w:pPr>
      <w:r>
        <w:t xml:space="preserve">Market </w:t>
      </w:r>
      <w:r w:rsidRPr="00F80A7E">
        <w:t>inquiries</w:t>
      </w:r>
    </w:p>
    <w:p w:rsidR="00AF1C87" w:rsidRDefault="00AF1C87" w:rsidP="00AF46D2">
      <w:pPr>
        <w:pStyle w:val="NormalParagraph"/>
        <w:tabs>
          <w:tab w:val="clear" w:pos="360"/>
          <w:tab w:val="num" w:pos="567"/>
        </w:tabs>
        <w:ind w:left="567" w:hanging="567"/>
      </w:pPr>
      <w:r>
        <w:t xml:space="preserve">The ACCC conducted market inquiries with a range of industry participants, including </w:t>
      </w:r>
      <w:r w:rsidR="007B70C4">
        <w:t xml:space="preserve">LPG </w:t>
      </w:r>
      <w:r w:rsidR="006713C5" w:rsidRPr="006713C5">
        <w:t>wholesalers</w:t>
      </w:r>
      <w:r w:rsidR="007B70C4">
        <w:t>,</w:t>
      </w:r>
      <w:r w:rsidR="007B70C4" w:rsidRPr="006713C5">
        <w:t xml:space="preserve"> </w:t>
      </w:r>
      <w:r w:rsidR="002C5E58">
        <w:t xml:space="preserve">retailers, </w:t>
      </w:r>
      <w:r w:rsidR="006713C5" w:rsidRPr="006713C5">
        <w:t>distributors, dealers</w:t>
      </w:r>
      <w:r w:rsidR="002C5E58">
        <w:t>, agents</w:t>
      </w:r>
      <w:r w:rsidR="006713C5" w:rsidRPr="006713C5">
        <w:t xml:space="preserve"> and</w:t>
      </w:r>
      <w:r w:rsidRPr="006713C5">
        <w:t xml:space="preserve"> customers</w:t>
      </w:r>
      <w:r w:rsidR="006713C5" w:rsidRPr="006713C5">
        <w:t xml:space="preserve"> (residential, commercial and industrial)</w:t>
      </w:r>
      <w:r w:rsidRPr="006713C5">
        <w:t xml:space="preserve">. Submissions were sought in relation to the </w:t>
      </w:r>
      <w:r w:rsidR="006713C5" w:rsidRPr="006713C5">
        <w:t xml:space="preserve">substantive competition issues </w:t>
      </w:r>
      <w:r w:rsidRPr="006713C5">
        <w:t xml:space="preserve">and </w:t>
      </w:r>
      <w:r w:rsidR="00B073D7">
        <w:t xml:space="preserve">the </w:t>
      </w:r>
      <w:r w:rsidRPr="006713C5">
        <w:t>proposed undertakings.</w:t>
      </w:r>
    </w:p>
    <w:p w:rsidR="00AF1C87" w:rsidRDefault="00AF1C87" w:rsidP="006A7FE8">
      <w:pPr>
        <w:pStyle w:val="Heading3"/>
      </w:pPr>
      <w:r w:rsidRPr="00A53505">
        <w:t>Statement</w:t>
      </w:r>
      <w:r>
        <w:t xml:space="preserve"> of Issues</w:t>
      </w:r>
    </w:p>
    <w:p w:rsidR="00D27602" w:rsidRDefault="00AF1C87" w:rsidP="00AF46D2">
      <w:pPr>
        <w:pStyle w:val="NormalParagraph"/>
        <w:tabs>
          <w:tab w:val="clear" w:pos="360"/>
          <w:tab w:val="num" w:pos="567"/>
        </w:tabs>
        <w:ind w:left="567" w:hanging="567"/>
      </w:pPr>
      <w:r>
        <w:t xml:space="preserve">The ACCC published </w:t>
      </w:r>
      <w:r w:rsidR="00F33E19">
        <w:t xml:space="preserve">a </w:t>
      </w:r>
      <w:r>
        <w:t xml:space="preserve">Statement of </w:t>
      </w:r>
      <w:r>
        <w:rPr>
          <w:szCs w:val="24"/>
        </w:rPr>
        <w:t xml:space="preserve">Issues on </w:t>
      </w:r>
      <w:r w:rsidR="006713C5">
        <w:rPr>
          <w:szCs w:val="24"/>
        </w:rPr>
        <w:t>5 June 2014</w:t>
      </w:r>
      <w:r w:rsidR="006E05FA">
        <w:rPr>
          <w:szCs w:val="24"/>
        </w:rPr>
        <w:t>.</w:t>
      </w:r>
      <w:r w:rsidR="006E05FA">
        <w:t xml:space="preserve"> </w:t>
      </w:r>
      <w:r>
        <w:t xml:space="preserve">In the Statement of </w:t>
      </w:r>
      <w:r>
        <w:rPr>
          <w:szCs w:val="24"/>
        </w:rPr>
        <w:t xml:space="preserve">Issues </w:t>
      </w:r>
      <w:r w:rsidR="001C1AE7">
        <w:t>the ACC</w:t>
      </w:r>
      <w:r w:rsidR="001C1AE7" w:rsidRPr="001C1AE7">
        <w:t xml:space="preserve">C </w:t>
      </w:r>
      <w:r w:rsidR="006E05FA">
        <w:t>expressed the</w:t>
      </w:r>
      <w:r w:rsidRPr="001C1AE7">
        <w:t xml:space="preserve"> preliminary view that the proposed acquisi</w:t>
      </w:r>
      <w:r w:rsidR="001C1AE7" w:rsidRPr="001C1AE7">
        <w:t>tion would be likely</w:t>
      </w:r>
      <w:r w:rsidR="00F263DB">
        <w:t xml:space="preserve"> to</w:t>
      </w:r>
      <w:r w:rsidR="001C1AE7" w:rsidRPr="001C1AE7">
        <w:t xml:space="preserve"> result in a substantial lessening of competition</w:t>
      </w:r>
      <w:r w:rsidRPr="001C1AE7">
        <w:t xml:space="preserve"> </w:t>
      </w:r>
      <w:r w:rsidR="001C1AE7" w:rsidRPr="001C1AE7">
        <w:t>in</w:t>
      </w:r>
      <w:r w:rsidR="001C1AE7">
        <w:t xml:space="preserve"> the distribution of bulk and cylinder non-automotive LPG in regional </w:t>
      </w:r>
      <w:r w:rsidR="00D27602">
        <w:t>markets and to national customers in Australia</w:t>
      </w:r>
      <w:r w:rsidR="001C1AE7">
        <w:t xml:space="preserve">. </w:t>
      </w:r>
    </w:p>
    <w:p w:rsidR="002C5E58" w:rsidRDefault="0022212A" w:rsidP="0022212A">
      <w:pPr>
        <w:pStyle w:val="NormalParagraph"/>
        <w:tabs>
          <w:tab w:val="clear" w:pos="360"/>
          <w:tab w:val="num" w:pos="567"/>
        </w:tabs>
        <w:ind w:left="567" w:hanging="567"/>
      </w:pPr>
      <w:r>
        <w:t>The ACCC was particularly concerned that the</w:t>
      </w:r>
      <w:r w:rsidR="00510954">
        <w:t xml:space="preserve"> proposed acquisition would </w:t>
      </w:r>
      <w:r w:rsidR="0050621C">
        <w:t xml:space="preserve">be likely to </w:t>
      </w:r>
      <w:r w:rsidR="00F54799">
        <w:t xml:space="preserve">have the effect of </w:t>
      </w:r>
      <w:r w:rsidR="00D66DAB">
        <w:t xml:space="preserve">substantially </w:t>
      </w:r>
      <w:r w:rsidR="00510954">
        <w:t>lessen</w:t>
      </w:r>
      <w:r w:rsidR="00F54799">
        <w:t>ing</w:t>
      </w:r>
      <w:r w:rsidR="00510954">
        <w:t xml:space="preserve"> competition by</w:t>
      </w:r>
      <w:r>
        <w:t xml:space="preserve"> aggregating two</w:t>
      </w:r>
      <w:r w:rsidR="00510954">
        <w:t xml:space="preserve"> of the three largest distribut</w:t>
      </w:r>
      <w:r w:rsidR="00F56D06">
        <w:t>ors</w:t>
      </w:r>
      <w:r w:rsidR="00510954">
        <w:t xml:space="preserve"> of non-automotive </w:t>
      </w:r>
      <w:r w:rsidR="00F33E19">
        <w:t xml:space="preserve">cylinder and bulk </w:t>
      </w:r>
      <w:r w:rsidR="00095D75">
        <w:t>LPG.</w:t>
      </w:r>
    </w:p>
    <w:p w:rsidR="002C5E58" w:rsidRDefault="004B6682" w:rsidP="00D27602">
      <w:pPr>
        <w:pStyle w:val="NormalParagraph"/>
        <w:tabs>
          <w:tab w:val="clear" w:pos="360"/>
          <w:tab w:val="num" w:pos="567"/>
        </w:tabs>
        <w:ind w:left="567" w:hanging="567"/>
      </w:pPr>
      <w:r>
        <w:t xml:space="preserve">The ACCC </w:t>
      </w:r>
      <w:r w:rsidR="00F54799">
        <w:t xml:space="preserve">also </w:t>
      </w:r>
      <w:r>
        <w:t>expressed the preliminary view that</w:t>
      </w:r>
      <w:r w:rsidR="002C5E58">
        <w:t>:</w:t>
      </w:r>
    </w:p>
    <w:p w:rsidR="00B73598" w:rsidRDefault="00E63DBA" w:rsidP="002C5E58">
      <w:pPr>
        <w:pStyle w:val="ListParagraph"/>
        <w:numPr>
          <w:ilvl w:val="0"/>
          <w:numId w:val="6"/>
        </w:numPr>
      </w:pPr>
      <w:r>
        <w:t>t</w:t>
      </w:r>
      <w:r w:rsidR="002C5E58">
        <w:t xml:space="preserve">he proposed acquisition </w:t>
      </w:r>
      <w:r w:rsidR="004B6682">
        <w:t>ha</w:t>
      </w:r>
      <w:r w:rsidR="00510954">
        <w:t>d</w:t>
      </w:r>
      <w:r w:rsidR="004B6682">
        <w:t xml:space="preserve"> the potential to harm competition for the wholesa</w:t>
      </w:r>
      <w:r w:rsidR="00080E1F">
        <w:t>le supply of L</w:t>
      </w:r>
      <w:r w:rsidR="004B6682">
        <w:t>PG in state-based markets</w:t>
      </w:r>
      <w:r w:rsidR="00F263DB">
        <w:t>, especially in New South Wales</w:t>
      </w:r>
    </w:p>
    <w:p w:rsidR="004B6682" w:rsidRDefault="00E63DBA" w:rsidP="002C5E58">
      <w:pPr>
        <w:pStyle w:val="ListParagraph"/>
        <w:numPr>
          <w:ilvl w:val="0"/>
          <w:numId w:val="6"/>
        </w:numPr>
      </w:pPr>
      <w:r>
        <w:t>t</w:t>
      </w:r>
      <w:r w:rsidR="002C5E58">
        <w:t xml:space="preserve">he proposed acquisition </w:t>
      </w:r>
      <w:r w:rsidR="004B6682">
        <w:t xml:space="preserve">would be unlikely to substantially lessen competition in any </w:t>
      </w:r>
      <w:r w:rsidR="002C5E58">
        <w:t>relevant automotive LPG market.</w:t>
      </w:r>
    </w:p>
    <w:p w:rsidR="00AF1C87" w:rsidRDefault="00B32501" w:rsidP="006A7FE8">
      <w:pPr>
        <w:pStyle w:val="Heading3"/>
      </w:pPr>
      <w:r>
        <w:t>Future w</w:t>
      </w:r>
      <w:r w:rsidR="0050621C">
        <w:t>ith</w:t>
      </w:r>
      <w:r>
        <w:t xml:space="preserve"> and </w:t>
      </w:r>
      <w:r w:rsidR="0050621C">
        <w:t xml:space="preserve">without </w:t>
      </w:r>
      <w:r>
        <w:t>the proposed acquisition</w:t>
      </w:r>
    </w:p>
    <w:p w:rsidR="006A7FE8" w:rsidRDefault="0050621C" w:rsidP="00857DAA">
      <w:pPr>
        <w:pStyle w:val="NormalParagraph"/>
        <w:tabs>
          <w:tab w:val="clear" w:pos="360"/>
          <w:tab w:val="num" w:pos="567"/>
        </w:tabs>
        <w:ind w:left="567" w:hanging="567"/>
      </w:pPr>
      <w:r>
        <w:t xml:space="preserve">Section 50 of the Act prohibits acquisitions that would have the effect or be likely to have the effect of substantially lessening competition in a market. </w:t>
      </w:r>
      <w:r w:rsidR="00CB5C58">
        <w:t>I</w:t>
      </w:r>
      <w:r w:rsidR="006A7FE8">
        <w:t xml:space="preserve">n assessing a proposed acquisition pursuant to section 50 of the Act, the ACCC considers the </w:t>
      </w:r>
      <w:r w:rsidR="00B32501">
        <w:t xml:space="preserve">likely </w:t>
      </w:r>
      <w:r w:rsidR="006A7FE8">
        <w:t xml:space="preserve">effects of the acquisition by comparing the likely future competitive environment if the acquisition proceeds (the “with” position) to the likely future competitive environment if the acquisition does not proceed (the “without” position) to determine whether the proposed acquisition is likely to </w:t>
      </w:r>
      <w:r w:rsidR="00B32501">
        <w:t xml:space="preserve">have the effect of </w:t>
      </w:r>
      <w:r w:rsidR="006A7FE8">
        <w:t>substantially lessen</w:t>
      </w:r>
      <w:r w:rsidR="00B32501">
        <w:t>ing</w:t>
      </w:r>
      <w:r w:rsidR="006A7FE8">
        <w:t xml:space="preserve"> competition in any relevant market.</w:t>
      </w:r>
    </w:p>
    <w:p w:rsidR="00626493" w:rsidRDefault="00626493" w:rsidP="00FB71D5">
      <w:pPr>
        <w:pStyle w:val="Heading4"/>
      </w:pPr>
      <w:r>
        <w:t xml:space="preserve">Preliminary view in </w:t>
      </w:r>
      <w:r w:rsidR="006E05FA">
        <w:t xml:space="preserve">the </w:t>
      </w:r>
      <w:r>
        <w:t>Statement of Issues</w:t>
      </w:r>
    </w:p>
    <w:p w:rsidR="00C242C8" w:rsidRDefault="00B32501" w:rsidP="00C242C8">
      <w:pPr>
        <w:pStyle w:val="NormalParagraph"/>
        <w:tabs>
          <w:tab w:val="clear" w:pos="360"/>
          <w:tab w:val="num" w:pos="567"/>
        </w:tabs>
        <w:ind w:left="567" w:hanging="567"/>
      </w:pPr>
      <w:r>
        <w:t xml:space="preserve">In </w:t>
      </w:r>
      <w:r w:rsidR="006E05FA">
        <w:t xml:space="preserve">the Statement of Issues </w:t>
      </w:r>
      <w:r>
        <w:t>t</w:t>
      </w:r>
      <w:r w:rsidR="00F56D06">
        <w:t>he ACCC expressed the</w:t>
      </w:r>
      <w:r w:rsidR="00C242C8" w:rsidRPr="0042786E">
        <w:t xml:space="preserve"> preliminary view</w:t>
      </w:r>
      <w:r w:rsidR="00C242C8">
        <w:t xml:space="preserve"> </w:t>
      </w:r>
      <w:r w:rsidR="00C242C8" w:rsidRPr="0042786E">
        <w:t>that</w:t>
      </w:r>
      <w:r w:rsidR="00C242C8">
        <w:t>,</w:t>
      </w:r>
      <w:r w:rsidR="00C242C8" w:rsidRPr="0042786E">
        <w:t xml:space="preserve"> without the proposed acquisition, Kleenheat would continue to operate its LPG assets on the east coast independently of Elgas</w:t>
      </w:r>
      <w:r w:rsidR="00C242C8" w:rsidRPr="00CB5C58">
        <w:t xml:space="preserve">. Therefore, </w:t>
      </w:r>
      <w:r w:rsidR="00CB5C58">
        <w:t xml:space="preserve">in the Statement of Issues </w:t>
      </w:r>
      <w:r w:rsidR="00C242C8" w:rsidRPr="00CB5C58">
        <w:t>the</w:t>
      </w:r>
      <w:r w:rsidR="00CB5C58">
        <w:t xml:space="preserve"> ACCC</w:t>
      </w:r>
      <w:r w:rsidR="00C242C8" w:rsidRPr="00CB5C58">
        <w:t xml:space="preserve"> assess</w:t>
      </w:r>
      <w:r w:rsidR="00CB5C58">
        <w:t>ed</w:t>
      </w:r>
      <w:r w:rsidR="00C242C8" w:rsidRPr="00CB5C58">
        <w:t xml:space="preserve"> the competitive effects of the proposed acquisition against a future in which competition remain</w:t>
      </w:r>
      <w:r w:rsidR="00900A84">
        <w:t>ed</w:t>
      </w:r>
      <w:r w:rsidR="00C242C8" w:rsidRPr="00CB5C58">
        <w:t xml:space="preserve"> broadly as it </w:t>
      </w:r>
      <w:r w:rsidR="00900A84">
        <w:t>stood before the proposed acquisition</w:t>
      </w:r>
      <w:r w:rsidR="00FB71D5">
        <w:t>.</w:t>
      </w:r>
    </w:p>
    <w:p w:rsidR="005C447E" w:rsidRDefault="005C447E" w:rsidP="005C447E">
      <w:pPr>
        <w:pStyle w:val="Heading4"/>
      </w:pPr>
      <w:r>
        <w:t xml:space="preserve">ACCC consideration since </w:t>
      </w:r>
      <w:r w:rsidR="006E05FA">
        <w:t xml:space="preserve">the </w:t>
      </w:r>
      <w:r>
        <w:t>Statement of Issues</w:t>
      </w:r>
    </w:p>
    <w:p w:rsidR="005C447E" w:rsidRDefault="00DA57D3" w:rsidP="005C447E">
      <w:pPr>
        <w:pStyle w:val="NormalParagraph"/>
        <w:tabs>
          <w:tab w:val="clear" w:pos="360"/>
          <w:tab w:val="num" w:pos="567"/>
        </w:tabs>
        <w:ind w:left="567" w:hanging="567"/>
      </w:pPr>
      <w:r>
        <w:t xml:space="preserve">After </w:t>
      </w:r>
      <w:r w:rsidR="005C447E">
        <w:t xml:space="preserve">the </w:t>
      </w:r>
      <w:r>
        <w:t xml:space="preserve">release of the </w:t>
      </w:r>
      <w:r w:rsidR="005C447E">
        <w:t xml:space="preserve">Statement of Issues, Kleenheat submitted </w:t>
      </w:r>
      <w:r w:rsidR="00B32501">
        <w:t xml:space="preserve">to the ACCC </w:t>
      </w:r>
      <w:r w:rsidR="005C447E">
        <w:t>that, in the absence of the proposed acquisition, Kleenheat would cease to operate its LPG business on the east coast of Australia.</w:t>
      </w:r>
    </w:p>
    <w:p w:rsidR="005C447E" w:rsidRDefault="00C42A49" w:rsidP="005C447E">
      <w:pPr>
        <w:pStyle w:val="NormalParagraph"/>
        <w:tabs>
          <w:tab w:val="clear" w:pos="360"/>
          <w:tab w:val="num" w:pos="567"/>
        </w:tabs>
        <w:ind w:left="567" w:hanging="567"/>
      </w:pPr>
      <w:r>
        <w:t>T</w:t>
      </w:r>
      <w:r w:rsidR="005C447E">
        <w:t>he ACCC conducted market inquiries and carefully considered information</w:t>
      </w:r>
      <w:r w:rsidR="00C02BD7">
        <w:t xml:space="preserve"> provided by interested parties</w:t>
      </w:r>
      <w:r>
        <w:t xml:space="preserve"> on this</w:t>
      </w:r>
      <w:r w:rsidR="00B32501">
        <w:t xml:space="preserve"> issue</w:t>
      </w:r>
      <w:r w:rsidR="0042307B">
        <w:t xml:space="preserve">. </w:t>
      </w:r>
      <w:r w:rsidR="00B32501">
        <w:t xml:space="preserve">The ACCC </w:t>
      </w:r>
      <w:r w:rsidR="0042307B">
        <w:t>also examined in detail</w:t>
      </w:r>
      <w:r w:rsidR="005C447E">
        <w:t xml:space="preserve"> extensive confidential information </w:t>
      </w:r>
      <w:r w:rsidR="0042307B">
        <w:t xml:space="preserve">provided by the merger parties, </w:t>
      </w:r>
      <w:r w:rsidR="00F27ACC">
        <w:t xml:space="preserve">including </w:t>
      </w:r>
      <w:r w:rsidR="00B32501">
        <w:t xml:space="preserve">financial information and </w:t>
      </w:r>
      <w:r w:rsidR="00F27ACC">
        <w:t xml:space="preserve">internal company documents </w:t>
      </w:r>
      <w:r w:rsidR="00981296">
        <w:t xml:space="preserve">that preceded contemplation of the proposed </w:t>
      </w:r>
      <w:r w:rsidR="00F27ACC">
        <w:t>acquisition.</w:t>
      </w:r>
    </w:p>
    <w:p w:rsidR="00B32501" w:rsidRDefault="0042307B" w:rsidP="000C6D78">
      <w:pPr>
        <w:pStyle w:val="NormalParagraph"/>
        <w:tabs>
          <w:tab w:val="clear" w:pos="360"/>
          <w:tab w:val="num" w:pos="567"/>
        </w:tabs>
        <w:ind w:left="567" w:hanging="567"/>
      </w:pPr>
      <w:r>
        <w:t>Taking account of this information and other materials before</w:t>
      </w:r>
      <w:r w:rsidR="00B32501">
        <w:t xml:space="preserve"> it</w:t>
      </w:r>
      <w:r>
        <w:t>, the ACCC formed the view that Kleenheat</w:t>
      </w:r>
      <w:r w:rsidR="000456CD">
        <w:t>’s LPG business on the east coast</w:t>
      </w:r>
      <w:r>
        <w:t xml:space="preserve"> would be likely to cease trading i</w:t>
      </w:r>
      <w:r w:rsidR="00095D75">
        <w:t xml:space="preserve">f the proposed </w:t>
      </w:r>
      <w:r w:rsidR="00D66DAB">
        <w:t xml:space="preserve">acquisition </w:t>
      </w:r>
      <w:r w:rsidR="00095D75">
        <w:t>did not proceed.</w:t>
      </w:r>
    </w:p>
    <w:p w:rsidR="0044220D" w:rsidRDefault="000456CD" w:rsidP="004425B5">
      <w:pPr>
        <w:pStyle w:val="NormalParagraph"/>
        <w:tabs>
          <w:tab w:val="clear" w:pos="360"/>
          <w:tab w:val="num" w:pos="567"/>
        </w:tabs>
        <w:ind w:left="567" w:hanging="567"/>
      </w:pPr>
      <w:r>
        <w:t>However, even if a business ceases trading it does not necessarily follow that its assets would also exit the relevant markets.</w:t>
      </w:r>
      <w:r w:rsidRPr="00F27ACC">
        <w:t xml:space="preserve"> </w:t>
      </w:r>
      <w:r w:rsidR="00F77851">
        <w:t>In this case, the ACCC considered what would happen to the assets of Kleenheat in the absence of the acquisition.</w:t>
      </w:r>
      <w:r w:rsidR="000C6D78">
        <w:t xml:space="preserve"> </w:t>
      </w:r>
      <w:r w:rsidR="00C42A49">
        <w:t>The</w:t>
      </w:r>
      <w:r w:rsidR="0044220D">
        <w:t xml:space="preserve"> ACCC </w:t>
      </w:r>
      <w:r w:rsidR="00B32501">
        <w:t xml:space="preserve">concluded </w:t>
      </w:r>
      <w:r w:rsidR="0044220D">
        <w:t>that</w:t>
      </w:r>
      <w:r w:rsidR="00C42A49">
        <w:t>,</w:t>
      </w:r>
      <w:r w:rsidR="0044220D">
        <w:t xml:space="preserve"> absent the proposed acquisition</w:t>
      </w:r>
      <w:r w:rsidR="00C42A49">
        <w:t>,</w:t>
      </w:r>
      <w:r w:rsidR="0044220D">
        <w:t xml:space="preserve"> most of </w:t>
      </w:r>
      <w:r w:rsidR="00C42A49">
        <w:t xml:space="preserve">Kleenheat’s east coast LPG assets (such as depots, trucks, storage tanks and cylinders) </w:t>
      </w:r>
      <w:r w:rsidR="0044220D">
        <w:t xml:space="preserve">would </w:t>
      </w:r>
      <w:r w:rsidR="00B32501">
        <w:t xml:space="preserve">be </w:t>
      </w:r>
      <w:r w:rsidR="004C2329">
        <w:t xml:space="preserve">likely </w:t>
      </w:r>
      <w:r w:rsidR="00B32501">
        <w:t xml:space="preserve">to </w:t>
      </w:r>
      <w:r w:rsidR="0044220D">
        <w:t>become available</w:t>
      </w:r>
      <w:r w:rsidR="0007328B">
        <w:t xml:space="preserve"> </w:t>
      </w:r>
      <w:r w:rsidR="00007FB1">
        <w:t>for</w:t>
      </w:r>
      <w:r w:rsidR="00F52DB4">
        <w:t xml:space="preserve"> alternative distributors to </w:t>
      </w:r>
      <w:r w:rsidR="00F77851">
        <w:t>purchase</w:t>
      </w:r>
      <w:r w:rsidR="00A30143">
        <w:t xml:space="preserve"> and </w:t>
      </w:r>
      <w:r w:rsidR="004C2329">
        <w:t xml:space="preserve">use these assets </w:t>
      </w:r>
      <w:r w:rsidR="00F77851">
        <w:t xml:space="preserve">to </w:t>
      </w:r>
      <w:r w:rsidR="00A30143">
        <w:t>compete</w:t>
      </w:r>
      <w:r w:rsidR="00F77851">
        <w:t xml:space="preserve"> </w:t>
      </w:r>
      <w:r w:rsidR="0044220D">
        <w:t>in the relevant markets</w:t>
      </w:r>
      <w:r w:rsidR="00B32501">
        <w:t xml:space="preserve"> and would not </w:t>
      </w:r>
      <w:r w:rsidR="00F27ACC">
        <w:t>exit the industry.</w:t>
      </w:r>
    </w:p>
    <w:p w:rsidR="00BC2CBE" w:rsidRDefault="002D24C0" w:rsidP="00981296">
      <w:pPr>
        <w:pStyle w:val="NormalParagraph"/>
        <w:tabs>
          <w:tab w:val="clear" w:pos="360"/>
          <w:tab w:val="num" w:pos="567"/>
        </w:tabs>
        <w:ind w:left="567" w:hanging="567"/>
      </w:pPr>
      <w:r>
        <w:t xml:space="preserve">The ACCC </w:t>
      </w:r>
      <w:r w:rsidR="000C6D78">
        <w:t xml:space="preserve">also </w:t>
      </w:r>
      <w:r w:rsidR="00B32501">
        <w:t xml:space="preserve">concluded </w:t>
      </w:r>
      <w:r>
        <w:t>tha</w:t>
      </w:r>
      <w:r w:rsidR="00BC2CBE">
        <w:t>t</w:t>
      </w:r>
      <w:r w:rsidR="00887544">
        <w:t xml:space="preserve"> </w:t>
      </w:r>
      <w:r w:rsidR="00B32501">
        <w:t xml:space="preserve">in the likely future without </w:t>
      </w:r>
      <w:r w:rsidR="00887544">
        <w:t>the proposed acquisition,</w:t>
      </w:r>
      <w:r w:rsidR="00BC2CBE">
        <w:t xml:space="preserve"> Kleenheat’s customers would become contestable, thereby providing opportunities for alternative distributors</w:t>
      </w:r>
      <w:r w:rsidR="005C03C9">
        <w:t xml:space="preserve"> to acquire new customers</w:t>
      </w:r>
      <w:r w:rsidR="000C6D78">
        <w:t xml:space="preserve"> and strengthen their competitive position.</w:t>
      </w:r>
    </w:p>
    <w:p w:rsidR="006F0AAB" w:rsidRDefault="00235326" w:rsidP="006F0AAB">
      <w:pPr>
        <w:pStyle w:val="Heading3"/>
      </w:pPr>
      <w:r>
        <w:t>Industry background</w:t>
      </w:r>
    </w:p>
    <w:p w:rsidR="00AF1C87" w:rsidRDefault="00896B15" w:rsidP="00896B15">
      <w:pPr>
        <w:pStyle w:val="Heading4"/>
      </w:pPr>
      <w:r>
        <w:t>LPG overview</w:t>
      </w:r>
    </w:p>
    <w:p w:rsidR="00ED3406" w:rsidRDefault="00ED3406" w:rsidP="00ED3406">
      <w:pPr>
        <w:pStyle w:val="NormalParagraph"/>
        <w:tabs>
          <w:tab w:val="clear" w:pos="360"/>
          <w:tab w:val="num" w:pos="567"/>
        </w:tabs>
        <w:ind w:left="567" w:hanging="567"/>
      </w:pPr>
      <w:r w:rsidRPr="00896B15">
        <w:t>LPG</w:t>
      </w:r>
      <w:r>
        <w:t xml:space="preserve"> is the generic name for mixtures of light hydrocarbon gas, consisting mainly of propane and butane, or propane only. Broadly, the multiple uses of LPG </w:t>
      </w:r>
      <w:r w:rsidR="003478C8">
        <w:t>may</w:t>
      </w:r>
      <w:r>
        <w:t xml:space="preserve"> be characterised into two main streams:</w:t>
      </w:r>
    </w:p>
    <w:p w:rsidR="00ED3406" w:rsidRPr="006F0AAB" w:rsidRDefault="00ED3406" w:rsidP="00ED3406">
      <w:pPr>
        <w:pStyle w:val="ListParagraph"/>
        <w:numPr>
          <w:ilvl w:val="0"/>
          <w:numId w:val="6"/>
        </w:numPr>
      </w:pPr>
      <w:r w:rsidRPr="006F0AAB">
        <w:t>automotive, often referred to in the industry as ‘autogas’</w:t>
      </w:r>
    </w:p>
    <w:p w:rsidR="00ED3406" w:rsidRPr="006F0AAB" w:rsidRDefault="00ED3406" w:rsidP="00ED3406">
      <w:pPr>
        <w:pStyle w:val="ListParagraph"/>
        <w:numPr>
          <w:ilvl w:val="0"/>
          <w:numId w:val="6"/>
        </w:numPr>
      </w:pPr>
      <w:r w:rsidRPr="006F0AAB">
        <w:t>non-automotive, often referred to in the industry as ‘traditional’ LPG.</w:t>
      </w:r>
    </w:p>
    <w:p w:rsidR="002E6E5B" w:rsidRDefault="00ED3406" w:rsidP="00ED3406">
      <w:pPr>
        <w:pStyle w:val="NormalParagraph"/>
        <w:tabs>
          <w:tab w:val="clear" w:pos="360"/>
          <w:tab w:val="num" w:pos="567"/>
        </w:tabs>
        <w:ind w:left="567" w:hanging="567"/>
      </w:pPr>
      <w:r>
        <w:t xml:space="preserve">LPG has a variety of different end uses, including </w:t>
      </w:r>
      <w:r w:rsidR="00A46F9E">
        <w:t>automotive</w:t>
      </w:r>
      <w:r w:rsidR="002E6E5B">
        <w:t xml:space="preserve"> (e.g. motor vehicles)</w:t>
      </w:r>
      <w:r w:rsidR="00A46F9E">
        <w:t xml:space="preserve">, </w:t>
      </w:r>
      <w:r>
        <w:t xml:space="preserve">domestic </w:t>
      </w:r>
      <w:r w:rsidR="002E6E5B">
        <w:t>(e.g. heating</w:t>
      </w:r>
      <w:r>
        <w:t>), leisure (e.g. barbeque</w:t>
      </w:r>
      <w:r w:rsidR="00EF653B">
        <w:t>s</w:t>
      </w:r>
      <w:r w:rsidR="00007FB1">
        <w:t xml:space="preserve">), </w:t>
      </w:r>
      <w:r w:rsidR="002E6E5B">
        <w:t>comme</w:t>
      </w:r>
      <w:r w:rsidR="00007FB1">
        <w:t>rcial (e.g. cooking) and industrial.</w:t>
      </w:r>
    </w:p>
    <w:p w:rsidR="001F3E78" w:rsidRPr="00BE038C" w:rsidRDefault="001F3E78" w:rsidP="001F3E78">
      <w:pPr>
        <w:pStyle w:val="NormalParagraph"/>
        <w:tabs>
          <w:tab w:val="clear" w:pos="360"/>
          <w:tab w:val="num" w:pos="567"/>
        </w:tabs>
        <w:ind w:left="567" w:hanging="567"/>
      </w:pPr>
      <w:r w:rsidRPr="00BE038C">
        <w:t xml:space="preserve">LPG businesses differ in how they organise their supply chains and the terminology they use. There are many different levels in the supply chains </w:t>
      </w:r>
      <w:r w:rsidR="00007FB1">
        <w:t>of</w:t>
      </w:r>
      <w:r w:rsidRPr="00BE038C">
        <w:t xml:space="preserve"> LPG, and the business models vary in the way that customers are serviced. Although the definitions are not always precise, for the purposes of the ACCC’s competition assessment:</w:t>
      </w:r>
    </w:p>
    <w:p w:rsidR="001F3E78" w:rsidRPr="00BE038C" w:rsidRDefault="001F3E78" w:rsidP="001F3E78">
      <w:pPr>
        <w:pStyle w:val="ListParagraph"/>
        <w:numPr>
          <w:ilvl w:val="0"/>
          <w:numId w:val="6"/>
        </w:numPr>
      </w:pPr>
      <w:r w:rsidRPr="00BE038C">
        <w:rPr>
          <w:b/>
        </w:rPr>
        <w:t>Wholesale</w:t>
      </w:r>
      <w:r w:rsidRPr="00BE038C">
        <w:t xml:space="preserve"> is the supply of LPG from a production or import facility. This may include LPG from oil refineries or gas production facilities where LPG is produced as a by-product.</w:t>
      </w:r>
    </w:p>
    <w:p w:rsidR="001F3E78" w:rsidRPr="00BE038C" w:rsidRDefault="001F3E78" w:rsidP="001F3E78">
      <w:pPr>
        <w:pStyle w:val="ListParagraph"/>
        <w:numPr>
          <w:ilvl w:val="0"/>
          <w:numId w:val="6"/>
        </w:numPr>
      </w:pPr>
      <w:r w:rsidRPr="00BE038C">
        <w:rPr>
          <w:b/>
        </w:rPr>
        <w:t>Distributors</w:t>
      </w:r>
      <w:r w:rsidRPr="00BE038C">
        <w:t xml:space="preserve"> of LPG purchase LPG from wholesalers or resellers and transport the product to a depot where it is: </w:t>
      </w:r>
    </w:p>
    <w:p w:rsidR="001F3E78" w:rsidRPr="00BE038C" w:rsidRDefault="00411E32" w:rsidP="001F3E78">
      <w:pPr>
        <w:pStyle w:val="ListParagraph"/>
        <w:numPr>
          <w:ilvl w:val="1"/>
          <w:numId w:val="6"/>
        </w:numPr>
      </w:pPr>
      <w:r>
        <w:t>s</w:t>
      </w:r>
      <w:r w:rsidR="002C6BFB">
        <w:t>tored</w:t>
      </w:r>
      <w:r>
        <w:t xml:space="preserve"> and </w:t>
      </w:r>
      <w:r w:rsidR="001F3E78" w:rsidRPr="00BE038C">
        <w:t>decanted to fill LPG cylinders</w:t>
      </w:r>
      <w:r w:rsidR="002C6BFB">
        <w:t xml:space="preserve"> and then supplied to customers in pre-filled cylinders</w:t>
      </w:r>
    </w:p>
    <w:p w:rsidR="001F3E78" w:rsidRPr="00BE038C" w:rsidRDefault="001F3E78" w:rsidP="001F3E78">
      <w:pPr>
        <w:pStyle w:val="ListParagraph"/>
        <w:numPr>
          <w:ilvl w:val="1"/>
          <w:numId w:val="6"/>
        </w:numPr>
      </w:pPr>
      <w:r w:rsidRPr="00BE038C">
        <w:t>stored and supplied to customers in bulk.</w:t>
      </w:r>
    </w:p>
    <w:p w:rsidR="001F3E78" w:rsidRPr="00BE038C" w:rsidRDefault="00007FB1" w:rsidP="00007FB1">
      <w:pPr>
        <w:pStyle w:val="ListParagraph"/>
        <w:ind w:left="1276"/>
      </w:pPr>
      <w:r>
        <w:t>D</w:t>
      </w:r>
      <w:r w:rsidR="002C6BFB">
        <w:t xml:space="preserve">istributors may </w:t>
      </w:r>
      <w:r>
        <w:t xml:space="preserve">also </w:t>
      </w:r>
      <w:r w:rsidR="002C6BFB">
        <w:t xml:space="preserve">supply </w:t>
      </w:r>
      <w:r w:rsidR="001F3E78" w:rsidRPr="00BE038C">
        <w:t>customers direct</w:t>
      </w:r>
      <w:r w:rsidR="00560DC6">
        <w:t xml:space="preserve">ly </w:t>
      </w:r>
      <w:r w:rsidR="001F3E78" w:rsidRPr="00BE038C">
        <w:t xml:space="preserve">from a wholesale </w:t>
      </w:r>
      <w:r>
        <w:t xml:space="preserve">supply point rather than via an LPG depot, dealer or agent, especially large bulk customers. </w:t>
      </w:r>
    </w:p>
    <w:p w:rsidR="001F3E78" w:rsidRPr="00DF646F" w:rsidRDefault="00007FB1" w:rsidP="001F3E78">
      <w:pPr>
        <w:pStyle w:val="ListParagraph"/>
        <w:numPr>
          <w:ilvl w:val="0"/>
          <w:numId w:val="6"/>
        </w:numPr>
        <w:rPr>
          <w:b/>
        </w:rPr>
      </w:pPr>
      <w:r>
        <w:rPr>
          <w:b/>
        </w:rPr>
        <w:t>Dealers</w:t>
      </w:r>
      <w:r w:rsidR="001F3E78" w:rsidRPr="00BE038C">
        <w:rPr>
          <w:b/>
        </w:rPr>
        <w:t xml:space="preserve"> </w:t>
      </w:r>
      <w:r w:rsidR="001F3E78" w:rsidRPr="00BE038C">
        <w:t xml:space="preserve">(e.g. hardware stores, rural retail outlets) and </w:t>
      </w:r>
      <w:r w:rsidR="001F3E78" w:rsidRPr="00BE038C">
        <w:rPr>
          <w:b/>
        </w:rPr>
        <w:t>agents</w:t>
      </w:r>
      <w:r w:rsidR="001F3E78" w:rsidRPr="00BE038C">
        <w:t xml:space="preserve"> act as intermediaries between distributors and end customers. Distributors such as Elgas, Kleenheat and Origin often engage dealers or agents to reach end customers in outer regional areas, located at a distance from the distributor’s depot</w:t>
      </w:r>
      <w:r w:rsidR="00522916">
        <w:t xml:space="preserve"> or supply point</w:t>
      </w:r>
      <w:r w:rsidR="001F3E78" w:rsidRPr="00BE038C">
        <w:t>.</w:t>
      </w:r>
    </w:p>
    <w:p w:rsidR="00DF646F" w:rsidRPr="000C22EF" w:rsidRDefault="00DF646F" w:rsidP="00DF646F">
      <w:pPr>
        <w:pStyle w:val="ListParagraph"/>
        <w:numPr>
          <w:ilvl w:val="0"/>
          <w:numId w:val="6"/>
        </w:numPr>
        <w:rPr>
          <w:b/>
        </w:rPr>
      </w:pPr>
      <w:r>
        <w:rPr>
          <w:b/>
        </w:rPr>
        <w:t>Leisure cylinder retailers</w:t>
      </w:r>
      <w:r>
        <w:t xml:space="preserve"> supply leisure cylinders to end customers. These cylinders are swap cylinders such as those used for barbeques. Examples of leisure retailers are Bunnings, Masters Home Improvement, Woolworths Petrol, Coles Express, BP and Caltex.</w:t>
      </w:r>
    </w:p>
    <w:p w:rsidR="00BE038C" w:rsidRPr="00BE038C" w:rsidRDefault="00512B21" w:rsidP="00BE038C">
      <w:pPr>
        <w:pStyle w:val="NormalParagraph"/>
        <w:tabs>
          <w:tab w:val="clear" w:pos="360"/>
          <w:tab w:val="num" w:pos="567"/>
        </w:tabs>
        <w:ind w:left="567" w:hanging="567"/>
      </w:pPr>
      <w:r>
        <w:fldChar w:fldCharType="begin"/>
      </w:r>
      <w:r>
        <w:instrText xml:space="preserve"> REF _Ref413078197 \h </w:instrText>
      </w:r>
      <w:r>
        <w:fldChar w:fldCharType="separate"/>
      </w:r>
      <w:r w:rsidR="004A01FB" w:rsidRPr="00741374">
        <w:rPr>
          <w:rFonts w:cs="Arial"/>
        </w:rPr>
        <w:t xml:space="preserve">Figure </w:t>
      </w:r>
      <w:r w:rsidR="004A01FB">
        <w:rPr>
          <w:rFonts w:cs="Arial"/>
          <w:noProof/>
        </w:rPr>
        <w:t>1</w:t>
      </w:r>
      <w:r>
        <w:fldChar w:fldCharType="end"/>
      </w:r>
      <w:r w:rsidR="00DE01E6">
        <w:t xml:space="preserve"> </w:t>
      </w:r>
      <w:r w:rsidR="002D2361">
        <w:t>below i</w:t>
      </w:r>
      <w:r w:rsidR="00BE038C">
        <w:t xml:space="preserve">llustrates </w:t>
      </w:r>
      <w:r>
        <w:t xml:space="preserve">a typical </w:t>
      </w:r>
      <w:r w:rsidR="00BE038C">
        <w:t>LPG supply chain for non-automotive LPG.</w:t>
      </w:r>
      <w:r>
        <w:t xml:space="preserve"> There may be variations depending on factors such as a c</w:t>
      </w:r>
      <w:r w:rsidR="00095D75">
        <w:t>ustomer’s proximity to a depot.</w:t>
      </w:r>
    </w:p>
    <w:p w:rsidR="00512B21" w:rsidRPr="00741374" w:rsidRDefault="00512B21" w:rsidP="00512B21">
      <w:pPr>
        <w:pStyle w:val="Caption"/>
        <w:keepNext/>
        <w:rPr>
          <w:rFonts w:ascii="Arial" w:hAnsi="Arial" w:cs="Arial"/>
          <w:sz w:val="22"/>
        </w:rPr>
      </w:pPr>
      <w:bookmarkStart w:id="8" w:name="_Ref413078197"/>
      <w:r w:rsidRPr="00741374">
        <w:rPr>
          <w:rFonts w:ascii="Arial" w:hAnsi="Arial" w:cs="Arial"/>
          <w:sz w:val="22"/>
        </w:rPr>
        <w:t xml:space="preserve">Figure </w:t>
      </w:r>
      <w:r w:rsidRPr="00741374">
        <w:rPr>
          <w:rFonts w:ascii="Arial" w:hAnsi="Arial" w:cs="Arial"/>
          <w:sz w:val="22"/>
        </w:rPr>
        <w:fldChar w:fldCharType="begin"/>
      </w:r>
      <w:r w:rsidRPr="00741374">
        <w:rPr>
          <w:rFonts w:ascii="Arial" w:hAnsi="Arial" w:cs="Arial"/>
          <w:sz w:val="22"/>
        </w:rPr>
        <w:instrText xml:space="preserve"> SEQ Figure \* ARABIC </w:instrText>
      </w:r>
      <w:r w:rsidRPr="00741374">
        <w:rPr>
          <w:rFonts w:ascii="Arial" w:hAnsi="Arial" w:cs="Arial"/>
          <w:sz w:val="22"/>
        </w:rPr>
        <w:fldChar w:fldCharType="separate"/>
      </w:r>
      <w:r w:rsidR="004A01FB">
        <w:rPr>
          <w:rFonts w:ascii="Arial" w:hAnsi="Arial" w:cs="Arial"/>
          <w:noProof/>
          <w:sz w:val="22"/>
        </w:rPr>
        <w:t>1</w:t>
      </w:r>
      <w:r w:rsidRPr="00741374">
        <w:rPr>
          <w:rFonts w:ascii="Arial" w:hAnsi="Arial" w:cs="Arial"/>
          <w:sz w:val="22"/>
        </w:rPr>
        <w:fldChar w:fldCharType="end"/>
      </w:r>
      <w:bookmarkEnd w:id="8"/>
      <w:r w:rsidRPr="00741374">
        <w:rPr>
          <w:rFonts w:ascii="Arial" w:hAnsi="Arial" w:cs="Arial"/>
          <w:sz w:val="22"/>
        </w:rPr>
        <w:t>: Typical supply chain for non-automotive LPG</w:t>
      </w:r>
    </w:p>
    <w:p w:rsidR="00560DC6" w:rsidRDefault="004A01FB" w:rsidP="002D2361">
      <w:pPr>
        <w:pStyle w:val="NormalParagraph"/>
        <w:numPr>
          <w:ilvl w:val="0"/>
          <w:numId w:val="0"/>
        </w:numPr>
        <w:rPr>
          <w:noProof/>
        </w:rPr>
      </w:pPr>
      <w:r>
        <w:rPr>
          <w:noProof/>
        </w:rPr>
        <w:pict>
          <v:shape id="_x0000_i1026" type="#_x0000_t75" style="width:468pt;height:258pt;visibility:visible;mso-wrap-style:square">
            <v:imagedata r:id="rId10" o:title=""/>
          </v:shape>
        </w:pict>
      </w:r>
    </w:p>
    <w:p w:rsidR="00896B15" w:rsidRDefault="00896B15" w:rsidP="00896B15">
      <w:pPr>
        <w:pStyle w:val="Heading4"/>
      </w:pPr>
      <w:r>
        <w:t>Production and importation of LPG</w:t>
      </w:r>
    </w:p>
    <w:p w:rsidR="00C8791C" w:rsidRPr="00C8791C" w:rsidRDefault="009A5B67" w:rsidP="00265D15">
      <w:pPr>
        <w:pStyle w:val="Heading5"/>
      </w:pPr>
      <w:r>
        <w:t>Production</w:t>
      </w:r>
    </w:p>
    <w:p w:rsidR="002E6E5B" w:rsidRDefault="002E6E5B" w:rsidP="002E6E5B">
      <w:pPr>
        <w:pStyle w:val="NormalParagraph"/>
        <w:tabs>
          <w:tab w:val="clear" w:pos="360"/>
          <w:tab w:val="num" w:pos="567"/>
        </w:tabs>
        <w:ind w:left="567" w:hanging="567"/>
      </w:pPr>
      <w:bookmarkStart w:id="9" w:name="_Ref396979040"/>
      <w:r>
        <w:t>LPG is produced:</w:t>
      </w:r>
      <w:bookmarkEnd w:id="9"/>
    </w:p>
    <w:p w:rsidR="00DE01E6" w:rsidRDefault="002E6E5B" w:rsidP="00DE01E6">
      <w:pPr>
        <w:pStyle w:val="ListParagraph"/>
        <w:numPr>
          <w:ilvl w:val="0"/>
          <w:numId w:val="6"/>
        </w:numPr>
      </w:pPr>
      <w:r>
        <w:t xml:space="preserve">directly </w:t>
      </w:r>
      <w:r w:rsidR="008B68BB">
        <w:t xml:space="preserve">by refining </w:t>
      </w:r>
      <w:r w:rsidR="00DE01E6">
        <w:t>crude oil and natural gas</w:t>
      </w:r>
      <w:r w:rsidR="008B68BB">
        <w:t xml:space="preserve"> during</w:t>
      </w:r>
      <w:r w:rsidR="00DE01E6">
        <w:t xml:space="preserve"> </w:t>
      </w:r>
      <w:r w:rsidR="00095D75">
        <w:t>processing</w:t>
      </w:r>
    </w:p>
    <w:p w:rsidR="002E6E5B" w:rsidRDefault="002E6E5B" w:rsidP="00DE01E6">
      <w:pPr>
        <w:pStyle w:val="ListParagraph"/>
        <w:numPr>
          <w:ilvl w:val="0"/>
          <w:numId w:val="6"/>
        </w:numPr>
      </w:pPr>
      <w:r>
        <w:t>as a by-product of refining crude oil.</w:t>
      </w:r>
    </w:p>
    <w:p w:rsidR="000B4ED6" w:rsidRDefault="00674D63" w:rsidP="002E6E5B">
      <w:pPr>
        <w:pStyle w:val="NormalParagraph"/>
        <w:tabs>
          <w:tab w:val="clear" w:pos="360"/>
          <w:tab w:val="num" w:pos="567"/>
        </w:tabs>
        <w:ind w:left="567" w:hanging="567"/>
      </w:pPr>
      <w:r>
        <w:t>N</w:t>
      </w:r>
      <w:r w:rsidR="002E6E5B">
        <w:t xml:space="preserve">atural gas processing plants </w:t>
      </w:r>
      <w:r w:rsidR="008A213B">
        <w:t>and</w:t>
      </w:r>
      <w:r w:rsidR="002E6E5B">
        <w:t xml:space="preserve"> </w:t>
      </w:r>
      <w:r>
        <w:t xml:space="preserve">crude </w:t>
      </w:r>
      <w:r w:rsidR="002E6E5B">
        <w:t xml:space="preserve">oil refineries </w:t>
      </w:r>
      <w:r w:rsidR="000B4ED6">
        <w:t xml:space="preserve">supply LPG </w:t>
      </w:r>
      <w:r w:rsidR="0094119B">
        <w:t xml:space="preserve">on a wholesale basis </w:t>
      </w:r>
      <w:r w:rsidR="000B4ED6">
        <w:t xml:space="preserve">to large customers such </w:t>
      </w:r>
      <w:r w:rsidR="00095D75">
        <w:t>as Origin, Elgas and Kleenheat.</w:t>
      </w:r>
    </w:p>
    <w:p w:rsidR="00272E23" w:rsidRDefault="00DA0D41" w:rsidP="00DA0D41">
      <w:pPr>
        <w:pStyle w:val="NormalParagraph"/>
        <w:tabs>
          <w:tab w:val="clear" w:pos="360"/>
          <w:tab w:val="num" w:pos="567"/>
        </w:tabs>
        <w:ind w:left="567" w:hanging="567"/>
      </w:pPr>
      <w:r>
        <w:t>Crude oil refineries</w:t>
      </w:r>
      <w:r w:rsidR="00B4340F">
        <w:t xml:space="preserve"> </w:t>
      </w:r>
      <w:r>
        <w:t>that produce</w:t>
      </w:r>
      <w:r w:rsidR="00272E23">
        <w:t xml:space="preserve"> LPG on the east coast </w:t>
      </w:r>
      <w:r>
        <w:t xml:space="preserve">as a by-product of their </w:t>
      </w:r>
      <w:r w:rsidR="00560DC6">
        <w:t>main</w:t>
      </w:r>
      <w:r>
        <w:t xml:space="preserve"> activity </w:t>
      </w:r>
      <w:r w:rsidR="00272E23">
        <w:t>include:</w:t>
      </w:r>
    </w:p>
    <w:p w:rsidR="00272E23" w:rsidRDefault="00B4340F" w:rsidP="00272E23">
      <w:pPr>
        <w:pStyle w:val="ListParagraph"/>
        <w:numPr>
          <w:ilvl w:val="0"/>
          <w:numId w:val="6"/>
        </w:numPr>
      </w:pPr>
      <w:r>
        <w:t xml:space="preserve">BP </w:t>
      </w:r>
      <w:r w:rsidR="00272E23">
        <w:t>at its refinery on Bulwer Island in Brisbane, Queensland</w:t>
      </w:r>
      <w:r>
        <w:t xml:space="preserve"> (BP </w:t>
      </w:r>
      <w:r w:rsidR="00D17F29">
        <w:t xml:space="preserve">closed </w:t>
      </w:r>
      <w:r>
        <w:t>this r</w:t>
      </w:r>
      <w:r w:rsidR="00DA0D41">
        <w:t>efinery</w:t>
      </w:r>
      <w:r w:rsidR="00D17F29">
        <w:t xml:space="preserve"> in 2015</w:t>
      </w:r>
      <w:r w:rsidR="00DA0D41">
        <w:t>)</w:t>
      </w:r>
    </w:p>
    <w:p w:rsidR="00272E23" w:rsidRDefault="00B4340F" w:rsidP="00272E23">
      <w:pPr>
        <w:pStyle w:val="ListParagraph"/>
        <w:numPr>
          <w:ilvl w:val="0"/>
          <w:numId w:val="6"/>
        </w:numPr>
      </w:pPr>
      <w:r>
        <w:t xml:space="preserve">Vitol </w:t>
      </w:r>
      <w:r w:rsidR="00272E23">
        <w:t>at it</w:t>
      </w:r>
      <w:r>
        <w:t>s refinery in Geelong, Victoria</w:t>
      </w:r>
    </w:p>
    <w:p w:rsidR="00272E23" w:rsidRDefault="00B4340F" w:rsidP="00272E23">
      <w:pPr>
        <w:pStyle w:val="ListParagraph"/>
        <w:numPr>
          <w:ilvl w:val="0"/>
          <w:numId w:val="6"/>
        </w:numPr>
      </w:pPr>
      <w:r>
        <w:t xml:space="preserve">Mobil </w:t>
      </w:r>
      <w:r w:rsidR="00272E23">
        <w:t>at i</w:t>
      </w:r>
      <w:r>
        <w:t>ts refinery in Altona, Victoria</w:t>
      </w:r>
    </w:p>
    <w:p w:rsidR="00272E23" w:rsidRDefault="00272E23" w:rsidP="00272E23">
      <w:pPr>
        <w:pStyle w:val="ListParagraph"/>
        <w:numPr>
          <w:ilvl w:val="0"/>
          <w:numId w:val="6"/>
        </w:numPr>
      </w:pPr>
      <w:r>
        <w:t>Calte</w:t>
      </w:r>
      <w:r w:rsidR="00B4340F">
        <w:t xml:space="preserve">x at its refinery </w:t>
      </w:r>
      <w:r w:rsidR="00095D75">
        <w:t>in</w:t>
      </w:r>
      <w:r>
        <w:t xml:space="preserve"> Lytton, </w:t>
      </w:r>
      <w:r w:rsidR="00B4340F">
        <w:t>Queensland</w:t>
      </w:r>
      <w:r>
        <w:t>.</w:t>
      </w:r>
    </w:p>
    <w:p w:rsidR="00A058CB" w:rsidRDefault="00A058CB" w:rsidP="00A058CB">
      <w:pPr>
        <w:pStyle w:val="NormalParagraph"/>
        <w:tabs>
          <w:tab w:val="clear" w:pos="360"/>
          <w:tab w:val="num" w:pos="567"/>
        </w:tabs>
        <w:ind w:left="567" w:hanging="567"/>
      </w:pPr>
      <w:r>
        <w:t>Producers of LPG as a by-product typically favour contracts with large downstream LPG distributors which are able to commit to regular offtake. This is to reduce the risk of interrupting their main activity due to LPG overflow.</w:t>
      </w:r>
    </w:p>
    <w:p w:rsidR="002E6E5B" w:rsidRDefault="00B4340F" w:rsidP="00B4340F">
      <w:pPr>
        <w:pStyle w:val="NormalParagraph"/>
        <w:tabs>
          <w:tab w:val="clear" w:pos="360"/>
          <w:tab w:val="num" w:pos="567"/>
        </w:tabs>
        <w:ind w:left="567" w:hanging="567"/>
      </w:pPr>
      <w:r>
        <w:t>There are also m</w:t>
      </w:r>
      <w:r w:rsidR="002E6E5B">
        <w:t xml:space="preserve">ajor companies involved in </w:t>
      </w:r>
      <w:r w:rsidR="00887544">
        <w:t xml:space="preserve">extracting </w:t>
      </w:r>
      <w:r w:rsidR="002E6E5B">
        <w:t xml:space="preserve">LPG from gas fields on the east coast of Australia </w:t>
      </w:r>
      <w:r>
        <w:t xml:space="preserve">such as </w:t>
      </w:r>
      <w:r w:rsidR="002E6E5B">
        <w:t xml:space="preserve">the </w:t>
      </w:r>
      <w:r w:rsidR="00272E23">
        <w:t xml:space="preserve">Otway Gas Project – </w:t>
      </w:r>
      <w:r w:rsidR="002E6E5B">
        <w:t>a joint venture between</w:t>
      </w:r>
      <w:r>
        <w:t xml:space="preserve"> Origin, Benaris and CalEnergy. T</w:t>
      </w:r>
      <w:r w:rsidR="00DA0D41">
        <w:t>his</w:t>
      </w:r>
      <w:r w:rsidR="002E6E5B">
        <w:t xml:space="preserve"> gas processing plant is loc</w:t>
      </w:r>
      <w:r>
        <w:t>ated in Port Campbell, Victoria.</w:t>
      </w:r>
    </w:p>
    <w:p w:rsidR="00560DC6" w:rsidRDefault="00560DC6" w:rsidP="00560DC6">
      <w:pPr>
        <w:pStyle w:val="NormalParagraph"/>
        <w:tabs>
          <w:tab w:val="clear" w:pos="360"/>
          <w:tab w:val="num" w:pos="567"/>
        </w:tabs>
        <w:ind w:left="567" w:hanging="567"/>
      </w:pPr>
      <w:r>
        <w:t>Some LPG producers are vertically integrated</w:t>
      </w:r>
      <w:r w:rsidR="009B7713">
        <w:t>: they use</w:t>
      </w:r>
      <w:r>
        <w:t xml:space="preserve"> LPG in their own operations</w:t>
      </w:r>
      <w:r w:rsidR="009B7713">
        <w:t>, and also sell it to their competitors in downstream markets</w:t>
      </w:r>
      <w:r>
        <w:t>. For instance, Kleenheat owns an LPG extraction plant in Kwinana, Western Australia</w:t>
      </w:r>
      <w:r w:rsidR="009B7713">
        <w:t>. It uses the LPG in its downstream distribution business, but also sells wholesale LPG from the Kwinana plant to other distributors.</w:t>
      </w:r>
    </w:p>
    <w:p w:rsidR="009A5B67" w:rsidRDefault="009A5B67" w:rsidP="00265D15">
      <w:pPr>
        <w:pStyle w:val="Heading5"/>
      </w:pPr>
      <w:r>
        <w:t>Imports</w:t>
      </w:r>
    </w:p>
    <w:p w:rsidR="009A5B67" w:rsidRDefault="009A5B67" w:rsidP="0060608E">
      <w:pPr>
        <w:pStyle w:val="NormalParagraph"/>
        <w:tabs>
          <w:tab w:val="clear" w:pos="360"/>
          <w:tab w:val="num" w:pos="567"/>
        </w:tabs>
        <w:ind w:left="567" w:hanging="567"/>
      </w:pPr>
      <w:r>
        <w:t xml:space="preserve">LPG is </w:t>
      </w:r>
      <w:r w:rsidR="00411E32">
        <w:t xml:space="preserve">also </w:t>
      </w:r>
      <w:r>
        <w:t>imported (mostly from the Middle East) in shipments and stored at an import terminal. Elgas owns and operates the ‘C</w:t>
      </w:r>
      <w:r w:rsidR="00DA0D41">
        <w:t xml:space="preserve">avern’, located at Port Botany in </w:t>
      </w:r>
      <w:r>
        <w:t xml:space="preserve">New South Wales. </w:t>
      </w:r>
      <w:r w:rsidR="00512B21">
        <w:t xml:space="preserve">The Cavern </w:t>
      </w:r>
      <w:r>
        <w:t>is the largest LPG import storage terminal on the east coast</w:t>
      </w:r>
      <w:r w:rsidR="00512B21">
        <w:t xml:space="preserve"> and</w:t>
      </w:r>
      <w:r>
        <w:t xml:space="preserve"> is capable of receiving large volumes of LPG from large gas ships.</w:t>
      </w:r>
    </w:p>
    <w:p w:rsidR="002E6E5B" w:rsidRDefault="009A5B67" w:rsidP="00896B15">
      <w:pPr>
        <w:pStyle w:val="NormalParagraph"/>
        <w:tabs>
          <w:tab w:val="clear" w:pos="360"/>
          <w:tab w:val="num" w:pos="567"/>
        </w:tabs>
        <w:ind w:left="567" w:hanging="567"/>
      </w:pPr>
      <w:r>
        <w:t>Origin also operates a smaller import storage facility at Port Botany, and ships LPG from various sources to smaller seaboard terminals along the Queensland coast, the Northern Territory and Tasmania.</w:t>
      </w:r>
    </w:p>
    <w:p w:rsidR="00896B15" w:rsidRDefault="00896B15" w:rsidP="00896B15">
      <w:pPr>
        <w:pStyle w:val="Heading4"/>
      </w:pPr>
      <w:r>
        <w:t>Distribution of LPG</w:t>
      </w:r>
    </w:p>
    <w:p w:rsidR="00BE038C" w:rsidRDefault="00BE038C" w:rsidP="00AA1AD9">
      <w:pPr>
        <w:pStyle w:val="NormalParagraph"/>
        <w:tabs>
          <w:tab w:val="clear" w:pos="360"/>
          <w:tab w:val="num" w:pos="567"/>
        </w:tabs>
        <w:ind w:left="567" w:hanging="567"/>
      </w:pPr>
      <w:bookmarkStart w:id="10" w:name="_Ref416345519"/>
      <w:r>
        <w:t xml:space="preserve">The </w:t>
      </w:r>
      <w:r w:rsidR="00754879">
        <w:t xml:space="preserve">three </w:t>
      </w:r>
      <w:r>
        <w:t xml:space="preserve">largest distributors of LPG on the east coast are Elgas, Kleenheat and Origin. </w:t>
      </w:r>
      <w:r w:rsidR="00754879">
        <w:t xml:space="preserve">Elgas and Origin are the only vertically integrated </w:t>
      </w:r>
      <w:r w:rsidR="002A1F13">
        <w:t xml:space="preserve">non-automotive </w:t>
      </w:r>
      <w:r w:rsidR="00AA1AD9">
        <w:t xml:space="preserve">LPG </w:t>
      </w:r>
      <w:r w:rsidR="00C132B8">
        <w:t xml:space="preserve">distributors </w:t>
      </w:r>
      <w:r w:rsidR="00AA1AD9">
        <w:t>on the east coast</w:t>
      </w:r>
      <w:r w:rsidR="006F787B">
        <w:t>. They both have</w:t>
      </w:r>
      <w:r w:rsidR="00AA1AD9">
        <w:t xml:space="preserve"> LPG import terminals and </w:t>
      </w:r>
      <w:r w:rsidR="00DA0D41">
        <w:t>extensive downstream LPG distribution networks</w:t>
      </w:r>
      <w:r w:rsidR="00754879">
        <w:t xml:space="preserve">. </w:t>
      </w:r>
      <w:r>
        <w:t xml:space="preserve">Elgas and Origin </w:t>
      </w:r>
      <w:r w:rsidR="00754879">
        <w:t>act as</w:t>
      </w:r>
      <w:r>
        <w:t xml:space="preserve"> wholesalers to other distributors and each other</w:t>
      </w:r>
      <w:r w:rsidR="00754879">
        <w:t xml:space="preserve">. </w:t>
      </w:r>
      <w:r>
        <w:t xml:space="preserve">Kleenheat </w:t>
      </w:r>
      <w:r w:rsidR="00DA0D41">
        <w:t xml:space="preserve">itself </w:t>
      </w:r>
      <w:r>
        <w:t>does not have any imp</w:t>
      </w:r>
      <w:r w:rsidR="00754879">
        <w:t>o</w:t>
      </w:r>
      <w:r w:rsidR="00FE72F6">
        <w:t xml:space="preserve">rt terminals </w:t>
      </w:r>
      <w:r w:rsidR="00FA12C6">
        <w:t xml:space="preserve">or production facilities </w:t>
      </w:r>
      <w:r w:rsidR="00FE72F6">
        <w:t>on the east coast.</w:t>
      </w:r>
      <w:bookmarkEnd w:id="10"/>
    </w:p>
    <w:p w:rsidR="00CC0474" w:rsidRDefault="000977EB" w:rsidP="00265D15">
      <w:pPr>
        <w:pStyle w:val="Heading5"/>
      </w:pPr>
      <w:r>
        <w:t>B</w:t>
      </w:r>
      <w:r w:rsidR="00CC0474">
        <w:t xml:space="preserve">ulk and </w:t>
      </w:r>
      <w:r w:rsidR="0060608E">
        <w:t>cylinder distribution</w:t>
      </w:r>
    </w:p>
    <w:p w:rsidR="00A26DF6" w:rsidRDefault="00A26DF6" w:rsidP="00A26DF6">
      <w:pPr>
        <w:pStyle w:val="NormalParagraph"/>
        <w:tabs>
          <w:tab w:val="clear" w:pos="360"/>
          <w:tab w:val="num" w:pos="567"/>
        </w:tabs>
        <w:ind w:left="567" w:hanging="567"/>
      </w:pPr>
      <w:r>
        <w:t xml:space="preserve">Within non-automotive LPG, the two main methods of </w:t>
      </w:r>
      <w:r w:rsidR="00AF25E4">
        <w:t xml:space="preserve">distribution </w:t>
      </w:r>
      <w:r>
        <w:t>are:</w:t>
      </w:r>
    </w:p>
    <w:p w:rsidR="00A26DF6" w:rsidRPr="00A26DF6" w:rsidRDefault="00A26DF6" w:rsidP="00A26DF6">
      <w:pPr>
        <w:pStyle w:val="ListParagraph"/>
        <w:numPr>
          <w:ilvl w:val="0"/>
          <w:numId w:val="6"/>
        </w:numPr>
      </w:pPr>
      <w:r w:rsidRPr="00A26DF6">
        <w:t>bulk supply –</w:t>
      </w:r>
      <w:r w:rsidR="009A2F57">
        <w:t xml:space="preserve"> </w:t>
      </w:r>
      <w:r w:rsidRPr="00A26DF6">
        <w:t xml:space="preserve">LPG </w:t>
      </w:r>
      <w:r w:rsidR="00CD195A">
        <w:t xml:space="preserve">supply </w:t>
      </w:r>
      <w:r w:rsidRPr="00A26DF6">
        <w:t>via trucks which refill tanks installed permanently at the customer</w:t>
      </w:r>
      <w:r w:rsidR="00411E32">
        <w:t>’s</w:t>
      </w:r>
      <w:r w:rsidRPr="00A26DF6">
        <w:t xml:space="preserve"> premises</w:t>
      </w:r>
    </w:p>
    <w:p w:rsidR="00A26DF6" w:rsidRDefault="00A26DF6" w:rsidP="00A26DF6">
      <w:pPr>
        <w:pStyle w:val="ListParagraph"/>
        <w:numPr>
          <w:ilvl w:val="0"/>
          <w:numId w:val="6"/>
        </w:numPr>
      </w:pPr>
      <w:r w:rsidRPr="00A26DF6">
        <w:t>cylinder supply –</w:t>
      </w:r>
      <w:r w:rsidR="009A2F57">
        <w:t xml:space="preserve"> </w:t>
      </w:r>
      <w:r>
        <w:t xml:space="preserve">LPG </w:t>
      </w:r>
      <w:r w:rsidR="00CD195A">
        <w:t xml:space="preserve">supply </w:t>
      </w:r>
      <w:r>
        <w:t>to customers in pre-filled cylinders.</w:t>
      </w:r>
    </w:p>
    <w:p w:rsidR="00571D07" w:rsidRDefault="00571D07" w:rsidP="00571D07">
      <w:pPr>
        <w:pStyle w:val="NormalParagraph"/>
        <w:tabs>
          <w:tab w:val="clear" w:pos="360"/>
          <w:tab w:val="num" w:pos="567"/>
        </w:tabs>
        <w:ind w:left="567" w:hanging="567"/>
      </w:pPr>
      <w:r>
        <w:t xml:space="preserve">Bulk LPG is distributed to small, medium and large commercial and industrial customers. Residential customers may also receive LPG in bulk form. </w:t>
      </w:r>
      <w:r w:rsidR="00CD195A">
        <w:t xml:space="preserve">Customers use </w:t>
      </w:r>
      <w:r>
        <w:t xml:space="preserve">a variety of </w:t>
      </w:r>
      <w:r w:rsidR="00AA1AD9">
        <w:t xml:space="preserve">bulk tank sizes to store LPG. Depending on the customer, bulk tanks </w:t>
      </w:r>
      <w:r w:rsidR="009F26AA">
        <w:t>vary</w:t>
      </w:r>
      <w:r w:rsidR="00AA1AD9">
        <w:t xml:space="preserve"> in size</w:t>
      </w:r>
      <w:r w:rsidR="00CD195A">
        <w:t>,</w:t>
      </w:r>
      <w:r>
        <w:t xml:space="preserve"> from </w:t>
      </w:r>
      <w:r w:rsidRPr="006A31C7">
        <w:t>210</w:t>
      </w:r>
      <w:r w:rsidR="00F53038" w:rsidRPr="006A31C7">
        <w:t xml:space="preserve"> </w:t>
      </w:r>
      <w:r w:rsidRPr="006A31C7">
        <w:t xml:space="preserve">kg </w:t>
      </w:r>
      <w:r w:rsidR="00AA1AD9">
        <w:t xml:space="preserve">up </w:t>
      </w:r>
      <w:r w:rsidRPr="006A31C7">
        <w:t xml:space="preserve">to </w:t>
      </w:r>
      <w:r w:rsidR="00AA1AD9">
        <w:t>100</w:t>
      </w:r>
      <w:r w:rsidRPr="006A31C7">
        <w:t xml:space="preserve"> tonne</w:t>
      </w:r>
      <w:r w:rsidR="008A213B">
        <w:t>s</w:t>
      </w:r>
      <w:r w:rsidR="00095D75">
        <w:t>.</w:t>
      </w:r>
    </w:p>
    <w:p w:rsidR="00CC0474" w:rsidRDefault="00571D07" w:rsidP="00CC0474">
      <w:pPr>
        <w:pStyle w:val="NormalParagraph"/>
        <w:tabs>
          <w:tab w:val="clear" w:pos="360"/>
          <w:tab w:val="num" w:pos="567"/>
        </w:tabs>
        <w:ind w:left="567" w:hanging="567"/>
      </w:pPr>
      <w:r>
        <w:t xml:space="preserve">Bulk </w:t>
      </w:r>
      <w:r w:rsidR="00CC0474">
        <w:t>LPG may be delivered directly from a wholesale supply source to end customers, without passing through depots, dealers or agents.</w:t>
      </w:r>
      <w:r w:rsidR="00CD195A">
        <w:t xml:space="preserve"> This is especially the case for large bulk customers</w:t>
      </w:r>
      <w:r w:rsidR="00302339">
        <w:t xml:space="preserve"> and some </w:t>
      </w:r>
      <w:r w:rsidR="001360D1">
        <w:t xml:space="preserve">other </w:t>
      </w:r>
      <w:r w:rsidR="00302339">
        <w:t xml:space="preserve">customers located en route </w:t>
      </w:r>
      <w:r w:rsidR="001360D1">
        <w:t>to a depot (or other delivery point) being supplied by truck from a wholesale source</w:t>
      </w:r>
      <w:r w:rsidR="00CD195A">
        <w:t>.</w:t>
      </w:r>
      <w:r w:rsidR="003478C8">
        <w:t xml:space="preserve"> Bulk customers requiring smaller quantities are often served via depots</w:t>
      </w:r>
      <w:r w:rsidR="00AA1AD9">
        <w:t>, dealers or agents.</w:t>
      </w:r>
    </w:p>
    <w:p w:rsidR="00571D07" w:rsidRDefault="00571D07" w:rsidP="00571D07">
      <w:pPr>
        <w:pStyle w:val="NormalParagraph"/>
        <w:tabs>
          <w:tab w:val="clear" w:pos="360"/>
          <w:tab w:val="num" w:pos="567"/>
        </w:tabs>
        <w:ind w:left="567" w:hanging="567"/>
      </w:pPr>
      <w:r>
        <w:t xml:space="preserve">Cylinder LPG is typically supplied in pre-filled </w:t>
      </w:r>
      <w:r w:rsidR="00AA1AD9">
        <w:t>cylinders on an exchange basis</w:t>
      </w:r>
      <w:r>
        <w:t xml:space="preserve">. </w:t>
      </w:r>
      <w:r w:rsidR="00AA1AD9">
        <w:t>Cylinders are</w:t>
      </w:r>
      <w:r>
        <w:t xml:space="preserve"> supplied in different sizes, including (approximate):</w:t>
      </w:r>
    </w:p>
    <w:p w:rsidR="00571D07" w:rsidRDefault="00571D07" w:rsidP="00571D07">
      <w:pPr>
        <w:pStyle w:val="ListParagraph"/>
        <w:numPr>
          <w:ilvl w:val="0"/>
          <w:numId w:val="6"/>
        </w:numPr>
      </w:pPr>
      <w:r>
        <w:t>9</w:t>
      </w:r>
      <w:r w:rsidR="009B60C0">
        <w:t xml:space="preserve"> </w:t>
      </w:r>
      <w:r>
        <w:t xml:space="preserve">kg cylinders (e.g. for </w:t>
      </w:r>
      <w:r w:rsidR="00AA1AD9">
        <w:t xml:space="preserve">residential customers and </w:t>
      </w:r>
      <w:r>
        <w:t xml:space="preserve">leisure </w:t>
      </w:r>
      <w:r w:rsidR="00AA1AD9">
        <w:t>retailers</w:t>
      </w:r>
      <w:r>
        <w:t>)</w:t>
      </w:r>
    </w:p>
    <w:p w:rsidR="00571D07" w:rsidRDefault="00571D07" w:rsidP="00571D07">
      <w:pPr>
        <w:pStyle w:val="ListParagraph"/>
        <w:numPr>
          <w:ilvl w:val="0"/>
          <w:numId w:val="6"/>
        </w:numPr>
      </w:pPr>
      <w:r>
        <w:t>15</w:t>
      </w:r>
      <w:r w:rsidR="009B60C0">
        <w:t xml:space="preserve"> </w:t>
      </w:r>
      <w:r>
        <w:t>kg cylinders (e.g. for forklift cylinder customers)</w:t>
      </w:r>
    </w:p>
    <w:p w:rsidR="00571D07" w:rsidRDefault="00571D07" w:rsidP="00571D07">
      <w:pPr>
        <w:pStyle w:val="ListParagraph"/>
        <w:numPr>
          <w:ilvl w:val="0"/>
          <w:numId w:val="6"/>
        </w:numPr>
      </w:pPr>
      <w:r>
        <w:t>45</w:t>
      </w:r>
      <w:r w:rsidR="009B60C0">
        <w:t xml:space="preserve"> </w:t>
      </w:r>
      <w:r>
        <w:t>kg cylinders (e.g for residential customers and commercial/industrial customers).</w:t>
      </w:r>
    </w:p>
    <w:p w:rsidR="003478C8" w:rsidRDefault="003478C8" w:rsidP="003478C8">
      <w:pPr>
        <w:pStyle w:val="NormalParagraph"/>
        <w:tabs>
          <w:tab w:val="clear" w:pos="360"/>
          <w:tab w:val="num" w:pos="567"/>
        </w:tabs>
        <w:ind w:left="567" w:hanging="567"/>
      </w:pPr>
      <w:r>
        <w:t xml:space="preserve">LPG cylinders are re-filled at depots </w:t>
      </w:r>
      <w:r w:rsidR="00674D63">
        <w:t xml:space="preserve">and </w:t>
      </w:r>
      <w:r>
        <w:t xml:space="preserve">then transported by flatbed truck or utility vehicle </w:t>
      </w:r>
      <w:r w:rsidR="00272AA5">
        <w:t xml:space="preserve">from a depot (or other distribution point such as a staging yard) </w:t>
      </w:r>
      <w:r>
        <w:t xml:space="preserve">to end customers, dealers or agents. </w:t>
      </w:r>
    </w:p>
    <w:p w:rsidR="00CC0474" w:rsidRDefault="00CC0474" w:rsidP="00265D15">
      <w:pPr>
        <w:pStyle w:val="Heading5"/>
      </w:pPr>
      <w:r>
        <w:t>Depots</w:t>
      </w:r>
    </w:p>
    <w:p w:rsidR="00272AA5" w:rsidRDefault="000977EB" w:rsidP="00272AA5">
      <w:pPr>
        <w:pStyle w:val="NormalParagraph"/>
        <w:tabs>
          <w:tab w:val="clear" w:pos="360"/>
          <w:tab w:val="num" w:pos="567"/>
        </w:tabs>
        <w:ind w:left="567" w:hanging="567"/>
      </w:pPr>
      <w:r>
        <w:t xml:space="preserve">LPG is transported </w:t>
      </w:r>
      <w:r w:rsidR="003478C8">
        <w:t xml:space="preserve">within Australia </w:t>
      </w:r>
      <w:r>
        <w:t xml:space="preserve">by road and supported by a network of depot and distribution infrastructure. </w:t>
      </w:r>
      <w:r w:rsidR="00CC0474">
        <w:t xml:space="preserve">Depots </w:t>
      </w:r>
      <w:r w:rsidR="00AA1AD9">
        <w:t xml:space="preserve">often </w:t>
      </w:r>
      <w:r w:rsidR="00CC0474">
        <w:t xml:space="preserve">comprise LPG bulk </w:t>
      </w:r>
      <w:r w:rsidR="00272AA5">
        <w:t>storage tanks</w:t>
      </w:r>
      <w:r w:rsidR="00D17FAC">
        <w:t>,</w:t>
      </w:r>
      <w:r w:rsidR="00272AA5">
        <w:t xml:space="preserve"> </w:t>
      </w:r>
      <w:r w:rsidR="00CC0474">
        <w:t>LPG cylinder</w:t>
      </w:r>
      <w:r w:rsidR="00272AA5">
        <w:t xml:space="preserve"> filling, testing and </w:t>
      </w:r>
      <w:r w:rsidR="00AA1AD9">
        <w:t xml:space="preserve">refurbishing equipment, </w:t>
      </w:r>
      <w:r w:rsidR="00FC7EC6">
        <w:t xml:space="preserve">delivery trucks </w:t>
      </w:r>
      <w:r w:rsidR="00AA1AD9">
        <w:t xml:space="preserve">and an office </w:t>
      </w:r>
      <w:r w:rsidR="00D17FAC">
        <w:t xml:space="preserve">(sometimes with a </w:t>
      </w:r>
      <w:r w:rsidR="00FC7EC6">
        <w:t>retail</w:t>
      </w:r>
      <w:r w:rsidR="00D17FAC">
        <w:t xml:space="preserve"> presence)</w:t>
      </w:r>
      <w:r w:rsidR="00FC7EC6">
        <w:t>.</w:t>
      </w:r>
    </w:p>
    <w:p w:rsidR="00CC0474" w:rsidRDefault="00CD195A" w:rsidP="00272AA5">
      <w:pPr>
        <w:pStyle w:val="NormalParagraph"/>
        <w:tabs>
          <w:tab w:val="clear" w:pos="360"/>
          <w:tab w:val="num" w:pos="567"/>
        </w:tabs>
        <w:ind w:left="567" w:hanging="567"/>
      </w:pPr>
      <w:r>
        <w:t>D</w:t>
      </w:r>
      <w:r w:rsidR="00D17FAC">
        <w:t xml:space="preserve">epots </w:t>
      </w:r>
      <w:r>
        <w:t xml:space="preserve">are generally located in industrial areas and </w:t>
      </w:r>
      <w:r w:rsidR="00272AA5">
        <w:t>are equipped</w:t>
      </w:r>
      <w:r w:rsidR="00CC0474">
        <w:t xml:space="preserve"> to provide both bulk and cylinder services (although some smaller distributors only supply cylinder services).</w:t>
      </w:r>
    </w:p>
    <w:p w:rsidR="00CC0474" w:rsidRDefault="00CC0474" w:rsidP="00265D15">
      <w:pPr>
        <w:pStyle w:val="Heading5"/>
      </w:pPr>
      <w:r>
        <w:t>Dealers and agents</w:t>
      </w:r>
    </w:p>
    <w:p w:rsidR="00754879" w:rsidRDefault="00754879" w:rsidP="00754879">
      <w:pPr>
        <w:pStyle w:val="NormalParagraph"/>
        <w:tabs>
          <w:tab w:val="clear" w:pos="360"/>
          <w:tab w:val="num" w:pos="567"/>
        </w:tabs>
        <w:ind w:left="567" w:hanging="567"/>
      </w:pPr>
      <w:r>
        <w:t>Dealers (e.g. hardware stores</w:t>
      </w:r>
      <w:r w:rsidR="00F73825">
        <w:t xml:space="preserve"> and</w:t>
      </w:r>
      <w:r>
        <w:t xml:space="preserve"> rural retail outlets) and agents act as intermediaries between distributors and end customers. Distributors such as Kleenheat and Elgas typically engage dealers or agents to reach end customers in outer regional areas</w:t>
      </w:r>
      <w:r w:rsidR="009F0848">
        <w:t xml:space="preserve"> </w:t>
      </w:r>
      <w:r>
        <w:t>located a</w:t>
      </w:r>
      <w:r w:rsidR="009F0848">
        <w:t xml:space="preserve"> large</w:t>
      </w:r>
      <w:r>
        <w:t xml:space="preserve"> distance from the distributor’s depot.</w:t>
      </w:r>
      <w:r w:rsidR="00CC0474" w:rsidRPr="00CC0474">
        <w:t xml:space="preserve"> </w:t>
      </w:r>
      <w:r w:rsidR="009F0848">
        <w:t>E</w:t>
      </w:r>
      <w:r w:rsidR="00C529E3">
        <w:t xml:space="preserve">nd </w:t>
      </w:r>
      <w:r w:rsidR="00CC0474">
        <w:t>customers in outer regional areas are</w:t>
      </w:r>
      <w:r w:rsidR="009F0848">
        <w:t xml:space="preserve"> therefore</w:t>
      </w:r>
      <w:r w:rsidR="00CC0474">
        <w:t xml:space="preserve"> often served by a dealer (e.g. their local hardware store), rather than </w:t>
      </w:r>
      <w:r w:rsidR="00FC7EC6">
        <w:t xml:space="preserve">direct </w:t>
      </w:r>
      <w:r w:rsidR="00C529E3">
        <w:t xml:space="preserve">by </w:t>
      </w:r>
      <w:r w:rsidR="00CC0474">
        <w:t>a distributor.</w:t>
      </w:r>
    </w:p>
    <w:p w:rsidR="00C529E3" w:rsidRDefault="00C529E3" w:rsidP="00C529E3">
      <w:pPr>
        <w:pStyle w:val="NormalParagraph"/>
        <w:tabs>
          <w:tab w:val="clear" w:pos="360"/>
          <w:tab w:val="num" w:pos="567"/>
        </w:tabs>
        <w:ind w:left="567" w:hanging="567"/>
      </w:pPr>
      <w:r>
        <w:t xml:space="preserve">The business models for dealers and agents are </w:t>
      </w:r>
      <w:r w:rsidR="00FC7EC6">
        <w:t xml:space="preserve">generally </w:t>
      </w:r>
      <w:r>
        <w:t>different:</w:t>
      </w:r>
    </w:p>
    <w:p w:rsidR="00C529E3" w:rsidRDefault="00C529E3" w:rsidP="00C529E3">
      <w:pPr>
        <w:pStyle w:val="ListParagraph"/>
        <w:numPr>
          <w:ilvl w:val="0"/>
          <w:numId w:val="6"/>
        </w:numPr>
      </w:pPr>
      <w:r>
        <w:t xml:space="preserve">Under an agent model, the distributor sets the </w:t>
      </w:r>
      <w:r w:rsidR="00F53038">
        <w:t xml:space="preserve">retail </w:t>
      </w:r>
      <w:r>
        <w:t xml:space="preserve">price of LPG, and the agent receives a commission for their delivery </w:t>
      </w:r>
      <w:r w:rsidR="00F53038">
        <w:t xml:space="preserve">and other </w:t>
      </w:r>
      <w:r>
        <w:t>services</w:t>
      </w:r>
      <w:r w:rsidR="00095D75">
        <w:t>.</w:t>
      </w:r>
    </w:p>
    <w:p w:rsidR="00C529E3" w:rsidRDefault="00C529E3" w:rsidP="00C529E3">
      <w:pPr>
        <w:pStyle w:val="ListParagraph"/>
        <w:numPr>
          <w:ilvl w:val="0"/>
          <w:numId w:val="6"/>
        </w:numPr>
      </w:pPr>
      <w:r>
        <w:t>Under a dealer model, the distributor sells the dealer a quantity of LPG, and the dealer sets its own retail price for customers (the dealer is a customer of the distributor).</w:t>
      </w:r>
    </w:p>
    <w:p w:rsidR="00896B15" w:rsidRPr="00736E1F" w:rsidRDefault="000977EB" w:rsidP="00265D15">
      <w:pPr>
        <w:pStyle w:val="Heading5"/>
      </w:pPr>
      <w:r w:rsidRPr="00736E1F">
        <w:t>C</w:t>
      </w:r>
      <w:r w:rsidR="00BE038C" w:rsidRPr="00736E1F">
        <w:t>ustomers</w:t>
      </w:r>
    </w:p>
    <w:p w:rsidR="00272AA5" w:rsidRPr="00736E1F" w:rsidRDefault="00272AA5" w:rsidP="00EA1EB3">
      <w:pPr>
        <w:pStyle w:val="NormalParagraph"/>
        <w:tabs>
          <w:tab w:val="clear" w:pos="360"/>
          <w:tab w:val="num" w:pos="567"/>
        </w:tabs>
        <w:ind w:left="567" w:hanging="567"/>
      </w:pPr>
      <w:r w:rsidRPr="00736E1F">
        <w:t xml:space="preserve">The LPG </w:t>
      </w:r>
      <w:r w:rsidR="00EA1EB3" w:rsidRPr="00736E1F">
        <w:t xml:space="preserve">network </w:t>
      </w:r>
      <w:r w:rsidRPr="00736E1F">
        <w:t>described above is developed around the multiple uses of LPG and to meet the needs of different customers.</w:t>
      </w:r>
      <w:r w:rsidR="00736E1F">
        <w:t xml:space="preserve"> These customers include:</w:t>
      </w:r>
    </w:p>
    <w:p w:rsidR="00736E1F" w:rsidRPr="00736E1F" w:rsidRDefault="00736E1F" w:rsidP="00736E1F">
      <w:pPr>
        <w:pStyle w:val="ListParagraph"/>
        <w:numPr>
          <w:ilvl w:val="0"/>
          <w:numId w:val="6"/>
        </w:numPr>
      </w:pPr>
      <w:r w:rsidRPr="00736E1F">
        <w:t>large bulk customers (e.g. industrial)</w:t>
      </w:r>
    </w:p>
    <w:p w:rsidR="00736E1F" w:rsidRPr="00736E1F" w:rsidRDefault="00736E1F" w:rsidP="00736E1F">
      <w:pPr>
        <w:pStyle w:val="ListParagraph"/>
        <w:numPr>
          <w:ilvl w:val="0"/>
          <w:numId w:val="6"/>
        </w:numPr>
      </w:pPr>
      <w:r w:rsidRPr="00736E1F">
        <w:t>medium bulk customers (e.g. commercial)</w:t>
      </w:r>
    </w:p>
    <w:p w:rsidR="00736E1F" w:rsidRPr="00736E1F" w:rsidRDefault="00736E1F" w:rsidP="00736E1F">
      <w:pPr>
        <w:pStyle w:val="ListParagraph"/>
        <w:numPr>
          <w:ilvl w:val="0"/>
          <w:numId w:val="6"/>
        </w:numPr>
      </w:pPr>
      <w:r w:rsidRPr="00736E1F">
        <w:t>small bulk customers (e.g. restaurants and some residential)</w:t>
      </w:r>
    </w:p>
    <w:p w:rsidR="00736E1F" w:rsidRDefault="00736E1F" w:rsidP="00736E1F">
      <w:pPr>
        <w:pStyle w:val="ListParagraph"/>
        <w:numPr>
          <w:ilvl w:val="0"/>
          <w:numId w:val="6"/>
        </w:numPr>
      </w:pPr>
      <w:r w:rsidRPr="00736E1F">
        <w:t>leisure retailers (e.g. retailers that sell pre-filled barbeque cylinders)</w:t>
      </w:r>
    </w:p>
    <w:p w:rsidR="0033232E" w:rsidRPr="00736E1F" w:rsidRDefault="0033232E" w:rsidP="00736E1F">
      <w:pPr>
        <w:pStyle w:val="ListParagraph"/>
        <w:numPr>
          <w:ilvl w:val="0"/>
          <w:numId w:val="6"/>
        </w:numPr>
      </w:pPr>
      <w:r>
        <w:t xml:space="preserve">national customers (e.g. customers </w:t>
      </w:r>
      <w:r w:rsidR="00FC7EC6">
        <w:t xml:space="preserve">such as leisure retailers </w:t>
      </w:r>
      <w:r>
        <w:t>that have a presence in more than one state and are served by a single LPG distributor)</w:t>
      </w:r>
    </w:p>
    <w:p w:rsidR="00736E1F" w:rsidRDefault="00736E1F" w:rsidP="00736E1F">
      <w:pPr>
        <w:pStyle w:val="ListParagraph"/>
        <w:numPr>
          <w:ilvl w:val="0"/>
          <w:numId w:val="6"/>
        </w:numPr>
      </w:pPr>
      <w:r w:rsidRPr="00736E1F">
        <w:t xml:space="preserve">residential (e.g. </w:t>
      </w:r>
      <w:r w:rsidR="002328B6">
        <w:t xml:space="preserve">residential customers that use LPG for </w:t>
      </w:r>
      <w:r w:rsidRPr="00736E1F">
        <w:t>heating)</w:t>
      </w:r>
      <w:r>
        <w:t>.</w:t>
      </w:r>
    </w:p>
    <w:p w:rsidR="00AF1C87" w:rsidRDefault="00AF1C87" w:rsidP="00235326">
      <w:pPr>
        <w:pStyle w:val="Heading3"/>
      </w:pPr>
      <w:r>
        <w:t>Market definition</w:t>
      </w:r>
    </w:p>
    <w:p w:rsidR="00AF1C87" w:rsidRDefault="00AF1C87" w:rsidP="00873704">
      <w:pPr>
        <w:pStyle w:val="NormalParagraph"/>
        <w:tabs>
          <w:tab w:val="clear" w:pos="360"/>
          <w:tab w:val="num" w:pos="567"/>
        </w:tabs>
        <w:ind w:left="567" w:hanging="567"/>
      </w:pPr>
      <w:bookmarkStart w:id="11" w:name="_Ref437252495"/>
      <w:r>
        <w:t xml:space="preserve">The ACCC </w:t>
      </w:r>
      <w:r w:rsidR="00235326">
        <w:t xml:space="preserve">assessed the </w:t>
      </w:r>
      <w:r w:rsidR="00F53038">
        <w:t>competitive effects</w:t>
      </w:r>
      <w:r w:rsidR="00235326">
        <w:t xml:space="preserve"> of the proposed acquisition in the context of the following markets:</w:t>
      </w:r>
      <w:bookmarkEnd w:id="11"/>
    </w:p>
    <w:p w:rsidR="00235326" w:rsidRDefault="00235326" w:rsidP="000F5DAC">
      <w:pPr>
        <w:pStyle w:val="ListParagraph"/>
        <w:numPr>
          <w:ilvl w:val="0"/>
          <w:numId w:val="6"/>
        </w:numPr>
      </w:pPr>
      <w:r>
        <w:t>State and regional markets for the distribution of non-automotive LPG in bulk</w:t>
      </w:r>
      <w:r w:rsidR="00F53038">
        <w:t>.</w:t>
      </w:r>
    </w:p>
    <w:p w:rsidR="00235326" w:rsidRDefault="00235326" w:rsidP="000F5DAC">
      <w:pPr>
        <w:pStyle w:val="ListParagraph"/>
        <w:numPr>
          <w:ilvl w:val="0"/>
          <w:numId w:val="6"/>
        </w:numPr>
      </w:pPr>
      <w:r>
        <w:t>State and regional markets for the distribution of non-automotive LPG in cylinder</w:t>
      </w:r>
      <w:r w:rsidR="00994632">
        <w:t>s</w:t>
      </w:r>
      <w:r w:rsidR="00F53038">
        <w:t>.</w:t>
      </w:r>
    </w:p>
    <w:p w:rsidR="00235326" w:rsidRDefault="00235326" w:rsidP="000F5DAC">
      <w:pPr>
        <w:pStyle w:val="ListParagraph"/>
        <w:numPr>
          <w:ilvl w:val="0"/>
          <w:numId w:val="6"/>
        </w:numPr>
      </w:pPr>
      <w:r>
        <w:t>State markets for the wholesale supply of LPG</w:t>
      </w:r>
      <w:r w:rsidR="00F53038">
        <w:t>.</w:t>
      </w:r>
    </w:p>
    <w:p w:rsidR="00235326" w:rsidRDefault="00235326" w:rsidP="000F5DAC">
      <w:pPr>
        <w:pStyle w:val="ListParagraph"/>
        <w:numPr>
          <w:ilvl w:val="0"/>
          <w:numId w:val="6"/>
        </w:numPr>
      </w:pPr>
      <w:r>
        <w:t>Markets for the supply of automotive LPG.</w:t>
      </w:r>
    </w:p>
    <w:p w:rsidR="00235326" w:rsidRDefault="00F53038" w:rsidP="006E4E89">
      <w:pPr>
        <w:pStyle w:val="Heading4"/>
      </w:pPr>
      <w:r>
        <w:t>Markets for the distribution of non-automotive LPG</w:t>
      </w:r>
    </w:p>
    <w:p w:rsidR="00D435AC" w:rsidRPr="00D435AC" w:rsidRDefault="00D435AC" w:rsidP="00D435AC">
      <w:pPr>
        <w:pStyle w:val="NormalParagraph"/>
        <w:tabs>
          <w:tab w:val="clear" w:pos="360"/>
          <w:tab w:val="num" w:pos="567"/>
        </w:tabs>
        <w:ind w:left="567" w:hanging="567"/>
        <w:rPr>
          <w:rFonts w:cs="Arial"/>
        </w:rPr>
      </w:pPr>
      <w:r>
        <w:rPr>
          <w:rFonts w:cs="Arial"/>
        </w:rPr>
        <w:t>As noted earlier, t</w:t>
      </w:r>
      <w:r w:rsidRPr="00926400">
        <w:rPr>
          <w:rFonts w:cs="Arial"/>
        </w:rPr>
        <w:t>he merger parties primarily overlap in the distribution of bulk and cylinder non-automotive LPG.</w:t>
      </w:r>
    </w:p>
    <w:p w:rsidR="00235326" w:rsidRPr="00E970B7" w:rsidRDefault="00235326" w:rsidP="00265D15">
      <w:pPr>
        <w:pStyle w:val="Heading5"/>
      </w:pPr>
      <w:r>
        <w:t>Product dimension</w:t>
      </w:r>
    </w:p>
    <w:p w:rsidR="00D435AC" w:rsidRPr="00B41420" w:rsidRDefault="00B61D46" w:rsidP="00D435AC">
      <w:pPr>
        <w:pStyle w:val="NormalParagraph"/>
        <w:tabs>
          <w:tab w:val="clear" w:pos="360"/>
          <w:tab w:val="num" w:pos="567"/>
        </w:tabs>
        <w:ind w:left="567" w:hanging="567"/>
        <w:rPr>
          <w:rFonts w:cs="Arial"/>
        </w:rPr>
      </w:pPr>
      <w:r w:rsidRPr="00D435AC">
        <w:rPr>
          <w:rFonts w:cs="Arial"/>
        </w:rPr>
        <w:t>The ACCC</w:t>
      </w:r>
      <w:r w:rsidR="00235326" w:rsidRPr="00D435AC">
        <w:rPr>
          <w:rFonts w:cs="Arial"/>
        </w:rPr>
        <w:t xml:space="preserve"> consider</w:t>
      </w:r>
      <w:r w:rsidR="00FE7EA4" w:rsidRPr="00D435AC">
        <w:rPr>
          <w:rFonts w:cs="Arial"/>
        </w:rPr>
        <w:t xml:space="preserve">ed whether </w:t>
      </w:r>
      <w:r w:rsidR="00235326" w:rsidRPr="00D435AC">
        <w:rPr>
          <w:rFonts w:cs="Arial"/>
        </w:rPr>
        <w:t xml:space="preserve">the distribution of bulk and cylinder </w:t>
      </w:r>
      <w:r w:rsidR="00FE7EA4" w:rsidRPr="00D435AC">
        <w:rPr>
          <w:rFonts w:cs="Arial"/>
        </w:rPr>
        <w:t>non-automotive LPG</w:t>
      </w:r>
      <w:r w:rsidR="00B41420">
        <w:rPr>
          <w:rFonts w:cs="Arial"/>
        </w:rPr>
        <w:t xml:space="preserve"> form</w:t>
      </w:r>
      <w:r w:rsidR="00FC7EC6">
        <w:rPr>
          <w:rFonts w:cs="Arial"/>
        </w:rPr>
        <w:t>ed</w:t>
      </w:r>
      <w:r w:rsidR="00235326" w:rsidRPr="00D435AC">
        <w:rPr>
          <w:rFonts w:cs="Arial"/>
        </w:rPr>
        <w:t xml:space="preserve"> </w:t>
      </w:r>
      <w:r w:rsidR="00FE7EA4" w:rsidRPr="00D435AC">
        <w:rPr>
          <w:rFonts w:cs="Arial"/>
        </w:rPr>
        <w:t xml:space="preserve">a single or </w:t>
      </w:r>
      <w:r w:rsidR="00A54DA9">
        <w:rPr>
          <w:rFonts w:cs="Arial"/>
        </w:rPr>
        <w:t xml:space="preserve">two </w:t>
      </w:r>
      <w:r w:rsidR="00FE7EA4" w:rsidRPr="00D435AC">
        <w:rPr>
          <w:rFonts w:cs="Arial"/>
        </w:rPr>
        <w:t>separate markets</w:t>
      </w:r>
      <w:r w:rsidRPr="00D435AC">
        <w:rPr>
          <w:rFonts w:cs="Arial"/>
        </w:rPr>
        <w:t xml:space="preserve">, but </w:t>
      </w:r>
      <w:r w:rsidR="008B68BB">
        <w:rPr>
          <w:rFonts w:cs="Arial"/>
        </w:rPr>
        <w:t xml:space="preserve">as </w:t>
      </w:r>
      <w:r w:rsidRPr="00D435AC">
        <w:rPr>
          <w:rFonts w:cs="Arial"/>
        </w:rPr>
        <w:t xml:space="preserve">this issue </w:t>
      </w:r>
      <w:r w:rsidR="002A1085">
        <w:rPr>
          <w:rFonts w:cs="Arial"/>
        </w:rPr>
        <w:t>was not</w:t>
      </w:r>
      <w:r w:rsidRPr="00D435AC">
        <w:rPr>
          <w:rFonts w:cs="Arial"/>
        </w:rPr>
        <w:t xml:space="preserve"> </w:t>
      </w:r>
      <w:r w:rsidR="00235326" w:rsidRPr="00D435AC">
        <w:rPr>
          <w:rFonts w:cs="Arial"/>
        </w:rPr>
        <w:t xml:space="preserve">determinative in this </w:t>
      </w:r>
      <w:r w:rsidR="0002428B" w:rsidRPr="00D435AC">
        <w:rPr>
          <w:rFonts w:cs="Arial"/>
        </w:rPr>
        <w:t>review</w:t>
      </w:r>
      <w:r w:rsidR="008B68BB">
        <w:rPr>
          <w:rFonts w:cs="Arial"/>
        </w:rPr>
        <w:t xml:space="preserve">, the ACCC did not form a concluded view and therefore assessed the </w:t>
      </w:r>
      <w:r w:rsidR="00A30143">
        <w:rPr>
          <w:rFonts w:cs="Arial"/>
        </w:rPr>
        <w:t xml:space="preserve">proposed </w:t>
      </w:r>
      <w:r w:rsidR="008B68BB">
        <w:rPr>
          <w:rFonts w:cs="Arial"/>
        </w:rPr>
        <w:t>acquisition based on separate markets</w:t>
      </w:r>
      <w:r w:rsidR="00235326" w:rsidRPr="00D435AC">
        <w:rPr>
          <w:rFonts w:cs="Arial"/>
        </w:rPr>
        <w:t xml:space="preserve">. </w:t>
      </w:r>
      <w:r w:rsidR="00A54DA9">
        <w:rPr>
          <w:rFonts w:cs="Arial"/>
        </w:rPr>
        <w:t xml:space="preserve">The ACCC considered there were </w:t>
      </w:r>
      <w:r w:rsidR="00235326" w:rsidRPr="00D435AC">
        <w:rPr>
          <w:rFonts w:cs="Arial"/>
        </w:rPr>
        <w:t>many overlapping competition issues between the two forms of distribution</w:t>
      </w:r>
      <w:r w:rsidR="00A54DA9">
        <w:rPr>
          <w:rFonts w:cs="Arial"/>
        </w:rPr>
        <w:t>.</w:t>
      </w:r>
    </w:p>
    <w:p w:rsidR="00B41420" w:rsidRDefault="006E05FA" w:rsidP="00932B79">
      <w:pPr>
        <w:pStyle w:val="NormalParagraph"/>
        <w:tabs>
          <w:tab w:val="clear" w:pos="360"/>
          <w:tab w:val="num" w:pos="567"/>
        </w:tabs>
        <w:ind w:left="567" w:hanging="567"/>
      </w:pPr>
      <w:r>
        <w:t>In the Statement of Issues</w:t>
      </w:r>
      <w:r w:rsidR="00B41420">
        <w:t xml:space="preserve"> the ACCC expressed the preliminary view that there was likely to be a separate market for the distribution of non-automotive LPG to large national customers. </w:t>
      </w:r>
      <w:r w:rsidR="00BA3913">
        <w:t xml:space="preserve">However, </w:t>
      </w:r>
      <w:r w:rsidR="00B41420">
        <w:t xml:space="preserve">market inquiries since the Statement of Issues indicated that </w:t>
      </w:r>
      <w:r w:rsidR="00CF66CD">
        <w:t xml:space="preserve">defining a separate market may not be appropriate. Some national customers expressed a view that they could disaggregate their contract into separate components for each state if faced with a price rise for national services. </w:t>
      </w:r>
      <w:r w:rsidR="00B41420">
        <w:t xml:space="preserve">For the purposes of the competition assessment, </w:t>
      </w:r>
      <w:r>
        <w:t>the ACCC</w:t>
      </w:r>
      <w:r w:rsidR="00B41420">
        <w:t xml:space="preserve"> </w:t>
      </w:r>
      <w:r w:rsidR="00CF66CD">
        <w:t xml:space="preserve">did not consider it critical to form a concluded view on whether a separate national market existed. The competition analysis below considers </w:t>
      </w:r>
      <w:r w:rsidR="00B41420">
        <w:t xml:space="preserve">the effects of the proposed acquisition on national customers as part of the analysis </w:t>
      </w:r>
      <w:r w:rsidR="00CF66CD">
        <w:t xml:space="preserve">of state and regional </w:t>
      </w:r>
      <w:r w:rsidR="00B41420">
        <w:t>distribution markets.</w:t>
      </w:r>
    </w:p>
    <w:p w:rsidR="000F5DAC" w:rsidRPr="00FB6D4A" w:rsidRDefault="000F5DAC" w:rsidP="00265D15">
      <w:pPr>
        <w:pStyle w:val="Heading5"/>
      </w:pPr>
      <w:r>
        <w:t>Geographic dimension</w:t>
      </w:r>
    </w:p>
    <w:p w:rsidR="008049B5" w:rsidRDefault="009313A1" w:rsidP="008049B5">
      <w:pPr>
        <w:pStyle w:val="NormalParagraph"/>
        <w:tabs>
          <w:tab w:val="clear" w:pos="360"/>
          <w:tab w:val="num" w:pos="567"/>
        </w:tabs>
        <w:ind w:left="567" w:hanging="567"/>
        <w:rPr>
          <w:rFonts w:cs="Arial"/>
        </w:rPr>
      </w:pPr>
      <w:r>
        <w:rPr>
          <w:rFonts w:cs="Arial"/>
        </w:rPr>
        <w:t>The ACCC</w:t>
      </w:r>
      <w:r w:rsidR="000F5DAC" w:rsidRPr="00926400">
        <w:rPr>
          <w:rFonts w:cs="Arial"/>
        </w:rPr>
        <w:t xml:space="preserve"> </w:t>
      </w:r>
      <w:r>
        <w:rPr>
          <w:rFonts w:cs="Arial"/>
        </w:rPr>
        <w:t>assess</w:t>
      </w:r>
      <w:r w:rsidR="00CB6FB4">
        <w:rPr>
          <w:rFonts w:cs="Arial"/>
        </w:rPr>
        <w:t>ed</w:t>
      </w:r>
      <w:r w:rsidR="000F5DAC" w:rsidRPr="00926400">
        <w:rPr>
          <w:rFonts w:cs="Arial"/>
        </w:rPr>
        <w:t xml:space="preserve"> the effects of the proposed acquisition in, broadly, state-wide </w:t>
      </w:r>
      <w:r w:rsidR="00F00880">
        <w:rPr>
          <w:rFonts w:cs="Arial"/>
        </w:rPr>
        <w:t xml:space="preserve">and regional </w:t>
      </w:r>
      <w:r w:rsidR="000F5DAC" w:rsidRPr="00926400">
        <w:rPr>
          <w:rFonts w:cs="Arial"/>
        </w:rPr>
        <w:t xml:space="preserve">markets. </w:t>
      </w:r>
      <w:r w:rsidR="00471B61">
        <w:rPr>
          <w:rFonts w:cs="Arial"/>
        </w:rPr>
        <w:t xml:space="preserve">Some </w:t>
      </w:r>
      <w:r w:rsidR="00FA492C">
        <w:rPr>
          <w:rFonts w:cs="Arial"/>
        </w:rPr>
        <w:t>distributors organise their operations on a state-wide basis. However, t</w:t>
      </w:r>
      <w:r w:rsidR="008049B5" w:rsidRPr="00926400">
        <w:rPr>
          <w:rFonts w:cs="Arial"/>
        </w:rPr>
        <w:t>he boundaries of state-wide markets do not necessarily coincide with official state borders</w:t>
      </w:r>
      <w:r w:rsidR="009F0848">
        <w:rPr>
          <w:rFonts w:cs="Arial"/>
        </w:rPr>
        <w:t xml:space="preserve"> </w:t>
      </w:r>
      <w:r w:rsidR="00E11128">
        <w:rPr>
          <w:rFonts w:cs="Arial"/>
        </w:rPr>
        <w:t>(</w:t>
      </w:r>
      <w:r w:rsidR="008049B5" w:rsidRPr="00926400">
        <w:rPr>
          <w:rFonts w:cs="Arial"/>
        </w:rPr>
        <w:t xml:space="preserve">given </w:t>
      </w:r>
      <w:r w:rsidR="00A54DA9">
        <w:rPr>
          <w:rFonts w:cs="Arial"/>
        </w:rPr>
        <w:t xml:space="preserve">the boundaries of </w:t>
      </w:r>
      <w:r w:rsidR="008049B5" w:rsidRPr="00926400">
        <w:rPr>
          <w:rFonts w:cs="Arial"/>
        </w:rPr>
        <w:t xml:space="preserve">competition </w:t>
      </w:r>
      <w:r w:rsidR="00A54DA9">
        <w:rPr>
          <w:rFonts w:cs="Arial"/>
        </w:rPr>
        <w:t xml:space="preserve">are </w:t>
      </w:r>
      <w:r w:rsidR="007227C2">
        <w:rPr>
          <w:rFonts w:cs="Arial"/>
        </w:rPr>
        <w:t xml:space="preserve">not </w:t>
      </w:r>
      <w:r w:rsidR="00876C70">
        <w:rPr>
          <w:rFonts w:cs="Arial"/>
        </w:rPr>
        <w:t xml:space="preserve">determined </w:t>
      </w:r>
      <w:r w:rsidR="00A54DA9">
        <w:rPr>
          <w:rFonts w:cs="Arial"/>
        </w:rPr>
        <w:t xml:space="preserve">by </w:t>
      </w:r>
      <w:r w:rsidR="008049B5" w:rsidRPr="00926400">
        <w:rPr>
          <w:rFonts w:cs="Arial"/>
        </w:rPr>
        <w:t>such borders</w:t>
      </w:r>
      <w:r w:rsidR="009F0848">
        <w:rPr>
          <w:rFonts w:cs="Arial"/>
        </w:rPr>
        <w:t>)</w:t>
      </w:r>
      <w:r w:rsidR="008049B5" w:rsidRPr="00926400">
        <w:rPr>
          <w:rFonts w:cs="Arial"/>
        </w:rPr>
        <w:t>.</w:t>
      </w:r>
    </w:p>
    <w:p w:rsidR="008049B5" w:rsidRPr="00926400" w:rsidRDefault="008049B5" w:rsidP="008049B5">
      <w:pPr>
        <w:pStyle w:val="NormalParagraph"/>
        <w:tabs>
          <w:tab w:val="clear" w:pos="360"/>
          <w:tab w:val="num" w:pos="567"/>
        </w:tabs>
        <w:ind w:left="567" w:hanging="567"/>
        <w:rPr>
          <w:rFonts w:cs="Arial"/>
        </w:rPr>
      </w:pPr>
      <w:r>
        <w:rPr>
          <w:rFonts w:cs="Arial"/>
        </w:rPr>
        <w:t xml:space="preserve">The ACCC </w:t>
      </w:r>
      <w:r w:rsidR="00B32501">
        <w:rPr>
          <w:rFonts w:cs="Arial"/>
        </w:rPr>
        <w:t xml:space="preserve">concluded </w:t>
      </w:r>
      <w:r>
        <w:rPr>
          <w:rFonts w:cs="Arial"/>
        </w:rPr>
        <w:t>that competition occurred</w:t>
      </w:r>
      <w:r w:rsidRPr="00926400">
        <w:rPr>
          <w:rFonts w:cs="Arial"/>
        </w:rPr>
        <w:t xml:space="preserve"> not just on a state-wide basis, but also at a regional level through the presence of </w:t>
      </w:r>
      <w:r w:rsidR="00C559F9" w:rsidRPr="00926400">
        <w:rPr>
          <w:rFonts w:cs="Arial"/>
        </w:rPr>
        <w:t xml:space="preserve">local </w:t>
      </w:r>
      <w:r w:rsidRPr="00926400">
        <w:rPr>
          <w:rFonts w:cs="Arial"/>
        </w:rPr>
        <w:t xml:space="preserve">distributors </w:t>
      </w:r>
      <w:r w:rsidR="009F0848">
        <w:rPr>
          <w:rFonts w:cs="Arial"/>
        </w:rPr>
        <w:t>(</w:t>
      </w:r>
      <w:r w:rsidR="00876C70">
        <w:rPr>
          <w:rFonts w:cs="Arial"/>
        </w:rPr>
        <w:t>such as</w:t>
      </w:r>
      <w:r w:rsidR="009F0848">
        <w:rPr>
          <w:rFonts w:cs="Arial"/>
        </w:rPr>
        <w:t xml:space="preserve"> a local depot </w:t>
      </w:r>
      <w:r w:rsidRPr="00926400">
        <w:rPr>
          <w:rFonts w:cs="Arial"/>
        </w:rPr>
        <w:t xml:space="preserve">or via </w:t>
      </w:r>
      <w:r w:rsidR="00AF70B0">
        <w:rPr>
          <w:rFonts w:cs="Arial"/>
        </w:rPr>
        <w:t>a</w:t>
      </w:r>
      <w:r w:rsidRPr="00926400">
        <w:rPr>
          <w:rFonts w:cs="Arial"/>
        </w:rPr>
        <w:t xml:space="preserve"> dealer and/or agent</w:t>
      </w:r>
      <w:r w:rsidR="009F0848">
        <w:rPr>
          <w:rFonts w:cs="Arial"/>
        </w:rPr>
        <w:t>)</w:t>
      </w:r>
      <w:r w:rsidRPr="00926400">
        <w:rPr>
          <w:rFonts w:cs="Arial"/>
        </w:rPr>
        <w:t xml:space="preserve">. </w:t>
      </w:r>
      <w:r>
        <w:rPr>
          <w:rFonts w:cs="Arial"/>
        </w:rPr>
        <w:t xml:space="preserve">For instance, some distributors operate in particular regions without having state-wide coverage. </w:t>
      </w:r>
      <w:r w:rsidR="00920521">
        <w:rPr>
          <w:rFonts w:cs="Arial"/>
        </w:rPr>
        <w:t>Elgas and Kleenheat ha</w:t>
      </w:r>
      <w:r w:rsidR="00876C70">
        <w:rPr>
          <w:rFonts w:cs="Arial"/>
        </w:rPr>
        <w:t xml:space="preserve">ve </w:t>
      </w:r>
      <w:r w:rsidR="00920521">
        <w:rPr>
          <w:rFonts w:cs="Arial"/>
        </w:rPr>
        <w:t xml:space="preserve">state-wide non-automotive LPG distribution in New South Wales and Victoria. </w:t>
      </w:r>
      <w:r>
        <w:rPr>
          <w:rFonts w:cs="Arial"/>
        </w:rPr>
        <w:t xml:space="preserve">Therefore, the ACCC found that </w:t>
      </w:r>
      <w:r w:rsidR="00920521">
        <w:rPr>
          <w:rFonts w:cs="Arial"/>
        </w:rPr>
        <w:t>competition for the distribution of non-automotive LPG occurred on both a state-wide and narrower regional</w:t>
      </w:r>
      <w:r>
        <w:rPr>
          <w:rFonts w:cs="Arial"/>
        </w:rPr>
        <w:t xml:space="preserve"> </w:t>
      </w:r>
      <w:r w:rsidR="00920521">
        <w:rPr>
          <w:rFonts w:cs="Arial"/>
        </w:rPr>
        <w:t>basis.</w:t>
      </w:r>
    </w:p>
    <w:p w:rsidR="008049B5" w:rsidRPr="00926400" w:rsidRDefault="00597DF3" w:rsidP="008049B5">
      <w:pPr>
        <w:pStyle w:val="NormalParagraph"/>
        <w:tabs>
          <w:tab w:val="clear" w:pos="360"/>
          <w:tab w:val="num" w:pos="567"/>
        </w:tabs>
        <w:ind w:left="567" w:hanging="567"/>
        <w:rPr>
          <w:rFonts w:cs="Arial"/>
        </w:rPr>
      </w:pPr>
      <w:r>
        <w:rPr>
          <w:rFonts w:cs="Arial"/>
        </w:rPr>
        <w:t>T</w:t>
      </w:r>
      <w:r w:rsidR="008049B5" w:rsidRPr="00926400">
        <w:rPr>
          <w:rFonts w:cs="Arial"/>
        </w:rPr>
        <w:t xml:space="preserve">he geographic </w:t>
      </w:r>
      <w:r w:rsidR="002A1085">
        <w:rPr>
          <w:rFonts w:cs="Arial"/>
        </w:rPr>
        <w:t>distances</w:t>
      </w:r>
      <w:r w:rsidR="002A1085" w:rsidRPr="00926400">
        <w:rPr>
          <w:rFonts w:cs="Arial"/>
        </w:rPr>
        <w:t xml:space="preserve"> </w:t>
      </w:r>
      <w:r w:rsidR="008049B5" w:rsidRPr="00926400">
        <w:rPr>
          <w:rFonts w:cs="Arial"/>
        </w:rPr>
        <w:t>over which it is economic</w:t>
      </w:r>
      <w:r w:rsidR="00FA492C">
        <w:rPr>
          <w:rFonts w:cs="Arial"/>
        </w:rPr>
        <w:t>ally viable</w:t>
      </w:r>
      <w:r w:rsidR="008049B5" w:rsidRPr="00926400">
        <w:rPr>
          <w:rFonts w:cs="Arial"/>
        </w:rPr>
        <w:t xml:space="preserve"> to deliver </w:t>
      </w:r>
      <w:r w:rsidRPr="00926400">
        <w:rPr>
          <w:rFonts w:cs="Arial"/>
        </w:rPr>
        <w:t xml:space="preserve">non-automotive </w:t>
      </w:r>
      <w:r w:rsidR="008049B5" w:rsidRPr="00926400">
        <w:rPr>
          <w:rFonts w:cs="Arial"/>
        </w:rPr>
        <w:t>LPG differ</w:t>
      </w:r>
      <w:r w:rsidR="00FA492C">
        <w:rPr>
          <w:rFonts w:cs="Arial"/>
        </w:rPr>
        <w:t>s</w:t>
      </w:r>
      <w:r w:rsidR="008049B5" w:rsidRPr="00926400">
        <w:rPr>
          <w:rFonts w:cs="Arial"/>
        </w:rPr>
        <w:t xml:space="preserve"> between distributors </w:t>
      </w:r>
      <w:r>
        <w:rPr>
          <w:rFonts w:cs="Arial"/>
        </w:rPr>
        <w:t>due to</w:t>
      </w:r>
      <w:r w:rsidR="008049B5" w:rsidRPr="00926400">
        <w:rPr>
          <w:rFonts w:cs="Arial"/>
        </w:rPr>
        <w:t xml:space="preserve"> a range of factors</w:t>
      </w:r>
      <w:r w:rsidR="00AF70B0">
        <w:rPr>
          <w:rFonts w:cs="Arial"/>
        </w:rPr>
        <w:t>. These factors</w:t>
      </w:r>
      <w:r w:rsidR="008049B5" w:rsidRPr="00926400">
        <w:rPr>
          <w:rFonts w:cs="Arial"/>
        </w:rPr>
        <w:t xml:space="preserve"> includ</w:t>
      </w:r>
      <w:r w:rsidR="00AF70B0">
        <w:rPr>
          <w:rFonts w:cs="Arial"/>
        </w:rPr>
        <w:t>e</w:t>
      </w:r>
      <w:r w:rsidR="008049B5" w:rsidRPr="00926400">
        <w:rPr>
          <w:rFonts w:cs="Arial"/>
        </w:rPr>
        <w:t xml:space="preserve"> their </w:t>
      </w:r>
      <w:r>
        <w:rPr>
          <w:rFonts w:cs="Arial"/>
        </w:rPr>
        <w:t>respective business model, distance</w:t>
      </w:r>
      <w:r w:rsidR="008049B5" w:rsidRPr="00926400">
        <w:rPr>
          <w:rFonts w:cs="Arial"/>
        </w:rPr>
        <w:t xml:space="preserve"> between points in their dist</w:t>
      </w:r>
      <w:r>
        <w:rPr>
          <w:rFonts w:cs="Arial"/>
        </w:rPr>
        <w:t>ribution network, transport</w:t>
      </w:r>
      <w:r w:rsidR="008049B5" w:rsidRPr="00926400">
        <w:rPr>
          <w:rFonts w:cs="Arial"/>
        </w:rPr>
        <w:t xml:space="preserve"> costs and the volume demand densit</w:t>
      </w:r>
      <w:r>
        <w:rPr>
          <w:rFonts w:cs="Arial"/>
        </w:rPr>
        <w:t>ies of different regions. The evidence showed that the</w:t>
      </w:r>
      <w:r w:rsidR="008049B5" w:rsidRPr="00926400">
        <w:rPr>
          <w:rFonts w:cs="Arial"/>
        </w:rPr>
        <w:t xml:space="preserve"> majority of </w:t>
      </w:r>
      <w:r>
        <w:rPr>
          <w:rFonts w:cs="Arial"/>
        </w:rPr>
        <w:t>cylinder and bulk deliveries were</w:t>
      </w:r>
      <w:r w:rsidR="008049B5" w:rsidRPr="00926400">
        <w:rPr>
          <w:rFonts w:cs="Arial"/>
        </w:rPr>
        <w:t xml:space="preserve"> made within 100</w:t>
      </w:r>
      <w:r>
        <w:rPr>
          <w:rFonts w:cs="Arial"/>
        </w:rPr>
        <w:t xml:space="preserve"> </w:t>
      </w:r>
      <w:r w:rsidR="008049B5" w:rsidRPr="00926400">
        <w:rPr>
          <w:rFonts w:cs="Arial"/>
        </w:rPr>
        <w:t>km of the</w:t>
      </w:r>
      <w:r w:rsidR="002A1085">
        <w:rPr>
          <w:rFonts w:cs="Arial"/>
        </w:rPr>
        <w:t xml:space="preserve"> relevant</w:t>
      </w:r>
      <w:r w:rsidR="008049B5" w:rsidRPr="00926400">
        <w:rPr>
          <w:rFonts w:cs="Arial"/>
        </w:rPr>
        <w:t xml:space="preserve"> depot, dealer or agent, </w:t>
      </w:r>
      <w:r>
        <w:rPr>
          <w:rFonts w:cs="Arial"/>
        </w:rPr>
        <w:t xml:space="preserve">but </w:t>
      </w:r>
      <w:r w:rsidR="008049B5" w:rsidRPr="00926400">
        <w:rPr>
          <w:rFonts w:cs="Arial"/>
        </w:rPr>
        <w:t xml:space="preserve">there </w:t>
      </w:r>
      <w:r>
        <w:rPr>
          <w:rFonts w:cs="Arial"/>
        </w:rPr>
        <w:t xml:space="preserve">were also variations in distances </w:t>
      </w:r>
      <w:r w:rsidR="008049B5" w:rsidRPr="00926400">
        <w:rPr>
          <w:rFonts w:cs="Arial"/>
        </w:rPr>
        <w:t>for the reasons outlined above.</w:t>
      </w:r>
    </w:p>
    <w:p w:rsidR="00597DF3" w:rsidRPr="000E366B" w:rsidRDefault="00597DF3" w:rsidP="008049B5">
      <w:pPr>
        <w:pStyle w:val="NormalParagraph"/>
        <w:tabs>
          <w:tab w:val="clear" w:pos="360"/>
          <w:tab w:val="num" w:pos="567"/>
        </w:tabs>
        <w:ind w:left="567" w:hanging="567"/>
      </w:pPr>
      <w:r>
        <w:rPr>
          <w:rFonts w:cs="Arial"/>
        </w:rPr>
        <w:t xml:space="preserve">The ACCC </w:t>
      </w:r>
      <w:r w:rsidR="00B32501">
        <w:rPr>
          <w:rFonts w:cs="Arial"/>
        </w:rPr>
        <w:t xml:space="preserve">concluded </w:t>
      </w:r>
      <w:r w:rsidR="008049B5" w:rsidRPr="00926400">
        <w:rPr>
          <w:rFonts w:cs="Arial"/>
        </w:rPr>
        <w:t xml:space="preserve">that competitive harm resulting from the proposed acquisition </w:t>
      </w:r>
      <w:r w:rsidR="00FA492C">
        <w:rPr>
          <w:rFonts w:cs="Arial"/>
        </w:rPr>
        <w:t>would</w:t>
      </w:r>
      <w:r w:rsidR="00FA492C" w:rsidRPr="00926400">
        <w:rPr>
          <w:rFonts w:cs="Arial"/>
        </w:rPr>
        <w:t xml:space="preserve"> </w:t>
      </w:r>
      <w:r w:rsidR="006025F4">
        <w:rPr>
          <w:rFonts w:cs="Arial"/>
        </w:rPr>
        <w:t xml:space="preserve">likely </w:t>
      </w:r>
      <w:r w:rsidR="008049B5" w:rsidRPr="00926400">
        <w:rPr>
          <w:rFonts w:cs="Arial"/>
        </w:rPr>
        <w:t xml:space="preserve">manifest in </w:t>
      </w:r>
      <w:r w:rsidR="002A6CCA">
        <w:rPr>
          <w:rFonts w:cs="Arial"/>
        </w:rPr>
        <w:t xml:space="preserve">some </w:t>
      </w:r>
      <w:r w:rsidR="008049B5" w:rsidRPr="00926400">
        <w:rPr>
          <w:rFonts w:cs="Arial"/>
        </w:rPr>
        <w:t>particu</w:t>
      </w:r>
      <w:r>
        <w:rPr>
          <w:rFonts w:cs="Arial"/>
        </w:rPr>
        <w:t xml:space="preserve">lar regions </w:t>
      </w:r>
      <w:r w:rsidR="00B32501">
        <w:rPr>
          <w:rFonts w:cs="Arial"/>
        </w:rPr>
        <w:t>more strongly</w:t>
      </w:r>
      <w:r w:rsidR="00B32501" w:rsidRPr="00926400">
        <w:rPr>
          <w:rFonts w:cs="Arial"/>
        </w:rPr>
        <w:t xml:space="preserve"> </w:t>
      </w:r>
      <w:r w:rsidR="00B32501">
        <w:rPr>
          <w:rFonts w:cs="Arial"/>
        </w:rPr>
        <w:t xml:space="preserve">than in </w:t>
      </w:r>
      <w:r>
        <w:rPr>
          <w:rFonts w:cs="Arial"/>
        </w:rPr>
        <w:t>other regions</w:t>
      </w:r>
      <w:r w:rsidR="002A6CCA">
        <w:rPr>
          <w:rFonts w:cs="Arial"/>
        </w:rPr>
        <w:t xml:space="preserve"> within the same market</w:t>
      </w:r>
      <w:r>
        <w:rPr>
          <w:rFonts w:cs="Arial"/>
        </w:rPr>
        <w:t xml:space="preserve">. These </w:t>
      </w:r>
      <w:r w:rsidR="00B32501">
        <w:rPr>
          <w:rFonts w:cs="Arial"/>
        </w:rPr>
        <w:t xml:space="preserve">particular </w:t>
      </w:r>
      <w:r w:rsidR="00EA0014">
        <w:rPr>
          <w:rFonts w:cs="Arial"/>
        </w:rPr>
        <w:t xml:space="preserve">regions </w:t>
      </w:r>
      <w:r>
        <w:rPr>
          <w:rFonts w:cs="Arial"/>
        </w:rPr>
        <w:t xml:space="preserve">are discussed </w:t>
      </w:r>
      <w:r w:rsidR="00EA0014">
        <w:rPr>
          <w:rFonts w:cs="Arial"/>
        </w:rPr>
        <w:t>further</w:t>
      </w:r>
      <w:r>
        <w:rPr>
          <w:rFonts w:cs="Arial"/>
        </w:rPr>
        <w:t xml:space="preserve"> </w:t>
      </w:r>
      <w:r w:rsidR="00B32501">
        <w:rPr>
          <w:rFonts w:cs="Arial"/>
        </w:rPr>
        <w:t xml:space="preserve">below </w:t>
      </w:r>
      <w:r>
        <w:rPr>
          <w:rFonts w:cs="Arial"/>
        </w:rPr>
        <w:t xml:space="preserve">in the context </w:t>
      </w:r>
      <w:r w:rsidR="000E366B">
        <w:rPr>
          <w:rFonts w:cs="Arial"/>
        </w:rPr>
        <w:t>of the undertakings</w:t>
      </w:r>
      <w:r w:rsidR="00B32501">
        <w:rPr>
          <w:rFonts w:cs="Arial"/>
        </w:rPr>
        <w:t xml:space="preserve"> given by the merger parties</w:t>
      </w:r>
      <w:r w:rsidR="000E366B">
        <w:rPr>
          <w:rFonts w:cs="Arial"/>
        </w:rPr>
        <w:t>.</w:t>
      </w:r>
    </w:p>
    <w:p w:rsidR="000E366B" w:rsidRPr="000E366B" w:rsidRDefault="000E366B" w:rsidP="006E4E89">
      <w:pPr>
        <w:pStyle w:val="Heading4"/>
      </w:pPr>
      <w:r w:rsidRPr="000E366B">
        <w:t>Other markets</w:t>
      </w:r>
    </w:p>
    <w:p w:rsidR="000E366B" w:rsidRDefault="000E366B" w:rsidP="00265D15">
      <w:pPr>
        <w:pStyle w:val="Heading5"/>
      </w:pPr>
      <w:r>
        <w:t>State</w:t>
      </w:r>
      <w:r w:rsidR="00EA0602">
        <w:t xml:space="preserve"> markets for the w</w:t>
      </w:r>
      <w:r>
        <w:t>holesale supply of LPG</w:t>
      </w:r>
    </w:p>
    <w:p w:rsidR="006E4E89" w:rsidRPr="006E4E89" w:rsidRDefault="00A868F1" w:rsidP="00A868F1">
      <w:pPr>
        <w:pStyle w:val="NormalParagraph"/>
        <w:tabs>
          <w:tab w:val="clear" w:pos="360"/>
          <w:tab w:val="num" w:pos="567"/>
        </w:tabs>
        <w:ind w:left="567" w:hanging="567"/>
      </w:pPr>
      <w:r>
        <w:rPr>
          <w:rFonts w:cs="Arial"/>
        </w:rPr>
        <w:t xml:space="preserve">Consistent with its preliminary view in the Statement of Issues, the ACCC </w:t>
      </w:r>
      <w:r w:rsidR="00000960">
        <w:rPr>
          <w:rFonts w:cs="Arial"/>
        </w:rPr>
        <w:t xml:space="preserve">considered that </w:t>
      </w:r>
      <w:r w:rsidR="00EA0014">
        <w:rPr>
          <w:rFonts w:cs="Arial"/>
        </w:rPr>
        <w:t xml:space="preserve">there </w:t>
      </w:r>
      <w:r w:rsidR="00000960">
        <w:rPr>
          <w:rFonts w:cs="Arial"/>
        </w:rPr>
        <w:t>a</w:t>
      </w:r>
      <w:r>
        <w:rPr>
          <w:rFonts w:cs="Arial"/>
        </w:rPr>
        <w:t xml:space="preserve">re </w:t>
      </w:r>
      <w:r w:rsidR="00000960">
        <w:rPr>
          <w:rFonts w:cs="Arial"/>
        </w:rPr>
        <w:t xml:space="preserve">markets for the wholesale supply of LPG, either </w:t>
      </w:r>
      <w:r>
        <w:rPr>
          <w:rFonts w:cs="Arial"/>
        </w:rPr>
        <w:t>state</w:t>
      </w:r>
      <w:r w:rsidR="00000960">
        <w:rPr>
          <w:rFonts w:cs="Arial"/>
        </w:rPr>
        <w:t>-wide</w:t>
      </w:r>
      <w:r>
        <w:rPr>
          <w:rFonts w:cs="Arial"/>
        </w:rPr>
        <w:t xml:space="preserve"> or broader geographic markets</w:t>
      </w:r>
      <w:r w:rsidR="00000960">
        <w:rPr>
          <w:rFonts w:cs="Arial"/>
        </w:rPr>
        <w:t xml:space="preserve">. </w:t>
      </w:r>
      <w:r w:rsidR="006E4E89">
        <w:rPr>
          <w:rFonts w:cs="Arial"/>
        </w:rPr>
        <w:t xml:space="preserve">For the purposes of the ACCC’s review, </w:t>
      </w:r>
      <w:r w:rsidR="00AF0F0A">
        <w:rPr>
          <w:rFonts w:cs="Arial"/>
        </w:rPr>
        <w:t xml:space="preserve">we did not consider it </w:t>
      </w:r>
      <w:r w:rsidR="00000960">
        <w:rPr>
          <w:rFonts w:cs="Arial"/>
        </w:rPr>
        <w:t xml:space="preserve">necessary to precisely define </w:t>
      </w:r>
      <w:r w:rsidR="006E4E89">
        <w:rPr>
          <w:rFonts w:cs="Arial"/>
        </w:rPr>
        <w:t>these markets</w:t>
      </w:r>
      <w:r w:rsidR="00EA0602">
        <w:rPr>
          <w:rFonts w:cs="Arial"/>
        </w:rPr>
        <w:t>.</w:t>
      </w:r>
    </w:p>
    <w:p w:rsidR="000E366B" w:rsidRDefault="00EA0602" w:rsidP="00265D15">
      <w:pPr>
        <w:pStyle w:val="Heading5"/>
      </w:pPr>
      <w:r>
        <w:t>A</w:t>
      </w:r>
      <w:r w:rsidR="000E366B">
        <w:t>utomotive LPG</w:t>
      </w:r>
      <w:r>
        <w:t xml:space="preserve"> markets</w:t>
      </w:r>
    </w:p>
    <w:p w:rsidR="00141143" w:rsidRDefault="00A868F1" w:rsidP="00A868F1">
      <w:pPr>
        <w:pStyle w:val="NormalParagraph"/>
        <w:tabs>
          <w:tab w:val="clear" w:pos="360"/>
          <w:tab w:val="num" w:pos="567"/>
        </w:tabs>
        <w:ind w:left="567" w:hanging="567"/>
        <w:rPr>
          <w:rFonts w:cs="Arial"/>
        </w:rPr>
      </w:pPr>
      <w:r w:rsidRPr="00440AE2">
        <w:rPr>
          <w:rFonts w:cs="Arial"/>
        </w:rPr>
        <w:t>The ACCC</w:t>
      </w:r>
      <w:r w:rsidR="00B32501">
        <w:rPr>
          <w:rFonts w:cs="Arial"/>
        </w:rPr>
        <w:t xml:space="preserve"> formed the view </w:t>
      </w:r>
      <w:r w:rsidRPr="00440AE2">
        <w:rPr>
          <w:rFonts w:cs="Arial"/>
        </w:rPr>
        <w:t xml:space="preserve">that the </w:t>
      </w:r>
      <w:r w:rsidR="00A37850">
        <w:rPr>
          <w:rFonts w:cs="Arial"/>
        </w:rPr>
        <w:t>supply</w:t>
      </w:r>
      <w:r w:rsidRPr="00440AE2">
        <w:rPr>
          <w:rFonts w:cs="Arial"/>
        </w:rPr>
        <w:t xml:space="preserve"> of automotive LPG </w:t>
      </w:r>
      <w:r w:rsidR="00EA0014">
        <w:rPr>
          <w:rFonts w:cs="Arial"/>
        </w:rPr>
        <w:t>was</w:t>
      </w:r>
      <w:r w:rsidR="00A37850" w:rsidRPr="00440AE2">
        <w:rPr>
          <w:rFonts w:cs="Arial"/>
        </w:rPr>
        <w:t xml:space="preserve"> likely to be </w:t>
      </w:r>
      <w:r w:rsidR="00A37850">
        <w:rPr>
          <w:rFonts w:cs="Arial"/>
        </w:rPr>
        <w:t>a separate product market to non-automotive LPG</w:t>
      </w:r>
      <w:r w:rsidR="00141143">
        <w:rPr>
          <w:rFonts w:cs="Arial"/>
        </w:rPr>
        <w:t>, given t</w:t>
      </w:r>
      <w:r w:rsidR="00440AE2">
        <w:rPr>
          <w:rFonts w:cs="Arial"/>
        </w:rPr>
        <w:t xml:space="preserve">he </w:t>
      </w:r>
      <w:r w:rsidR="00AD61FF">
        <w:rPr>
          <w:rFonts w:cs="Arial"/>
        </w:rPr>
        <w:t xml:space="preserve">different </w:t>
      </w:r>
      <w:r w:rsidR="00141143">
        <w:rPr>
          <w:rFonts w:cs="Arial"/>
        </w:rPr>
        <w:t xml:space="preserve">distribution </w:t>
      </w:r>
      <w:r w:rsidR="00440AE2">
        <w:rPr>
          <w:rFonts w:cs="Arial"/>
        </w:rPr>
        <w:t>models</w:t>
      </w:r>
      <w:r w:rsidR="00A37850">
        <w:rPr>
          <w:rFonts w:cs="Arial"/>
        </w:rPr>
        <w:t xml:space="preserve">. </w:t>
      </w:r>
      <w:r w:rsidR="00AD61FF">
        <w:rPr>
          <w:rFonts w:cs="Arial"/>
        </w:rPr>
        <w:t>In addition</w:t>
      </w:r>
      <w:r w:rsidR="00A37850">
        <w:rPr>
          <w:rFonts w:cs="Arial"/>
        </w:rPr>
        <w:t xml:space="preserve">, </w:t>
      </w:r>
      <w:r w:rsidR="00440AE2">
        <w:rPr>
          <w:rFonts w:cs="Arial"/>
        </w:rPr>
        <w:t xml:space="preserve">depending on the intended </w:t>
      </w:r>
      <w:r w:rsidR="00EA0014">
        <w:rPr>
          <w:rFonts w:cs="Arial"/>
        </w:rPr>
        <w:t xml:space="preserve">customer </w:t>
      </w:r>
      <w:r w:rsidR="00440AE2">
        <w:rPr>
          <w:rFonts w:cs="Arial"/>
        </w:rPr>
        <w:t>use</w:t>
      </w:r>
      <w:r w:rsidR="00A37850">
        <w:rPr>
          <w:rFonts w:cs="Arial"/>
        </w:rPr>
        <w:t>,</w:t>
      </w:r>
      <w:r w:rsidR="00440AE2">
        <w:rPr>
          <w:rFonts w:cs="Arial"/>
        </w:rPr>
        <w:t xml:space="preserve"> one type of LPG </w:t>
      </w:r>
      <w:r w:rsidR="00A37850">
        <w:rPr>
          <w:rFonts w:cs="Arial"/>
        </w:rPr>
        <w:t xml:space="preserve">may not necessarily be used in place of the </w:t>
      </w:r>
      <w:r w:rsidR="00440AE2">
        <w:rPr>
          <w:rFonts w:cs="Arial"/>
        </w:rPr>
        <w:t>other.</w:t>
      </w:r>
      <w:r w:rsidR="00A37850">
        <w:rPr>
          <w:rFonts w:cs="Arial"/>
        </w:rPr>
        <w:t xml:space="preserve"> The ACCC did not consider it necessary to define the geographic </w:t>
      </w:r>
      <w:r w:rsidR="00000960">
        <w:rPr>
          <w:rFonts w:cs="Arial"/>
        </w:rPr>
        <w:t>scope of the market for the supply of automotive LPG</w:t>
      </w:r>
      <w:r w:rsidR="00AF0F0A">
        <w:rPr>
          <w:rFonts w:cs="Arial"/>
        </w:rPr>
        <w:t xml:space="preserve"> as we</w:t>
      </w:r>
      <w:r w:rsidR="00141143">
        <w:rPr>
          <w:rFonts w:cs="Arial"/>
        </w:rPr>
        <w:t xml:space="preserve"> ultimate</w:t>
      </w:r>
      <w:r w:rsidR="00AF0F0A">
        <w:rPr>
          <w:rFonts w:cs="Arial"/>
        </w:rPr>
        <w:t>ly found</w:t>
      </w:r>
      <w:r w:rsidR="00141143">
        <w:rPr>
          <w:rFonts w:cs="Arial"/>
        </w:rPr>
        <w:t xml:space="preserve"> that the proposed acquisition was unlikely to raise significant competition concerns in </w:t>
      </w:r>
      <w:r w:rsidR="00EA0014">
        <w:rPr>
          <w:rFonts w:cs="Arial"/>
        </w:rPr>
        <w:t>any automotive</w:t>
      </w:r>
      <w:r w:rsidR="00A54DA9">
        <w:rPr>
          <w:rFonts w:cs="Arial"/>
        </w:rPr>
        <w:t xml:space="preserve"> LPG</w:t>
      </w:r>
      <w:r w:rsidR="00141143">
        <w:rPr>
          <w:rFonts w:cs="Arial"/>
        </w:rPr>
        <w:t xml:space="preserve"> market.</w:t>
      </w:r>
    </w:p>
    <w:p w:rsidR="000E366B" w:rsidRPr="00FB6D4A" w:rsidRDefault="000E366B" w:rsidP="006E4E89">
      <w:pPr>
        <w:pStyle w:val="Heading4"/>
      </w:pPr>
      <w:r>
        <w:t>Conclusion</w:t>
      </w:r>
      <w:r w:rsidR="00AF0F0A">
        <w:t xml:space="preserve"> on market definition</w:t>
      </w:r>
    </w:p>
    <w:p w:rsidR="007A2830" w:rsidRPr="007046C2" w:rsidRDefault="00A058CB" w:rsidP="007046C2">
      <w:pPr>
        <w:pStyle w:val="NormalParagraph"/>
        <w:tabs>
          <w:tab w:val="clear" w:pos="360"/>
          <w:tab w:val="num" w:pos="567"/>
        </w:tabs>
        <w:ind w:left="567" w:hanging="567"/>
        <w:rPr>
          <w:rFonts w:cs="Arial"/>
        </w:rPr>
      </w:pPr>
      <w:r>
        <w:rPr>
          <w:rFonts w:cs="Arial"/>
        </w:rPr>
        <w:t xml:space="preserve">The defined markets are </w:t>
      </w:r>
      <w:r w:rsidR="00447640">
        <w:rPr>
          <w:rFonts w:cs="Arial"/>
        </w:rPr>
        <w:t xml:space="preserve">listed at paragraph </w:t>
      </w:r>
      <w:r w:rsidR="00447640">
        <w:rPr>
          <w:rFonts w:cs="Arial"/>
        </w:rPr>
        <w:fldChar w:fldCharType="begin"/>
      </w:r>
      <w:r w:rsidR="00447640">
        <w:rPr>
          <w:rFonts w:cs="Arial"/>
        </w:rPr>
        <w:instrText xml:space="preserve"> REF _Ref437252495 \r \h </w:instrText>
      </w:r>
      <w:r w:rsidR="00447640">
        <w:rPr>
          <w:rFonts w:cs="Arial"/>
        </w:rPr>
      </w:r>
      <w:r w:rsidR="00447640">
        <w:rPr>
          <w:rFonts w:cs="Arial"/>
        </w:rPr>
        <w:fldChar w:fldCharType="separate"/>
      </w:r>
      <w:r w:rsidR="004A01FB">
        <w:rPr>
          <w:rFonts w:cs="Arial"/>
        </w:rPr>
        <w:t>57</w:t>
      </w:r>
      <w:r w:rsidR="00447640">
        <w:rPr>
          <w:rFonts w:cs="Arial"/>
        </w:rPr>
        <w:fldChar w:fldCharType="end"/>
      </w:r>
      <w:r w:rsidR="00447640">
        <w:rPr>
          <w:rFonts w:cs="Arial"/>
        </w:rPr>
        <w:t>. However, given the overlap</w:t>
      </w:r>
      <w:r w:rsidR="00BB0640">
        <w:rPr>
          <w:rFonts w:cs="Arial"/>
        </w:rPr>
        <w:t xml:space="preserve"> between the merger parties</w:t>
      </w:r>
      <w:r w:rsidR="00447640">
        <w:rPr>
          <w:rFonts w:cs="Arial"/>
        </w:rPr>
        <w:t>, t</w:t>
      </w:r>
      <w:r w:rsidR="007A2830" w:rsidRPr="007046C2">
        <w:rPr>
          <w:rFonts w:cs="Arial"/>
        </w:rPr>
        <w:t xml:space="preserve">he ACCC concluded that the markets of </w:t>
      </w:r>
      <w:r w:rsidR="00393146">
        <w:rPr>
          <w:rFonts w:cs="Arial"/>
        </w:rPr>
        <w:t>particular</w:t>
      </w:r>
      <w:r w:rsidR="00393146" w:rsidRPr="007046C2">
        <w:rPr>
          <w:rFonts w:cs="Arial"/>
        </w:rPr>
        <w:t xml:space="preserve"> </w:t>
      </w:r>
      <w:r w:rsidR="007A2830" w:rsidRPr="007046C2">
        <w:rPr>
          <w:rFonts w:cs="Arial"/>
        </w:rPr>
        <w:t>relevance in</w:t>
      </w:r>
      <w:r w:rsidR="00A54DA9">
        <w:rPr>
          <w:rFonts w:cs="Arial"/>
        </w:rPr>
        <w:t xml:space="preserve"> assessing </w:t>
      </w:r>
      <w:r w:rsidR="007A2830" w:rsidRPr="007046C2">
        <w:rPr>
          <w:rFonts w:cs="Arial"/>
        </w:rPr>
        <w:t>the competitive effects of the proposed acquisition were state and regional markets for the distribution of non-automotive LPG in bulk and cylinders.</w:t>
      </w:r>
    </w:p>
    <w:p w:rsidR="00AF1C87" w:rsidRDefault="00AF1C87" w:rsidP="006E4E89">
      <w:pPr>
        <w:pStyle w:val="Heading3"/>
      </w:pPr>
      <w:r>
        <w:t>Competition analysis</w:t>
      </w:r>
      <w:r w:rsidR="000427EE">
        <w:t xml:space="preserve"> </w:t>
      </w:r>
      <w:r w:rsidR="000250BC">
        <w:t>– issues unlikely to substantially lessen competition</w:t>
      </w:r>
    </w:p>
    <w:p w:rsidR="00D57E09" w:rsidRDefault="000B31D7" w:rsidP="0066528A">
      <w:pPr>
        <w:pStyle w:val="NormalParagraph"/>
        <w:tabs>
          <w:tab w:val="clear" w:pos="360"/>
          <w:tab w:val="num" w:pos="567"/>
        </w:tabs>
        <w:ind w:left="567" w:hanging="567"/>
      </w:pPr>
      <w:r>
        <w:t xml:space="preserve">This section considers </w:t>
      </w:r>
      <w:r w:rsidR="00D57E09">
        <w:t xml:space="preserve">issues that the ACCC ultimately </w:t>
      </w:r>
      <w:r w:rsidR="003237F4">
        <w:t xml:space="preserve">concluded </w:t>
      </w:r>
      <w:r w:rsidR="00D57E09">
        <w:t>were not likely to result in a substantial lessening of competition</w:t>
      </w:r>
      <w:r w:rsidR="00AF1C65">
        <w:t xml:space="preserve"> in any relevant market.</w:t>
      </w:r>
    </w:p>
    <w:p w:rsidR="00545AA0" w:rsidRDefault="00545AA0" w:rsidP="00545AA0">
      <w:pPr>
        <w:pStyle w:val="Heading4"/>
      </w:pPr>
      <w:r>
        <w:t>Horizontal aggregation in wholesale markets</w:t>
      </w:r>
    </w:p>
    <w:p w:rsidR="00545AA0" w:rsidRDefault="00545AA0" w:rsidP="00545AA0">
      <w:pPr>
        <w:pStyle w:val="NormalParagraph"/>
        <w:tabs>
          <w:tab w:val="clear" w:pos="360"/>
          <w:tab w:val="num" w:pos="567"/>
        </w:tabs>
        <w:ind w:left="567" w:hanging="567"/>
      </w:pPr>
      <w:r>
        <w:t>In its Statement of Issues, the ACCC expressed the preliminary view that the proposed acquisition had the potential to harm competition for wholesale supply of LPG. In particular, some market participants were concerned that Kleenheat would be removed from the markets as an alternative wholesale supplier.</w:t>
      </w:r>
    </w:p>
    <w:p w:rsidR="00545AA0" w:rsidRDefault="00545AA0" w:rsidP="00545AA0">
      <w:pPr>
        <w:pStyle w:val="NormalParagraph"/>
        <w:tabs>
          <w:tab w:val="clear" w:pos="360"/>
          <w:tab w:val="num" w:pos="567"/>
        </w:tabs>
        <w:ind w:left="567" w:hanging="567"/>
      </w:pPr>
      <w:r>
        <w:t>As noted above (paragraph </w:t>
      </w:r>
      <w:r>
        <w:fldChar w:fldCharType="begin"/>
      </w:r>
      <w:r>
        <w:instrText xml:space="preserve"> REF _Ref416345519 \r \h </w:instrText>
      </w:r>
      <w:r>
        <w:fldChar w:fldCharType="separate"/>
      </w:r>
      <w:r w:rsidR="004A01FB">
        <w:t>46</w:t>
      </w:r>
      <w:r>
        <w:fldChar w:fldCharType="end"/>
      </w:r>
      <w:r>
        <w:t xml:space="preserve">), </w:t>
      </w:r>
      <w:proofErr w:type="spellStart"/>
      <w:r>
        <w:t>Kleenheat</w:t>
      </w:r>
      <w:proofErr w:type="spellEnd"/>
      <w:r>
        <w:t xml:space="preserve"> does not operate wholesale facilities (i.e. production or import facilities) on the east coast of Australia. However, information available to the ACCC indicated that Kleenheat did at times resell LPG to smaller downstream distributors. Kleenheat was therefore viewed by some parties as an alternative reseller of LPG.</w:t>
      </w:r>
    </w:p>
    <w:p w:rsidR="00545AA0" w:rsidRDefault="00545AA0" w:rsidP="00545AA0">
      <w:pPr>
        <w:pStyle w:val="NormalParagraph"/>
        <w:tabs>
          <w:tab w:val="clear" w:pos="360"/>
          <w:tab w:val="num" w:pos="567"/>
        </w:tabs>
        <w:ind w:left="567" w:hanging="567"/>
      </w:pPr>
      <w:r>
        <w:t>However, the ACCC’s market inquiries and information obtained from Kleenheat indicated that Kleenheat undertakes only limited reselling activity. Therefore the ACCC considered that the removal of Kleenheat would not materially alter the ability of distributors to access wholesale sources of LPG.</w:t>
      </w:r>
    </w:p>
    <w:p w:rsidR="00545AA0" w:rsidRPr="005968D9" w:rsidRDefault="00545AA0" w:rsidP="00545AA0">
      <w:pPr>
        <w:pStyle w:val="NormalParagraph"/>
        <w:tabs>
          <w:tab w:val="clear" w:pos="360"/>
          <w:tab w:val="num" w:pos="567"/>
        </w:tabs>
        <w:ind w:left="567" w:hanging="567"/>
      </w:pPr>
      <w:r>
        <w:t>T</w:t>
      </w:r>
      <w:r w:rsidRPr="005968D9">
        <w:t>he ACCC acknowledged that Elgas would increase its utilisation of the Cavern post-acquisition</w:t>
      </w:r>
      <w:r>
        <w:t xml:space="preserve"> given the increase in its downstream operations.</w:t>
      </w:r>
      <w:r w:rsidRPr="005968D9">
        <w:t xml:space="preserve"> </w:t>
      </w:r>
      <w:r>
        <w:t xml:space="preserve">However, the ACCC </w:t>
      </w:r>
      <w:r w:rsidRPr="005968D9">
        <w:t>did not consider this would lead to a significant reduction in competition.</w:t>
      </w:r>
    </w:p>
    <w:p w:rsidR="000250BC" w:rsidRPr="006A4A8E" w:rsidRDefault="000250BC" w:rsidP="000250BC">
      <w:pPr>
        <w:pStyle w:val="Heading4"/>
      </w:pPr>
      <w:r w:rsidRPr="006A4A8E">
        <w:t>Vertical foreclosure</w:t>
      </w:r>
    </w:p>
    <w:p w:rsidR="000250BC" w:rsidRDefault="000250BC" w:rsidP="000250BC">
      <w:pPr>
        <w:pStyle w:val="NormalParagraph"/>
        <w:tabs>
          <w:tab w:val="clear" w:pos="360"/>
          <w:tab w:val="num" w:pos="567"/>
        </w:tabs>
        <w:ind w:left="567" w:hanging="567"/>
      </w:pPr>
      <w:r>
        <w:t xml:space="preserve">In </w:t>
      </w:r>
      <w:r w:rsidR="003237F4">
        <w:t xml:space="preserve">its </w:t>
      </w:r>
      <w:r>
        <w:t>Statement of Issues,</w:t>
      </w:r>
      <w:r w:rsidRPr="0003649D">
        <w:t xml:space="preserve"> </w:t>
      </w:r>
      <w:r>
        <w:t xml:space="preserve">the ACCC reflected </w:t>
      </w:r>
      <w:r w:rsidR="00A30143">
        <w:t xml:space="preserve">the views of </w:t>
      </w:r>
      <w:r>
        <w:t>some market participant</w:t>
      </w:r>
      <w:r w:rsidR="00FC45A2">
        <w:t>s</w:t>
      </w:r>
      <w:r>
        <w:t xml:space="preserve"> that Elgas may have the ability and incentive to foreclose downstream rivals</w:t>
      </w:r>
      <w:r w:rsidR="005476B0">
        <w:t>’</w:t>
      </w:r>
      <w:r>
        <w:t xml:space="preserve"> (i.e. other distributors</w:t>
      </w:r>
      <w:r w:rsidR="005476B0">
        <w:t>’</w:t>
      </w:r>
      <w:r>
        <w:t>)</w:t>
      </w:r>
      <w:r w:rsidR="00545AA0">
        <w:t xml:space="preserve"> access to wholesale LPG</w:t>
      </w:r>
      <w:r>
        <w:t xml:space="preserve">. The Statement of Issues indicated that Elgas’ incentive to </w:t>
      </w:r>
      <w:r w:rsidR="00545AA0">
        <w:t>foreclose</w:t>
      </w:r>
      <w:r>
        <w:t xml:space="preserve"> may be increase</w:t>
      </w:r>
      <w:r w:rsidR="00C559F9">
        <w:t>d post acquisition</w:t>
      </w:r>
      <w:r>
        <w:t xml:space="preserve"> in </w:t>
      </w:r>
      <w:r w:rsidR="00C559F9">
        <w:t xml:space="preserve">line with </w:t>
      </w:r>
      <w:r>
        <w:t xml:space="preserve">its downstream market share, </w:t>
      </w:r>
      <w:r w:rsidR="00C559F9">
        <w:t xml:space="preserve">because of </w:t>
      </w:r>
      <w:r>
        <w:t>the likelihood that Elgas would capture a higher proportion of customers if it foreclosed its downstream rivals.</w:t>
      </w:r>
    </w:p>
    <w:p w:rsidR="000250BC" w:rsidRDefault="000250BC" w:rsidP="000250BC">
      <w:pPr>
        <w:pStyle w:val="NormalParagraph"/>
        <w:tabs>
          <w:tab w:val="clear" w:pos="360"/>
          <w:tab w:val="num" w:pos="567"/>
        </w:tabs>
        <w:ind w:left="567" w:hanging="567"/>
      </w:pPr>
      <w:r w:rsidRPr="000A3B54">
        <w:t>As noted earlier, Elgas owns and operates the ‘Cavern’ at Port Botany which is a wholesale source of imported LPG. Origin also has an import and storage facility at Port Botany, and operates a number of other seaboard terminals.</w:t>
      </w:r>
      <w:r w:rsidRPr="000427EE">
        <w:t xml:space="preserve"> </w:t>
      </w:r>
      <w:r>
        <w:t>Elgas and Origin are the only vertically integrated LPG participants with large downstream LPG distribution networks</w:t>
      </w:r>
      <w:r w:rsidR="00FA12C6">
        <w:t xml:space="preserve"> on the east coast of Australia</w:t>
      </w:r>
      <w:r>
        <w:t>.</w:t>
      </w:r>
    </w:p>
    <w:p w:rsidR="000250BC" w:rsidRPr="005968D9" w:rsidRDefault="000250BC" w:rsidP="000250BC">
      <w:pPr>
        <w:pStyle w:val="NormalParagraph"/>
        <w:tabs>
          <w:tab w:val="clear" w:pos="360"/>
          <w:tab w:val="num" w:pos="567"/>
        </w:tabs>
        <w:ind w:left="567" w:hanging="567"/>
      </w:pPr>
      <w:r>
        <w:t xml:space="preserve">The ACCC </w:t>
      </w:r>
      <w:r w:rsidR="003237F4">
        <w:t xml:space="preserve">considered </w:t>
      </w:r>
      <w:r>
        <w:t xml:space="preserve">that the proposed acquisition would not significantly alter Elgas’ </w:t>
      </w:r>
      <w:r w:rsidR="00545AA0">
        <w:t xml:space="preserve">ability and </w:t>
      </w:r>
      <w:r>
        <w:t xml:space="preserve">incentive to supply </w:t>
      </w:r>
      <w:r w:rsidR="007C09DB">
        <w:t xml:space="preserve">LPG to </w:t>
      </w:r>
      <w:r>
        <w:t>other distributors. The ACCC noted that some distributors source and transport LPG by road from alternative sources in Victoria</w:t>
      </w:r>
      <w:r w:rsidR="00C559F9">
        <w:t xml:space="preserve"> and therefore could bypass Elgas if necessary</w:t>
      </w:r>
      <w:r>
        <w:t>. In addition, a</w:t>
      </w:r>
      <w:r w:rsidRPr="005968D9">
        <w:t xml:space="preserve">t the time of </w:t>
      </w:r>
      <w:r w:rsidR="00545AA0">
        <w:t xml:space="preserve">the ACCC’s </w:t>
      </w:r>
      <w:r w:rsidRPr="005968D9">
        <w:t>review, Kleenheat did not own or operate any wholesale LPG production or import facilities on the east coast</w:t>
      </w:r>
      <w:r>
        <w:t xml:space="preserve">. Therefore, no wholesale LPG assets would be acquired by Elgas as part of the proposed acquisition. </w:t>
      </w:r>
    </w:p>
    <w:p w:rsidR="000250BC" w:rsidRDefault="000250BC" w:rsidP="000250BC">
      <w:pPr>
        <w:pStyle w:val="NormalParagraph"/>
        <w:tabs>
          <w:tab w:val="clear" w:pos="360"/>
          <w:tab w:val="num" w:pos="567"/>
        </w:tabs>
        <w:ind w:left="567" w:hanging="567"/>
      </w:pPr>
      <w:r>
        <w:t xml:space="preserve">For these reasons, the ACCC </w:t>
      </w:r>
      <w:r w:rsidR="003237F4">
        <w:t xml:space="preserve">concluded </w:t>
      </w:r>
      <w:r>
        <w:t xml:space="preserve">that Elgas’ </w:t>
      </w:r>
      <w:r w:rsidR="00545AA0">
        <w:t xml:space="preserve">ability and </w:t>
      </w:r>
      <w:r>
        <w:t>incentive to supply wholesale LPG to downstream rivals would not be materially different after the acquisition.</w:t>
      </w:r>
    </w:p>
    <w:p w:rsidR="000250BC" w:rsidRPr="000250BC" w:rsidRDefault="000250BC" w:rsidP="000250BC">
      <w:pPr>
        <w:pStyle w:val="Heading4"/>
      </w:pPr>
      <w:r w:rsidRPr="000250BC">
        <w:t>Automotive LPG</w:t>
      </w:r>
    </w:p>
    <w:p w:rsidR="000250BC" w:rsidRDefault="000250BC" w:rsidP="000250BC">
      <w:pPr>
        <w:pStyle w:val="NormalParagraph"/>
        <w:tabs>
          <w:tab w:val="clear" w:pos="360"/>
          <w:tab w:val="num" w:pos="567"/>
        </w:tabs>
        <w:ind w:left="567" w:hanging="567"/>
      </w:pPr>
      <w:r>
        <w:t xml:space="preserve">Consistent with the ACCC’s preliminary view in the Statement of Issues, concerns </w:t>
      </w:r>
      <w:r w:rsidR="003237F4">
        <w:t xml:space="preserve">were not raised by any </w:t>
      </w:r>
      <w:r>
        <w:t>interested part</w:t>
      </w:r>
      <w:r w:rsidR="003237F4">
        <w:t>y</w:t>
      </w:r>
      <w:r>
        <w:t xml:space="preserve"> </w:t>
      </w:r>
      <w:r w:rsidR="003237F4">
        <w:t xml:space="preserve">about the likely effect of </w:t>
      </w:r>
      <w:r>
        <w:t xml:space="preserve">the proposed acquisition </w:t>
      </w:r>
      <w:r w:rsidR="003237F4">
        <w:t xml:space="preserve">on competition </w:t>
      </w:r>
      <w:r>
        <w:t>in any relevant automotive LPG market.</w:t>
      </w:r>
    </w:p>
    <w:p w:rsidR="000250BC" w:rsidRDefault="000250BC" w:rsidP="00ED0DB2">
      <w:pPr>
        <w:pStyle w:val="Heading3"/>
      </w:pPr>
      <w:r>
        <w:t xml:space="preserve">Competition analysis – issues </w:t>
      </w:r>
      <w:r w:rsidR="00ED0DB2">
        <w:t>of concern</w:t>
      </w:r>
    </w:p>
    <w:p w:rsidR="000250BC" w:rsidRPr="000250BC" w:rsidRDefault="000250BC" w:rsidP="000250BC">
      <w:pPr>
        <w:pStyle w:val="NormalParagraph"/>
        <w:tabs>
          <w:tab w:val="clear" w:pos="360"/>
          <w:tab w:val="num" w:pos="567"/>
        </w:tabs>
        <w:ind w:left="567" w:hanging="567"/>
      </w:pPr>
      <w:r>
        <w:t xml:space="preserve">This section considers the impact of the proposed acquisition on competition for the distribution of non-automotive LPG in state and regional markets. It discusses the ACCC’s competition concerns in these markets and the section 87B undertakings </w:t>
      </w:r>
      <w:r w:rsidR="002328B6">
        <w:t>received from the merger parties.</w:t>
      </w:r>
    </w:p>
    <w:p w:rsidR="009A67C4" w:rsidRPr="009A67C4" w:rsidRDefault="00723005" w:rsidP="009A67C4">
      <w:pPr>
        <w:pStyle w:val="Heading4"/>
      </w:pPr>
      <w:r>
        <w:t xml:space="preserve">Reduction in </w:t>
      </w:r>
      <w:r w:rsidR="000015EA">
        <w:t>the number of distributors</w:t>
      </w:r>
      <w:r>
        <w:t xml:space="preserve"> </w:t>
      </w:r>
      <w:r w:rsidR="009A67C4">
        <w:t>of non-automotive LPG</w:t>
      </w:r>
      <w:r w:rsidR="00B72EBD">
        <w:t xml:space="preserve"> in state and regional markets</w:t>
      </w:r>
    </w:p>
    <w:p w:rsidR="00EA0602" w:rsidRPr="00991BE5" w:rsidRDefault="00EA0602" w:rsidP="00EA0602">
      <w:pPr>
        <w:pStyle w:val="NormalParagraph"/>
        <w:tabs>
          <w:tab w:val="clear" w:pos="360"/>
          <w:tab w:val="num" w:pos="567"/>
        </w:tabs>
        <w:ind w:left="567" w:hanging="567"/>
      </w:pPr>
      <w:r w:rsidRPr="00991BE5">
        <w:t>The three major dist</w:t>
      </w:r>
      <w:r>
        <w:t>ributors of non-automotive LPG</w:t>
      </w:r>
      <w:r w:rsidRPr="00991BE5">
        <w:t xml:space="preserve"> in bulk and cylinders on the east coast are Kleenheat, Elgas and Origin. These distributors have extensive geographic coverage in their networks, including through agent and/or dealer networks in m</w:t>
      </w:r>
      <w:r>
        <w:t>etropolitan and regional areas.</w:t>
      </w:r>
    </w:p>
    <w:p w:rsidR="00DF3A77" w:rsidRDefault="00EA0602" w:rsidP="00DF3A77">
      <w:pPr>
        <w:pStyle w:val="NormalParagraph"/>
        <w:tabs>
          <w:tab w:val="clear" w:pos="360"/>
          <w:tab w:val="num" w:pos="567"/>
        </w:tabs>
        <w:ind w:left="567" w:hanging="567"/>
      </w:pPr>
      <w:r>
        <w:t xml:space="preserve">The ACCC was particularly concerned </w:t>
      </w:r>
      <w:r w:rsidR="00C034F3">
        <w:t>that</w:t>
      </w:r>
      <w:r w:rsidR="00A94605" w:rsidRPr="004B47A1">
        <w:t xml:space="preserve"> aggregating two of the three largest distributors of </w:t>
      </w:r>
      <w:r>
        <w:t xml:space="preserve">non-automotive </w:t>
      </w:r>
      <w:r w:rsidR="00C034F3">
        <w:t xml:space="preserve">LPG </w:t>
      </w:r>
      <w:r w:rsidR="00A94605" w:rsidRPr="004B47A1">
        <w:t xml:space="preserve">would </w:t>
      </w:r>
      <w:r w:rsidR="00C034F3">
        <w:t xml:space="preserve">enhance </w:t>
      </w:r>
      <w:r w:rsidR="00A94605" w:rsidRPr="004B47A1">
        <w:t xml:space="preserve">the ability and incentive of the merged entity to raise prices </w:t>
      </w:r>
      <w:r w:rsidR="00A94605" w:rsidRPr="006E4E89">
        <w:rPr>
          <w:color w:val="000000"/>
        </w:rPr>
        <w:t xml:space="preserve">and/or reduce service </w:t>
      </w:r>
      <w:r w:rsidRPr="006E4E89">
        <w:rPr>
          <w:color w:val="000000"/>
        </w:rPr>
        <w:t>levels</w:t>
      </w:r>
      <w:r w:rsidRPr="004B47A1">
        <w:t xml:space="preserve"> </w:t>
      </w:r>
      <w:r w:rsidR="00C5510E">
        <w:t xml:space="preserve">in </w:t>
      </w:r>
      <w:r w:rsidR="00A167D1">
        <w:t>bulk and cylinder markets</w:t>
      </w:r>
      <w:r w:rsidR="00BB0640">
        <w:t>.</w:t>
      </w:r>
    </w:p>
    <w:p w:rsidR="00B94804" w:rsidRDefault="00C559F9" w:rsidP="007D371B">
      <w:pPr>
        <w:pStyle w:val="NormalParagraph"/>
        <w:tabs>
          <w:tab w:val="clear" w:pos="360"/>
          <w:tab w:val="num" w:pos="567"/>
        </w:tabs>
        <w:ind w:left="567" w:hanging="567"/>
      </w:pPr>
      <w:r>
        <w:t>Following the acquisition</w:t>
      </w:r>
      <w:r w:rsidR="00941562">
        <w:t>,</w:t>
      </w:r>
      <w:r w:rsidR="00A94605" w:rsidRPr="00991BE5">
        <w:t xml:space="preserve"> </w:t>
      </w:r>
      <w:r w:rsidR="00AD319D">
        <w:t>markets</w:t>
      </w:r>
      <w:r w:rsidR="00881B4C">
        <w:t xml:space="preserve"> for the distribution of non-automotive LPG</w:t>
      </w:r>
      <w:r w:rsidR="00AD319D">
        <w:t xml:space="preserve"> </w:t>
      </w:r>
      <w:r w:rsidR="00A94605" w:rsidRPr="00991BE5">
        <w:t xml:space="preserve">in </w:t>
      </w:r>
      <w:r w:rsidR="00AD319D">
        <w:t>Vic</w:t>
      </w:r>
      <w:r w:rsidR="00C034F3">
        <w:t>toria, New South Wales</w:t>
      </w:r>
      <w:r w:rsidR="00A94605">
        <w:t xml:space="preserve"> </w:t>
      </w:r>
      <w:r w:rsidR="00A94605" w:rsidRPr="00991BE5">
        <w:t>and the A</w:t>
      </w:r>
      <w:r w:rsidR="00C034F3">
        <w:t xml:space="preserve">ustralian </w:t>
      </w:r>
      <w:r w:rsidR="00A94605" w:rsidRPr="00991BE5">
        <w:t>C</w:t>
      </w:r>
      <w:r w:rsidR="00C034F3">
        <w:t xml:space="preserve">apital </w:t>
      </w:r>
      <w:r w:rsidR="00A94605" w:rsidRPr="00991BE5">
        <w:t>T</w:t>
      </w:r>
      <w:r w:rsidR="00C034F3">
        <w:t>erritory</w:t>
      </w:r>
      <w:r w:rsidR="000823B6">
        <w:t xml:space="preserve"> </w:t>
      </w:r>
      <w:r>
        <w:t>would be highly</w:t>
      </w:r>
      <w:r w:rsidR="000823B6">
        <w:t xml:space="preserve"> concentrated</w:t>
      </w:r>
      <w:r w:rsidR="00941562">
        <w:t xml:space="preserve"> </w:t>
      </w:r>
      <w:r w:rsidR="00881B4C">
        <w:t xml:space="preserve">with the </w:t>
      </w:r>
      <w:r w:rsidR="00A94605" w:rsidRPr="00991BE5">
        <w:t xml:space="preserve">merged entity </w:t>
      </w:r>
      <w:r w:rsidR="000823B6">
        <w:t>becom</w:t>
      </w:r>
      <w:r w:rsidR="00881B4C">
        <w:t>ing</w:t>
      </w:r>
      <w:r w:rsidR="00A94605" w:rsidRPr="00991BE5">
        <w:t xml:space="preserve"> </w:t>
      </w:r>
      <w:r w:rsidR="00A54DA9">
        <w:t xml:space="preserve">the </w:t>
      </w:r>
      <w:r w:rsidR="00A94605" w:rsidRPr="00991BE5">
        <w:t>largest distributor by a significant margin</w:t>
      </w:r>
      <w:r w:rsidR="00941562">
        <w:t xml:space="preserve">. </w:t>
      </w:r>
      <w:r w:rsidR="00FB2C60">
        <w:t>This is of particular concern</w:t>
      </w:r>
      <w:r w:rsidR="00723005">
        <w:t xml:space="preserve"> </w:t>
      </w:r>
      <w:r w:rsidR="00881B4C">
        <w:t>as</w:t>
      </w:r>
      <w:r w:rsidR="00723005">
        <w:t xml:space="preserve"> barriers to entry</w:t>
      </w:r>
      <w:r w:rsidR="00DF15AE">
        <w:t xml:space="preserve"> or expansion</w:t>
      </w:r>
      <w:r w:rsidR="00723005">
        <w:t xml:space="preserve"> </w:t>
      </w:r>
      <w:r w:rsidR="00881B4C">
        <w:t xml:space="preserve">in these markets are </w:t>
      </w:r>
      <w:r w:rsidR="00723005">
        <w:t>considered high</w:t>
      </w:r>
      <w:r w:rsidR="00DF15AE">
        <w:t xml:space="preserve"> (discussed below at paragraphs </w:t>
      </w:r>
      <w:r w:rsidR="00DF15AE" w:rsidRPr="005C0E6C">
        <w:fldChar w:fldCharType="begin"/>
      </w:r>
      <w:r w:rsidR="00DF15AE" w:rsidRPr="005C0E6C">
        <w:instrText xml:space="preserve"> REF _Ref414537930 \r \h  \* MERGEFORMAT </w:instrText>
      </w:r>
      <w:r w:rsidR="00DF15AE" w:rsidRPr="005C0E6C">
        <w:fldChar w:fldCharType="separate"/>
      </w:r>
      <w:r w:rsidR="004A01FB">
        <w:t>89</w:t>
      </w:r>
      <w:r w:rsidR="00DF15AE" w:rsidRPr="005C0E6C">
        <w:fldChar w:fldCharType="end"/>
      </w:r>
      <w:r w:rsidR="00DF15AE" w:rsidRPr="005C0E6C">
        <w:t xml:space="preserve"> to </w:t>
      </w:r>
      <w:r w:rsidR="00DF15AE" w:rsidRPr="005C0E6C">
        <w:fldChar w:fldCharType="begin"/>
      </w:r>
      <w:r w:rsidR="00DF15AE" w:rsidRPr="005C0E6C">
        <w:instrText xml:space="preserve"> REF _Ref414537933 \r \h  \* MERGEFORMAT </w:instrText>
      </w:r>
      <w:r w:rsidR="00DF15AE" w:rsidRPr="005C0E6C">
        <w:fldChar w:fldCharType="separate"/>
      </w:r>
      <w:r w:rsidR="004A01FB">
        <w:t>91</w:t>
      </w:r>
      <w:r w:rsidR="00DF15AE" w:rsidRPr="005C0E6C">
        <w:fldChar w:fldCharType="end"/>
      </w:r>
      <w:r w:rsidR="00DF15AE">
        <w:t>)</w:t>
      </w:r>
      <w:r w:rsidR="00B94804">
        <w:t>.</w:t>
      </w:r>
    </w:p>
    <w:p w:rsidR="002C7D56" w:rsidRPr="00BD4F17" w:rsidRDefault="003237F4" w:rsidP="002C7D56">
      <w:pPr>
        <w:pStyle w:val="NormalParagraph"/>
        <w:tabs>
          <w:tab w:val="clear" w:pos="360"/>
          <w:tab w:val="num" w:pos="567"/>
        </w:tabs>
        <w:ind w:left="567" w:hanging="567"/>
        <w:rPr>
          <w:rFonts w:cs="Arial"/>
        </w:rPr>
      </w:pPr>
      <w:r>
        <w:rPr>
          <w:rFonts w:cs="Arial"/>
        </w:rPr>
        <w:t xml:space="preserve">The ACCC </w:t>
      </w:r>
      <w:r w:rsidR="002C7D56" w:rsidRPr="00926400">
        <w:rPr>
          <w:rFonts w:cs="Arial"/>
        </w:rPr>
        <w:t>note</w:t>
      </w:r>
      <w:r w:rsidR="002C7D56">
        <w:rPr>
          <w:rFonts w:cs="Arial"/>
        </w:rPr>
        <w:t>d</w:t>
      </w:r>
      <w:r w:rsidR="002C7D56" w:rsidRPr="00926400">
        <w:rPr>
          <w:rFonts w:cs="Arial"/>
        </w:rPr>
        <w:t xml:space="preserve"> that </w:t>
      </w:r>
      <w:r w:rsidR="002C7D56">
        <w:rPr>
          <w:rFonts w:cs="Arial"/>
        </w:rPr>
        <w:t xml:space="preserve">non-automotive </w:t>
      </w:r>
      <w:r w:rsidR="002C7D56" w:rsidRPr="00926400">
        <w:rPr>
          <w:rFonts w:cs="Arial"/>
        </w:rPr>
        <w:t xml:space="preserve">LPG </w:t>
      </w:r>
      <w:r w:rsidR="002C7D56">
        <w:rPr>
          <w:rFonts w:cs="Arial"/>
        </w:rPr>
        <w:t>prices charged to customers varied</w:t>
      </w:r>
      <w:r w:rsidR="002C7D56" w:rsidRPr="00926400">
        <w:rPr>
          <w:rFonts w:cs="Arial"/>
        </w:rPr>
        <w:t xml:space="preserve"> significantly not only between states, but also </w:t>
      </w:r>
      <w:r w:rsidR="002C7D56">
        <w:rPr>
          <w:rFonts w:cs="Arial"/>
        </w:rPr>
        <w:t>between regions within states. The ACCC’s m</w:t>
      </w:r>
      <w:r w:rsidR="002C7D56" w:rsidRPr="00926400">
        <w:rPr>
          <w:rFonts w:cs="Arial"/>
        </w:rPr>
        <w:t xml:space="preserve">arket inquiries </w:t>
      </w:r>
      <w:r w:rsidR="002C7D56">
        <w:rPr>
          <w:rFonts w:cs="Arial"/>
        </w:rPr>
        <w:t>revealed</w:t>
      </w:r>
      <w:r w:rsidR="002C7D56" w:rsidRPr="00926400">
        <w:rPr>
          <w:rFonts w:cs="Arial"/>
        </w:rPr>
        <w:t xml:space="preserve"> that these price differences </w:t>
      </w:r>
      <w:r w:rsidR="002C7D56">
        <w:rPr>
          <w:rFonts w:cs="Arial"/>
        </w:rPr>
        <w:t>were</w:t>
      </w:r>
      <w:r w:rsidR="002C7D56" w:rsidRPr="00926400">
        <w:rPr>
          <w:rFonts w:cs="Arial"/>
        </w:rPr>
        <w:t xml:space="preserve"> influenced by the intensity of competition</w:t>
      </w:r>
      <w:r w:rsidR="00835CCF">
        <w:rPr>
          <w:rFonts w:cs="Arial"/>
        </w:rPr>
        <w:t>, which depended on</w:t>
      </w:r>
      <w:r w:rsidR="002C7D56" w:rsidRPr="00926400">
        <w:rPr>
          <w:rFonts w:cs="Arial"/>
        </w:rPr>
        <w:t xml:space="preserve"> the number and effectiveness of competitors present.</w:t>
      </w:r>
      <w:r w:rsidR="002C7D56">
        <w:rPr>
          <w:rFonts w:cs="Arial"/>
        </w:rPr>
        <w:t xml:space="preserve"> Therefore, the ACCC considered both state and regional aspects of the competitive process.</w:t>
      </w:r>
    </w:p>
    <w:p w:rsidR="00AF1C65" w:rsidRDefault="00B72EBD" w:rsidP="00095FE5">
      <w:pPr>
        <w:pStyle w:val="NormalParagraph"/>
        <w:tabs>
          <w:tab w:val="clear" w:pos="360"/>
          <w:tab w:val="num" w:pos="567"/>
        </w:tabs>
        <w:ind w:left="567" w:hanging="567"/>
      </w:pPr>
      <w:r>
        <w:t xml:space="preserve">The ACCC recognised the complexity of distribution networks </w:t>
      </w:r>
      <w:r w:rsidR="00A54DA9">
        <w:t>and the</w:t>
      </w:r>
      <w:r>
        <w:t xml:space="preserve"> large number of variables that determine </w:t>
      </w:r>
      <w:r w:rsidRPr="005670D8">
        <w:t xml:space="preserve">whether a particular customer could be served </w:t>
      </w:r>
      <w:r>
        <w:t xml:space="preserve">on competitive terms </w:t>
      </w:r>
      <w:r w:rsidRPr="005670D8">
        <w:t>by an alternative distributor, dealer or agent.</w:t>
      </w:r>
      <w:r>
        <w:t xml:space="preserve"> </w:t>
      </w:r>
      <w:r w:rsidR="002C7D56" w:rsidRPr="00600E1F">
        <w:t>For instance, the ACCC’s market inquiries since the Statement of Issues highlighted that</w:t>
      </w:r>
      <w:r w:rsidR="002C7D56">
        <w:t xml:space="preserve"> </w:t>
      </w:r>
      <w:r w:rsidR="002C7D56" w:rsidRPr="00600E1F">
        <w:t xml:space="preserve">having a locally based LPG depot </w:t>
      </w:r>
      <w:r w:rsidR="00876C70">
        <w:t xml:space="preserve">can </w:t>
      </w:r>
      <w:r w:rsidR="002C7D56" w:rsidRPr="00600E1F">
        <w:t>provide a competitive advantage for an incumbent</w:t>
      </w:r>
      <w:r w:rsidR="002C7D56">
        <w:t xml:space="preserve"> distributor. </w:t>
      </w:r>
    </w:p>
    <w:p w:rsidR="00B72EBD" w:rsidRDefault="002C7D56" w:rsidP="00095FE5">
      <w:pPr>
        <w:pStyle w:val="NormalParagraph"/>
        <w:tabs>
          <w:tab w:val="clear" w:pos="360"/>
          <w:tab w:val="num" w:pos="567"/>
        </w:tabs>
        <w:ind w:left="567" w:hanging="567"/>
      </w:pPr>
      <w:r>
        <w:t>However,</w:t>
      </w:r>
      <w:r w:rsidRPr="00600E1F">
        <w:t xml:space="preserve"> it </w:t>
      </w:r>
      <w:r w:rsidR="00AF1C65">
        <w:t>is</w:t>
      </w:r>
      <w:r w:rsidR="00E10514" w:rsidRPr="00600E1F">
        <w:t xml:space="preserve"> </w:t>
      </w:r>
      <w:r w:rsidRPr="00600E1F">
        <w:t xml:space="preserve">possible </w:t>
      </w:r>
      <w:r>
        <w:t>for distributors in some circumstances</w:t>
      </w:r>
      <w:r w:rsidRPr="00600E1F">
        <w:t xml:space="preserve"> </w:t>
      </w:r>
      <w:r>
        <w:t>to</w:t>
      </w:r>
      <w:r w:rsidRPr="00600E1F">
        <w:t xml:space="preserve"> </w:t>
      </w:r>
      <w:r w:rsidR="00E10514" w:rsidRPr="00600E1F">
        <w:t xml:space="preserve">compete </w:t>
      </w:r>
      <w:r w:rsidRPr="00600E1F">
        <w:t xml:space="preserve">effectively for customers in </w:t>
      </w:r>
      <w:r w:rsidR="003163FF">
        <w:t xml:space="preserve">a </w:t>
      </w:r>
      <w:r>
        <w:t>town without having a depot in th</w:t>
      </w:r>
      <w:r w:rsidR="00876C70">
        <w:t>at town or</w:t>
      </w:r>
      <w:r>
        <w:t xml:space="preserve"> surrounding region.</w:t>
      </w:r>
      <w:r w:rsidR="00F66ABE">
        <w:t xml:space="preserve"> </w:t>
      </w:r>
      <w:r w:rsidR="00723005">
        <w:t xml:space="preserve">In particular, the </w:t>
      </w:r>
      <w:r w:rsidR="00E10514">
        <w:t xml:space="preserve">more extensive a competitor’s network is, the </w:t>
      </w:r>
      <w:r w:rsidR="000C22EF">
        <w:t>better placed i</w:t>
      </w:r>
      <w:r w:rsidR="00E10514">
        <w:t xml:space="preserve">t </w:t>
      </w:r>
      <w:r w:rsidR="000C22EF">
        <w:t>is</w:t>
      </w:r>
      <w:r w:rsidR="00E10514">
        <w:t xml:space="preserve"> to compete </w:t>
      </w:r>
      <w:r w:rsidR="000C22EF">
        <w:t>for and attract new</w:t>
      </w:r>
      <w:r w:rsidR="00E10514">
        <w:t xml:space="preserve"> customers. </w:t>
      </w:r>
      <w:r>
        <w:t>Elgas and Kleenheat</w:t>
      </w:r>
      <w:r w:rsidR="00835CCF">
        <w:t xml:space="preserve"> </w:t>
      </w:r>
      <w:r w:rsidR="00876C70">
        <w:t xml:space="preserve">have </w:t>
      </w:r>
      <w:r>
        <w:t xml:space="preserve">extensive distribution networks with the ability to serve different customers in </w:t>
      </w:r>
      <w:r w:rsidR="000C22EF">
        <w:t xml:space="preserve">both </w:t>
      </w:r>
      <w:r>
        <w:t>metropolitan and regional areas.</w:t>
      </w:r>
    </w:p>
    <w:p w:rsidR="00DF3A77" w:rsidRDefault="00DF3A77" w:rsidP="00DF3A77">
      <w:pPr>
        <w:pStyle w:val="NormalParagraph"/>
        <w:tabs>
          <w:tab w:val="clear" w:pos="360"/>
          <w:tab w:val="num" w:pos="567"/>
        </w:tabs>
        <w:ind w:left="567" w:hanging="567"/>
      </w:pPr>
      <w:r>
        <w:t xml:space="preserve">The ACCC considered that the proposed acquisition would not be likely to </w:t>
      </w:r>
      <w:r w:rsidR="003237F4">
        <w:t xml:space="preserve">have the effect of </w:t>
      </w:r>
      <w:r>
        <w:t>substantial</w:t>
      </w:r>
      <w:r w:rsidR="003237F4">
        <w:t>ly</w:t>
      </w:r>
      <w:r>
        <w:t xml:space="preserve"> lessening competition in the other relevant eastern states (Queensland, South Australia and Tasmania). Elgas and Kleenheat have a smaller presence in these states, </w:t>
      </w:r>
      <w:r w:rsidR="00546A56">
        <w:t xml:space="preserve">while </w:t>
      </w:r>
      <w:r>
        <w:t>Origin has a stronger competitive presence</w:t>
      </w:r>
      <w:r w:rsidR="00546A56">
        <w:t>. There are also a number of smaller distributors. Taken collectively, the ACCC found that these</w:t>
      </w:r>
      <w:r>
        <w:t xml:space="preserve"> </w:t>
      </w:r>
      <w:r w:rsidR="00546A56">
        <w:t xml:space="preserve">competitors </w:t>
      </w:r>
      <w:r>
        <w:t xml:space="preserve">would be </w:t>
      </w:r>
      <w:r w:rsidR="00546A56">
        <w:t>sufficient</w:t>
      </w:r>
      <w:r w:rsidR="00DC2DE7">
        <w:t xml:space="preserve"> to constrain</w:t>
      </w:r>
      <w:r>
        <w:t xml:space="preserve"> the merged entity</w:t>
      </w:r>
      <w:r w:rsidR="00546A56">
        <w:t xml:space="preserve"> in the other states.</w:t>
      </w:r>
    </w:p>
    <w:p w:rsidR="00EB22F7" w:rsidRDefault="00723005" w:rsidP="00265D15">
      <w:pPr>
        <w:pStyle w:val="Heading5"/>
      </w:pPr>
      <w:r>
        <w:t>Level of constraint provided by</w:t>
      </w:r>
      <w:r w:rsidR="00EB22F7">
        <w:t xml:space="preserve"> </w:t>
      </w:r>
      <w:r w:rsidR="00304325">
        <w:t xml:space="preserve">other </w:t>
      </w:r>
      <w:r w:rsidR="00EB22F7">
        <w:t>distributors</w:t>
      </w:r>
    </w:p>
    <w:p w:rsidR="008F39C4" w:rsidRDefault="00A94605" w:rsidP="008F39C4">
      <w:pPr>
        <w:pStyle w:val="NormalParagraph"/>
        <w:tabs>
          <w:tab w:val="clear" w:pos="360"/>
          <w:tab w:val="num" w:pos="567"/>
        </w:tabs>
        <w:ind w:left="567" w:hanging="567"/>
      </w:pPr>
      <w:r w:rsidRPr="005670D8">
        <w:t xml:space="preserve">Smaller distributors such as Supagas and Renegade </w:t>
      </w:r>
      <w:r w:rsidR="000102D6">
        <w:t>operate in</w:t>
      </w:r>
      <w:r w:rsidRPr="005670D8">
        <w:t xml:space="preserve"> metropolitan areas and major regional hubs. A</w:t>
      </w:r>
      <w:r w:rsidR="00B72EBD">
        <w:t xml:space="preserve">t the time of </w:t>
      </w:r>
      <w:r w:rsidR="003237F4">
        <w:t xml:space="preserve">the ACCC’s </w:t>
      </w:r>
      <w:r w:rsidR="009A2F57">
        <w:t>review, these distributors</w:t>
      </w:r>
      <w:r w:rsidR="00B72EBD">
        <w:t xml:space="preserve"> had</w:t>
      </w:r>
      <w:r w:rsidRPr="005670D8">
        <w:t xml:space="preserve"> limited network coverage in regional </w:t>
      </w:r>
      <w:r w:rsidR="00A6568E">
        <w:t>or rural areas</w:t>
      </w:r>
      <w:r w:rsidR="00B72EBD">
        <w:t>, especially</w:t>
      </w:r>
      <w:r w:rsidR="00A6568E">
        <w:t xml:space="preserve"> </w:t>
      </w:r>
      <w:r w:rsidR="00BB6013">
        <w:t xml:space="preserve">in areas </w:t>
      </w:r>
      <w:r w:rsidR="00A6568E">
        <w:t xml:space="preserve">where there </w:t>
      </w:r>
      <w:r w:rsidR="00C229CF">
        <w:t>is</w:t>
      </w:r>
      <w:r w:rsidR="00C229CF" w:rsidRPr="005670D8">
        <w:t xml:space="preserve"> </w:t>
      </w:r>
      <w:r w:rsidRPr="005670D8">
        <w:t xml:space="preserve">low </w:t>
      </w:r>
      <w:r w:rsidR="00A6568E">
        <w:rPr>
          <w:rFonts w:cs="Arial"/>
        </w:rPr>
        <w:t>demand.</w:t>
      </w:r>
    </w:p>
    <w:p w:rsidR="00AD61FF" w:rsidRDefault="00AD61FF" w:rsidP="008F39C4">
      <w:pPr>
        <w:pStyle w:val="NormalParagraph"/>
        <w:tabs>
          <w:tab w:val="clear" w:pos="360"/>
          <w:tab w:val="num" w:pos="567"/>
        </w:tabs>
        <w:ind w:left="567" w:hanging="567"/>
      </w:pPr>
      <w:r>
        <w:t>Origin is a larger market participant but it has a limited</w:t>
      </w:r>
      <w:r w:rsidR="00304325">
        <w:t xml:space="preserve"> network in some areas, especially in parts of </w:t>
      </w:r>
      <w:r w:rsidR="008F0F8D">
        <w:t xml:space="preserve">regional </w:t>
      </w:r>
      <w:r w:rsidR="00304325">
        <w:t>Victoria</w:t>
      </w:r>
      <w:r w:rsidR="009A2F57">
        <w:t>.</w:t>
      </w:r>
      <w:r w:rsidR="00957DB6">
        <w:t xml:space="preserve"> T</w:t>
      </w:r>
      <w:r w:rsidR="00304325">
        <w:t>he ACCC was concerned that Origin would not constrain Elgas after the acquisition</w:t>
      </w:r>
      <w:r w:rsidR="00E73504">
        <w:t xml:space="preserve"> </w:t>
      </w:r>
      <w:r w:rsidR="00957DB6">
        <w:t xml:space="preserve">due to </w:t>
      </w:r>
      <w:r w:rsidR="009A2F57">
        <w:t>gaps</w:t>
      </w:r>
      <w:r w:rsidR="00957DB6">
        <w:t xml:space="preserve"> in Origin’s network in these areas, and the barriers to expanding into new areas (discussed below at paragraphs </w:t>
      </w:r>
      <w:r w:rsidR="00107DB7" w:rsidRPr="005C0E6C">
        <w:fldChar w:fldCharType="begin"/>
      </w:r>
      <w:r w:rsidR="00107DB7" w:rsidRPr="005C0E6C">
        <w:instrText xml:space="preserve"> REF _Ref414537930 \r \h  \* MERGEFORMAT </w:instrText>
      </w:r>
      <w:r w:rsidR="00107DB7" w:rsidRPr="005C0E6C">
        <w:fldChar w:fldCharType="separate"/>
      </w:r>
      <w:r w:rsidR="004A01FB">
        <w:t>89</w:t>
      </w:r>
      <w:r w:rsidR="00107DB7" w:rsidRPr="005C0E6C">
        <w:fldChar w:fldCharType="end"/>
      </w:r>
      <w:r w:rsidR="00107DB7" w:rsidRPr="005C0E6C">
        <w:t xml:space="preserve"> to </w:t>
      </w:r>
      <w:r w:rsidR="00107DB7" w:rsidRPr="005C0E6C">
        <w:fldChar w:fldCharType="begin"/>
      </w:r>
      <w:r w:rsidR="00107DB7" w:rsidRPr="005C0E6C">
        <w:instrText xml:space="preserve"> REF _Ref414537933 \r \h  \* MERGEFORMAT </w:instrText>
      </w:r>
      <w:r w:rsidR="00107DB7" w:rsidRPr="005C0E6C">
        <w:fldChar w:fldCharType="separate"/>
      </w:r>
      <w:r w:rsidR="004A01FB">
        <w:t>91</w:t>
      </w:r>
      <w:r w:rsidR="00107DB7" w:rsidRPr="005C0E6C">
        <w:fldChar w:fldCharType="end"/>
      </w:r>
      <w:r w:rsidR="00957DB6">
        <w:t>)</w:t>
      </w:r>
      <w:r w:rsidR="00E110D9">
        <w:t>.</w:t>
      </w:r>
    </w:p>
    <w:p w:rsidR="008F39C4" w:rsidRDefault="008F39C4" w:rsidP="008F39C4">
      <w:pPr>
        <w:pStyle w:val="NormalParagraph"/>
        <w:tabs>
          <w:tab w:val="clear" w:pos="360"/>
          <w:tab w:val="num" w:pos="567"/>
        </w:tabs>
        <w:ind w:left="567" w:hanging="567"/>
      </w:pPr>
      <w:r>
        <w:t>Accordingly</w:t>
      </w:r>
      <w:r w:rsidRPr="00BC38C1">
        <w:t xml:space="preserve">, </w:t>
      </w:r>
      <w:r>
        <w:t xml:space="preserve">absent the undertakings, the ACCC was concerned that </w:t>
      </w:r>
      <w:r w:rsidR="00BB6013">
        <w:t xml:space="preserve">Origin and </w:t>
      </w:r>
      <w:r>
        <w:t xml:space="preserve">smaller distributors would pose a limited </w:t>
      </w:r>
      <w:r w:rsidRPr="00BC38C1">
        <w:t xml:space="preserve">constraint </w:t>
      </w:r>
      <w:r>
        <w:t>on Elgas</w:t>
      </w:r>
      <w:r w:rsidR="00BB6013">
        <w:t xml:space="preserve"> after the acquisition in certain geographic areas (mainly regional) in Victoria, New South Wales and the Australian Capital Territory.</w:t>
      </w:r>
    </w:p>
    <w:p w:rsidR="00B72EBD" w:rsidRDefault="00B72EBD" w:rsidP="00265D15">
      <w:pPr>
        <w:pStyle w:val="Heading5"/>
      </w:pPr>
      <w:r>
        <w:t>Barriers to entry and expansion</w:t>
      </w:r>
    </w:p>
    <w:p w:rsidR="00BB5024" w:rsidRDefault="00DB45E0" w:rsidP="00E100E2">
      <w:pPr>
        <w:pStyle w:val="NormalParagraph"/>
        <w:tabs>
          <w:tab w:val="clear" w:pos="360"/>
          <w:tab w:val="num" w:pos="567"/>
        </w:tabs>
        <w:ind w:left="567" w:hanging="567"/>
      </w:pPr>
      <w:bookmarkStart w:id="12" w:name="_Ref414537930"/>
      <w:r>
        <w:t xml:space="preserve">The ACCC considered that there </w:t>
      </w:r>
      <w:r w:rsidR="00304325">
        <w:t xml:space="preserve">are </w:t>
      </w:r>
      <w:r>
        <w:t xml:space="preserve">high barriers to </w:t>
      </w:r>
      <w:r w:rsidR="00820322">
        <w:t>entry</w:t>
      </w:r>
      <w:r w:rsidR="00BB5024">
        <w:t xml:space="preserve"> and expansion in </w:t>
      </w:r>
      <w:r w:rsidR="00820322">
        <w:t>the distribution of non-automotive LPG</w:t>
      </w:r>
      <w:r w:rsidR="00304325">
        <w:t xml:space="preserve"> and</w:t>
      </w:r>
      <w:r w:rsidR="00C10EFD">
        <w:t xml:space="preserve"> </w:t>
      </w:r>
      <w:r w:rsidR="00BB5024">
        <w:t>there was unlikely to be any significant new entry or expa</w:t>
      </w:r>
      <w:r w:rsidR="00D67DC9">
        <w:t>nsion in the foreseeable future.</w:t>
      </w:r>
      <w:bookmarkEnd w:id="12"/>
    </w:p>
    <w:p w:rsidR="00536C3F" w:rsidRDefault="00D31FB1" w:rsidP="00E100E2">
      <w:pPr>
        <w:pStyle w:val="NormalParagraph"/>
        <w:tabs>
          <w:tab w:val="clear" w:pos="360"/>
          <w:tab w:val="num" w:pos="567"/>
        </w:tabs>
        <w:ind w:left="567" w:hanging="567"/>
      </w:pPr>
      <w:r>
        <w:t>Market inquiries</w:t>
      </w:r>
      <w:r w:rsidR="00BB5024">
        <w:t xml:space="preserve"> </w:t>
      </w:r>
      <w:r w:rsidR="00EE6790">
        <w:t xml:space="preserve">identified </w:t>
      </w:r>
      <w:r w:rsidR="009A2F57">
        <w:t xml:space="preserve">a number of </w:t>
      </w:r>
      <w:r w:rsidR="00EE6790">
        <w:t>barriers</w:t>
      </w:r>
      <w:r w:rsidR="009A2F57">
        <w:t>,</w:t>
      </w:r>
      <w:r w:rsidR="00EE6790">
        <w:t xml:space="preserve"> </w:t>
      </w:r>
      <w:r w:rsidR="00536C3F">
        <w:t>includ</w:t>
      </w:r>
      <w:r w:rsidR="00EE6790">
        <w:t>ing</w:t>
      </w:r>
      <w:r w:rsidR="00536C3F">
        <w:t>:</w:t>
      </w:r>
    </w:p>
    <w:p w:rsidR="00DB45E0" w:rsidRDefault="00C10EFD" w:rsidP="00BB5024">
      <w:pPr>
        <w:pStyle w:val="ListParagraph"/>
        <w:numPr>
          <w:ilvl w:val="0"/>
          <w:numId w:val="6"/>
        </w:numPr>
      </w:pPr>
      <w:r>
        <w:t>h</w:t>
      </w:r>
      <w:r w:rsidR="00DB45E0">
        <w:t>igh capital costs required to establish a distribution network, including sunk costs, relative to the potential returns and long recoupment period</w:t>
      </w:r>
    </w:p>
    <w:p w:rsidR="00DB45E0" w:rsidRDefault="00DB45E0" w:rsidP="00820322">
      <w:pPr>
        <w:pStyle w:val="ListParagraph"/>
        <w:numPr>
          <w:ilvl w:val="0"/>
          <w:numId w:val="6"/>
        </w:numPr>
      </w:pPr>
      <w:r>
        <w:t>a critical mass of customers required to support investment in a distribution network</w:t>
      </w:r>
      <w:r w:rsidR="00BB0640">
        <w:t xml:space="preserve"> and to achieve economies of scale</w:t>
      </w:r>
      <w:r>
        <w:t xml:space="preserve">, which is </w:t>
      </w:r>
      <w:r w:rsidR="00C10EFD">
        <w:t xml:space="preserve">made </w:t>
      </w:r>
      <w:r w:rsidR="00776880">
        <w:t>more</w:t>
      </w:r>
      <w:r>
        <w:t xml:space="preserve"> difficult in areas where there </w:t>
      </w:r>
      <w:r w:rsidR="00BB0640">
        <w:t xml:space="preserve">is </w:t>
      </w:r>
      <w:r>
        <w:t xml:space="preserve">low </w:t>
      </w:r>
      <w:r w:rsidR="00BB0640">
        <w:t>demand</w:t>
      </w:r>
    </w:p>
    <w:p w:rsidR="00776880" w:rsidRDefault="00776880" w:rsidP="00820322">
      <w:pPr>
        <w:pStyle w:val="ListParagraph"/>
        <w:numPr>
          <w:ilvl w:val="0"/>
          <w:numId w:val="6"/>
        </w:numPr>
      </w:pPr>
      <w:r>
        <w:t xml:space="preserve">access to a competitive source of wholesale LPG which would allow </w:t>
      </w:r>
      <w:r w:rsidR="00C10EFD">
        <w:t xml:space="preserve">parties </w:t>
      </w:r>
      <w:r>
        <w:t xml:space="preserve">to compete effectively with incumbent distributors </w:t>
      </w:r>
    </w:p>
    <w:p w:rsidR="00776880" w:rsidRDefault="00776880" w:rsidP="00820322">
      <w:pPr>
        <w:pStyle w:val="ListParagraph"/>
        <w:numPr>
          <w:ilvl w:val="0"/>
          <w:numId w:val="6"/>
        </w:numPr>
      </w:pPr>
      <w:r>
        <w:t>strategic barriers, whether real or perceived</w:t>
      </w:r>
      <w:r w:rsidR="004E5535">
        <w:t>,</w:t>
      </w:r>
      <w:r w:rsidR="00D31FB1">
        <w:t xml:space="preserve"> such as</w:t>
      </w:r>
      <w:r w:rsidR="004E5535">
        <w:t xml:space="preserve"> retaliatory action </w:t>
      </w:r>
      <w:r w:rsidR="00EA352C">
        <w:t>against</w:t>
      </w:r>
      <w:r w:rsidR="004E5535">
        <w:t xml:space="preserve"> potential rivals </w:t>
      </w:r>
      <w:r w:rsidR="00F338F6">
        <w:t>designed</w:t>
      </w:r>
      <w:r w:rsidR="001B5168">
        <w:t xml:space="preserve"> </w:t>
      </w:r>
      <w:r w:rsidR="004E5535">
        <w:t xml:space="preserve">to </w:t>
      </w:r>
      <w:r w:rsidR="001B5168">
        <w:t>deter them from seeking to</w:t>
      </w:r>
      <w:r w:rsidR="00EA352C">
        <w:t xml:space="preserve"> </w:t>
      </w:r>
      <w:r w:rsidR="001B5168">
        <w:t xml:space="preserve">compete </w:t>
      </w:r>
      <w:r w:rsidR="0047491D">
        <w:t xml:space="preserve">to </w:t>
      </w:r>
      <w:r w:rsidR="001B5168">
        <w:t xml:space="preserve">attract </w:t>
      </w:r>
      <w:r w:rsidR="004E5535">
        <w:t>a critical mass of customers</w:t>
      </w:r>
      <w:r w:rsidR="00C10EFD">
        <w:t>.</w:t>
      </w:r>
    </w:p>
    <w:p w:rsidR="00536C3F" w:rsidRDefault="00536C3F" w:rsidP="00536C3F">
      <w:pPr>
        <w:pStyle w:val="NormalParagraph"/>
        <w:tabs>
          <w:tab w:val="clear" w:pos="360"/>
          <w:tab w:val="num" w:pos="567"/>
        </w:tabs>
        <w:ind w:left="567" w:hanging="567"/>
      </w:pPr>
      <w:bookmarkStart w:id="13" w:name="_Ref414537933"/>
      <w:r>
        <w:t xml:space="preserve">The ACCC considered that </w:t>
      </w:r>
      <w:r w:rsidR="00141A67">
        <w:t xml:space="preserve">the </w:t>
      </w:r>
      <w:r>
        <w:t>barriers</w:t>
      </w:r>
      <w:r w:rsidR="00141A67">
        <w:t xml:space="preserve"> to entry identified above</w:t>
      </w:r>
      <w:r>
        <w:t xml:space="preserve"> would deter potential new entrants, or existing distributors considering expanding, </w:t>
      </w:r>
      <w:r w:rsidR="00D31FB1">
        <w:t xml:space="preserve">thus limiting the level of </w:t>
      </w:r>
      <w:r>
        <w:t>cons</w:t>
      </w:r>
      <w:r w:rsidR="00D67DC9">
        <w:t>train</w:t>
      </w:r>
      <w:r w:rsidR="00D31FB1">
        <w:t>t on</w:t>
      </w:r>
      <w:r w:rsidR="00D67DC9">
        <w:t xml:space="preserve"> Elgas post-acquisition </w:t>
      </w:r>
      <w:r w:rsidR="00D31FB1">
        <w:t>from existing or new rivals</w:t>
      </w:r>
      <w:r w:rsidR="00D67DC9">
        <w:t>.</w:t>
      </w:r>
      <w:bookmarkEnd w:id="13"/>
    </w:p>
    <w:p w:rsidR="0079744B" w:rsidRDefault="0079744B" w:rsidP="0079744B">
      <w:pPr>
        <w:pStyle w:val="Heading5"/>
      </w:pPr>
      <w:r>
        <w:t>Conclusion</w:t>
      </w:r>
      <w:r w:rsidR="00852518">
        <w:t xml:space="preserve"> on competition concerns</w:t>
      </w:r>
      <w:r w:rsidR="005E14F7">
        <w:t>,</w:t>
      </w:r>
      <w:r w:rsidR="000B31D7">
        <w:t xml:space="preserve"> absent the section 87B undertakings</w:t>
      </w:r>
    </w:p>
    <w:p w:rsidR="0079744B" w:rsidRPr="0079744B" w:rsidRDefault="0079744B" w:rsidP="0079744B">
      <w:pPr>
        <w:pStyle w:val="NormalParagraph"/>
        <w:tabs>
          <w:tab w:val="clear" w:pos="360"/>
          <w:tab w:val="num" w:pos="567"/>
        </w:tabs>
        <w:ind w:left="567" w:hanging="567"/>
      </w:pPr>
      <w:r>
        <w:t>In light of the above, the ACCC was concerned that absent the section 87B undertakings</w:t>
      </w:r>
      <w:r w:rsidR="00F51E10">
        <w:t>,</w:t>
      </w:r>
      <w:r>
        <w:t xml:space="preserve"> </w:t>
      </w:r>
      <w:r w:rsidRPr="00B925E8">
        <w:t xml:space="preserve">the proposed acquisition </w:t>
      </w:r>
      <w:r>
        <w:t xml:space="preserve">would be </w:t>
      </w:r>
      <w:r w:rsidRPr="00B925E8">
        <w:t xml:space="preserve">likely to </w:t>
      </w:r>
      <w:r w:rsidR="00F51E10">
        <w:t xml:space="preserve">have the effect of </w:t>
      </w:r>
      <w:r w:rsidRPr="00B925E8">
        <w:t xml:space="preserve">substantially </w:t>
      </w:r>
      <w:r w:rsidRPr="0079744B">
        <w:t>lessen</w:t>
      </w:r>
      <w:r w:rsidR="00F51E10">
        <w:t>ing</w:t>
      </w:r>
      <w:r w:rsidRPr="00B925E8">
        <w:t xml:space="preserve"> competition in the </w:t>
      </w:r>
      <w:r>
        <w:t>d</w:t>
      </w:r>
      <w:r w:rsidRPr="0079744B">
        <w:t xml:space="preserve">istribution of non-automotive LPG </w:t>
      </w:r>
      <w:r>
        <w:t xml:space="preserve">in state and regional </w:t>
      </w:r>
      <w:r w:rsidRPr="00B925E8">
        <w:t>market</w:t>
      </w:r>
      <w:r>
        <w:t>s.</w:t>
      </w:r>
    </w:p>
    <w:p w:rsidR="00AF1C87" w:rsidRPr="00265D15" w:rsidRDefault="00AF1C87" w:rsidP="00265D15">
      <w:pPr>
        <w:pStyle w:val="Heading5"/>
      </w:pPr>
      <w:r w:rsidRPr="00265D15">
        <w:t>Undertakings</w:t>
      </w:r>
    </w:p>
    <w:p w:rsidR="001B5168" w:rsidRDefault="00F51E10" w:rsidP="0047491D">
      <w:pPr>
        <w:pStyle w:val="NormalParagraph"/>
        <w:tabs>
          <w:tab w:val="clear" w:pos="360"/>
          <w:tab w:val="num" w:pos="567"/>
        </w:tabs>
        <w:ind w:left="567" w:hanging="567"/>
      </w:pPr>
      <w:bookmarkStart w:id="14" w:name="_Ref414538318"/>
      <w:r>
        <w:t>On 17 December 2014, the ACCC accepted section 87B undertakings</w:t>
      </w:r>
      <w:r w:rsidR="005C0E6C">
        <w:t xml:space="preserve"> given by Kleenheat and Elgas. </w:t>
      </w:r>
      <w:r w:rsidR="001B5168">
        <w:t>A</w:t>
      </w:r>
      <w:r>
        <w:t>n</w:t>
      </w:r>
      <w:r w:rsidR="001B5168">
        <w:t xml:space="preserve"> undertaking </w:t>
      </w:r>
      <w:r>
        <w:t xml:space="preserve">accepted by the ACCC pursuant to section 87B of the Act </w:t>
      </w:r>
      <w:r w:rsidR="001B5168">
        <w:t xml:space="preserve">is a court-enforceable commitment. </w:t>
      </w:r>
      <w:r>
        <w:t>The s</w:t>
      </w:r>
      <w:r w:rsidR="001B5168">
        <w:t xml:space="preserve">ection 87B undertakings accepted by the ACCC </w:t>
      </w:r>
      <w:r w:rsidR="002328B6">
        <w:t xml:space="preserve">in this review </w:t>
      </w:r>
      <w:r w:rsidR="001B5168">
        <w:t xml:space="preserve">are available on </w:t>
      </w:r>
      <w:r>
        <w:t xml:space="preserve">the ACCC’s </w:t>
      </w:r>
      <w:r w:rsidR="001B5168">
        <w:t xml:space="preserve">mergers public register at: </w:t>
      </w:r>
      <w:hyperlink r:id="rId11" w:history="1">
        <w:r w:rsidR="001B5168" w:rsidRPr="001B5168">
          <w:rPr>
            <w:rStyle w:val="Hyperlink"/>
            <w:rFonts w:cs="Arial"/>
            <w:sz w:val="20"/>
            <w:szCs w:val="20"/>
          </w:rPr>
          <w:t>http://registers.accc.gov.au/content/index.phtml/itemId/1183747/fromItemId/751043</w:t>
        </w:r>
      </w:hyperlink>
      <w:r w:rsidR="001B5168" w:rsidRPr="001B5168">
        <w:rPr>
          <w:rFonts w:cs="Arial"/>
          <w:sz w:val="20"/>
          <w:szCs w:val="20"/>
        </w:rPr>
        <w:t>.</w:t>
      </w:r>
    </w:p>
    <w:p w:rsidR="00BB6013" w:rsidRDefault="00D84F58" w:rsidP="00BB6013">
      <w:pPr>
        <w:pStyle w:val="NormalParagraph"/>
        <w:tabs>
          <w:tab w:val="clear" w:pos="360"/>
          <w:tab w:val="num" w:pos="567"/>
        </w:tabs>
        <w:ind w:left="567" w:hanging="567"/>
        <w:rPr>
          <w:rFonts w:cs="Arial"/>
        </w:rPr>
      </w:pPr>
      <w:r w:rsidRPr="00EB66CF">
        <w:rPr>
          <w:rFonts w:cs="Arial"/>
        </w:rPr>
        <w:t xml:space="preserve">Elgas </w:t>
      </w:r>
      <w:r w:rsidR="00F51E10">
        <w:rPr>
          <w:rFonts w:cs="Arial"/>
        </w:rPr>
        <w:t>gave</w:t>
      </w:r>
      <w:r w:rsidRPr="00EB66CF">
        <w:rPr>
          <w:rFonts w:cs="Arial"/>
        </w:rPr>
        <w:t xml:space="preserve"> a section 87B undertaking</w:t>
      </w:r>
      <w:r w:rsidR="006E4E89">
        <w:rPr>
          <w:rFonts w:cs="Arial"/>
        </w:rPr>
        <w:t xml:space="preserve"> </w:t>
      </w:r>
      <w:r w:rsidR="00F51E10" w:rsidRPr="00EB66CF">
        <w:rPr>
          <w:rFonts w:cs="Arial"/>
        </w:rPr>
        <w:t xml:space="preserve">to the ACCC </w:t>
      </w:r>
      <w:r w:rsidRPr="00D84F58">
        <w:rPr>
          <w:rFonts w:cs="Arial"/>
        </w:rPr>
        <w:t>to address the competition issues</w:t>
      </w:r>
      <w:r w:rsidR="002E25FF">
        <w:rPr>
          <w:rFonts w:cs="Arial"/>
        </w:rPr>
        <w:t xml:space="preserve"> likely to</w:t>
      </w:r>
      <w:r w:rsidRPr="00D84F58">
        <w:rPr>
          <w:rFonts w:cs="Arial"/>
        </w:rPr>
        <w:t xml:space="preserve"> </w:t>
      </w:r>
      <w:r w:rsidR="002E25FF" w:rsidRPr="00D84F58">
        <w:rPr>
          <w:rFonts w:cs="Arial"/>
        </w:rPr>
        <w:t>aris</w:t>
      </w:r>
      <w:r w:rsidR="002E25FF">
        <w:rPr>
          <w:rFonts w:cs="Arial"/>
        </w:rPr>
        <w:t xml:space="preserve">e as a result of the proposed acquisition. </w:t>
      </w:r>
      <w:r w:rsidR="00BB6013">
        <w:rPr>
          <w:rFonts w:cs="Arial"/>
        </w:rPr>
        <w:t xml:space="preserve">In particular, the </w:t>
      </w:r>
      <w:r w:rsidR="00F51E10">
        <w:rPr>
          <w:rFonts w:cs="Arial"/>
        </w:rPr>
        <w:t xml:space="preserve">Elgas </w:t>
      </w:r>
      <w:r w:rsidR="00BB6013">
        <w:rPr>
          <w:rFonts w:cs="Arial"/>
        </w:rPr>
        <w:t>undertaking is intended to preserve competition</w:t>
      </w:r>
      <w:r w:rsidR="00BB6013" w:rsidRPr="00D84F58">
        <w:rPr>
          <w:rFonts w:cs="Arial"/>
        </w:rPr>
        <w:t xml:space="preserve"> </w:t>
      </w:r>
      <w:r w:rsidR="00BB6013">
        <w:rPr>
          <w:rFonts w:cs="Arial"/>
        </w:rPr>
        <w:t>in</w:t>
      </w:r>
      <w:r w:rsidR="00BB6013" w:rsidRPr="00D84F58">
        <w:rPr>
          <w:rFonts w:cs="Arial"/>
        </w:rPr>
        <w:t xml:space="preserve"> areas where</w:t>
      </w:r>
      <w:r w:rsidR="00BB6013">
        <w:rPr>
          <w:rFonts w:cs="Arial"/>
        </w:rPr>
        <w:t xml:space="preserve"> Elgas</w:t>
      </w:r>
      <w:r w:rsidR="00BB6013" w:rsidRPr="00D84F58">
        <w:rPr>
          <w:rFonts w:cs="Arial"/>
        </w:rPr>
        <w:t xml:space="preserve"> </w:t>
      </w:r>
      <w:r w:rsidR="00BB6013">
        <w:rPr>
          <w:rFonts w:cs="Arial"/>
        </w:rPr>
        <w:t>would be otherwise likely to face substantially less competition from other non-automotive LPG distributors post-acquisition</w:t>
      </w:r>
      <w:r w:rsidR="00BB6013" w:rsidRPr="00D84F58">
        <w:rPr>
          <w:rFonts w:cs="Arial"/>
        </w:rPr>
        <w:t xml:space="preserve"> in the absence of the undertaking. </w:t>
      </w:r>
      <w:r w:rsidR="00BB6013" w:rsidRPr="00F10168">
        <w:rPr>
          <w:rFonts w:cs="Arial"/>
        </w:rPr>
        <w:t xml:space="preserve">Kleenheat also </w:t>
      </w:r>
      <w:r w:rsidR="00F51E10">
        <w:rPr>
          <w:rFonts w:cs="Arial"/>
        </w:rPr>
        <w:t xml:space="preserve">gave </w:t>
      </w:r>
      <w:r w:rsidR="00BB6013" w:rsidRPr="00F10168">
        <w:rPr>
          <w:rFonts w:cs="Arial"/>
        </w:rPr>
        <w:t xml:space="preserve">a section 87B undertaking to </w:t>
      </w:r>
      <w:r w:rsidR="00F51E10">
        <w:rPr>
          <w:rFonts w:cs="Arial"/>
        </w:rPr>
        <w:t xml:space="preserve">the ACCC to </w:t>
      </w:r>
      <w:r w:rsidR="00BB6013">
        <w:rPr>
          <w:rFonts w:cs="Arial"/>
        </w:rPr>
        <w:t>facilitate</w:t>
      </w:r>
      <w:r w:rsidR="00BB6013" w:rsidRPr="00F10168">
        <w:rPr>
          <w:rFonts w:cs="Arial"/>
        </w:rPr>
        <w:t xml:space="preserve"> </w:t>
      </w:r>
      <w:r w:rsidR="00BB6013">
        <w:rPr>
          <w:rFonts w:cs="Arial"/>
        </w:rPr>
        <w:t xml:space="preserve">transitional </w:t>
      </w:r>
      <w:r w:rsidR="00F51E10">
        <w:rPr>
          <w:rFonts w:cs="Arial"/>
        </w:rPr>
        <w:t xml:space="preserve">issues </w:t>
      </w:r>
      <w:r w:rsidR="00BB6013">
        <w:rPr>
          <w:rFonts w:cs="Arial"/>
        </w:rPr>
        <w:t>associated with the</w:t>
      </w:r>
      <w:r w:rsidR="005C0E6C">
        <w:rPr>
          <w:rFonts w:cs="Arial"/>
        </w:rPr>
        <w:t xml:space="preserve"> Elgas undertaking.</w:t>
      </w:r>
    </w:p>
    <w:p w:rsidR="00BB6013" w:rsidRPr="00BB6013" w:rsidRDefault="00BB6013" w:rsidP="00BB6013">
      <w:pPr>
        <w:pStyle w:val="NormalParagraph"/>
        <w:tabs>
          <w:tab w:val="clear" w:pos="360"/>
          <w:tab w:val="num" w:pos="567"/>
        </w:tabs>
        <w:ind w:left="567" w:hanging="567"/>
        <w:rPr>
          <w:rFonts w:cs="Arial"/>
        </w:rPr>
      </w:pPr>
      <w:r w:rsidRPr="005670D8">
        <w:t xml:space="preserve">The section 87B undertaking </w:t>
      </w:r>
      <w:r w:rsidR="00F51E10">
        <w:t xml:space="preserve">given </w:t>
      </w:r>
      <w:r w:rsidRPr="005670D8">
        <w:t xml:space="preserve">by Elgas </w:t>
      </w:r>
      <w:r>
        <w:t>focuses on</w:t>
      </w:r>
      <w:r w:rsidRPr="005670D8">
        <w:t xml:space="preserve"> the </w:t>
      </w:r>
      <w:r>
        <w:t>geographic</w:t>
      </w:r>
      <w:r w:rsidRPr="005670D8">
        <w:t xml:space="preserve"> areas </w:t>
      </w:r>
      <w:r>
        <w:t xml:space="preserve">(mainly regional) in Victoria, New South Wales and the Australian Capital Territory </w:t>
      </w:r>
      <w:r w:rsidRPr="005670D8">
        <w:t xml:space="preserve">where </w:t>
      </w:r>
      <w:r>
        <w:t>Elgas and Kleenheat competed before the proposed acquisition,</w:t>
      </w:r>
      <w:r w:rsidR="005C0E6C">
        <w:t xml:space="preserve"> but had few other competitors.</w:t>
      </w:r>
    </w:p>
    <w:p w:rsidR="00BB6013" w:rsidRDefault="00BB6013" w:rsidP="00BB6013">
      <w:pPr>
        <w:pStyle w:val="NormalParagraph"/>
        <w:tabs>
          <w:tab w:val="clear" w:pos="360"/>
          <w:tab w:val="num" w:pos="567"/>
        </w:tabs>
        <w:ind w:left="567" w:hanging="567"/>
      </w:pPr>
      <w:r w:rsidRPr="00F66ABE">
        <w:rPr>
          <w:rFonts w:cs="Arial"/>
        </w:rPr>
        <w:t>These</w:t>
      </w:r>
      <w:r>
        <w:t xml:space="preserve"> regions </w:t>
      </w:r>
      <w:r w:rsidRPr="00777D2C">
        <w:t>were</w:t>
      </w:r>
      <w:r>
        <w:t xml:space="preserve"> </w:t>
      </w:r>
      <w:r w:rsidR="00B250CB">
        <w:t xml:space="preserve">identified on the </w:t>
      </w:r>
      <w:r>
        <w:t>bas</w:t>
      </w:r>
      <w:r w:rsidR="00B250CB">
        <w:t>is</w:t>
      </w:r>
      <w:r>
        <w:t xml:space="preserve"> o</w:t>
      </w:r>
      <w:r w:rsidR="00B250CB">
        <w:t>f</w:t>
      </w:r>
      <w:r>
        <w:t xml:space="preserve"> feedback received by the ACCC during market inquiries</w:t>
      </w:r>
      <w:r w:rsidR="00B250CB">
        <w:t>,</w:t>
      </w:r>
      <w:r>
        <w:t xml:space="preserve"> and were </w:t>
      </w:r>
      <w:r w:rsidR="00B250CB">
        <w:t xml:space="preserve">assessed by the ACCC as being the regions </w:t>
      </w:r>
      <w:r>
        <w:t>where competitive harm was likely. The undertakings address these concerns. Importantly, the undertakings strengthen the ability of Renegade and Origin to compete and facilitate their expansion into areas where Elgas would have faced limited competition absent the undertakings.</w:t>
      </w:r>
    </w:p>
    <w:bookmarkEnd w:id="14"/>
    <w:p w:rsidR="00D84F58" w:rsidRPr="00EB66CF" w:rsidRDefault="00265D15" w:rsidP="00D84F58">
      <w:pPr>
        <w:pStyle w:val="NormalParagraph"/>
        <w:tabs>
          <w:tab w:val="clear" w:pos="360"/>
          <w:tab w:val="num" w:pos="567"/>
        </w:tabs>
        <w:ind w:left="567" w:hanging="567"/>
        <w:rPr>
          <w:rFonts w:cs="Arial"/>
        </w:rPr>
      </w:pPr>
      <w:r>
        <w:rPr>
          <w:rFonts w:cs="Arial"/>
        </w:rPr>
        <w:t>The</w:t>
      </w:r>
      <w:r w:rsidR="00D84F58" w:rsidRPr="00EB66CF">
        <w:rPr>
          <w:rFonts w:cs="Arial"/>
        </w:rPr>
        <w:t xml:space="preserve"> </w:t>
      </w:r>
      <w:r w:rsidR="00B136C9">
        <w:rPr>
          <w:rFonts w:cs="Arial"/>
        </w:rPr>
        <w:t xml:space="preserve">Elgas </w:t>
      </w:r>
      <w:r w:rsidR="00D84F58" w:rsidRPr="00EB66CF">
        <w:rPr>
          <w:rFonts w:cs="Arial"/>
        </w:rPr>
        <w:t>undertaking</w:t>
      </w:r>
      <w:r>
        <w:rPr>
          <w:rFonts w:cs="Arial"/>
        </w:rPr>
        <w:t xml:space="preserve"> requires</w:t>
      </w:r>
      <w:r w:rsidR="00D84F58" w:rsidRPr="00EB66CF">
        <w:rPr>
          <w:rFonts w:cs="Arial"/>
        </w:rPr>
        <w:t xml:space="preserve"> Elgas </w:t>
      </w:r>
      <w:r>
        <w:rPr>
          <w:rFonts w:cs="Arial"/>
        </w:rPr>
        <w:t>to</w:t>
      </w:r>
      <w:r w:rsidRPr="00EB66CF">
        <w:rPr>
          <w:rFonts w:cs="Arial"/>
        </w:rPr>
        <w:t xml:space="preserve"> </w:t>
      </w:r>
      <w:r w:rsidR="00D84F58" w:rsidRPr="00EB66CF">
        <w:rPr>
          <w:rFonts w:cs="Arial"/>
        </w:rPr>
        <w:t xml:space="preserve">divest Kleenheat’s physical assets associated with the distribution of LPG in certain </w:t>
      </w:r>
      <w:r w:rsidR="00852E17">
        <w:rPr>
          <w:rFonts w:cs="Arial"/>
        </w:rPr>
        <w:t>regions</w:t>
      </w:r>
      <w:r w:rsidR="00D84F58" w:rsidRPr="00EB66CF">
        <w:rPr>
          <w:rFonts w:cs="Arial"/>
        </w:rPr>
        <w:t xml:space="preserve">, and contracted customers in those </w:t>
      </w:r>
      <w:r w:rsidR="00852E17">
        <w:rPr>
          <w:rFonts w:cs="Arial"/>
        </w:rPr>
        <w:t>regions</w:t>
      </w:r>
      <w:r w:rsidR="00095D75">
        <w:rPr>
          <w:rFonts w:cs="Arial"/>
        </w:rPr>
        <w:t>, to Origin and Renegade.</w:t>
      </w:r>
    </w:p>
    <w:p w:rsidR="00D84F58" w:rsidRPr="00EB66CF" w:rsidRDefault="00D84F58" w:rsidP="00D84F58">
      <w:pPr>
        <w:pStyle w:val="NormalParagraph"/>
        <w:tabs>
          <w:tab w:val="clear" w:pos="360"/>
          <w:tab w:val="num" w:pos="567"/>
        </w:tabs>
        <w:ind w:left="567" w:hanging="567"/>
        <w:rPr>
          <w:rFonts w:cs="Arial"/>
        </w:rPr>
      </w:pPr>
      <w:bookmarkStart w:id="15" w:name="_Ref414538674"/>
      <w:r w:rsidRPr="00EB66CF">
        <w:rPr>
          <w:rFonts w:cs="Arial"/>
        </w:rPr>
        <w:t>Specifically, Elgas must divest specified assets including freehold property, leases, contracts, plant and equipment</w:t>
      </w:r>
      <w:r w:rsidR="008D6B54">
        <w:rPr>
          <w:rFonts w:cs="Arial"/>
        </w:rPr>
        <w:t>,</w:t>
      </w:r>
      <w:r w:rsidRPr="00EB66CF">
        <w:rPr>
          <w:rFonts w:cs="Arial"/>
        </w:rPr>
        <w:t xml:space="preserve"> cylinders, vehicles and inventory associated with the following Kleenheat sites to Renegade in New South Wales and the A</w:t>
      </w:r>
      <w:r w:rsidR="00265D15">
        <w:rPr>
          <w:rFonts w:cs="Arial"/>
        </w:rPr>
        <w:t xml:space="preserve">ustralian </w:t>
      </w:r>
      <w:r w:rsidRPr="00EB66CF">
        <w:rPr>
          <w:rFonts w:cs="Arial"/>
        </w:rPr>
        <w:t>C</w:t>
      </w:r>
      <w:r w:rsidR="00265D15">
        <w:rPr>
          <w:rFonts w:cs="Arial"/>
        </w:rPr>
        <w:t xml:space="preserve">apital </w:t>
      </w:r>
      <w:r w:rsidRPr="00EB66CF">
        <w:rPr>
          <w:rFonts w:cs="Arial"/>
        </w:rPr>
        <w:t>T</w:t>
      </w:r>
      <w:r w:rsidR="00265D15">
        <w:rPr>
          <w:rFonts w:cs="Arial"/>
        </w:rPr>
        <w:t>erritory</w:t>
      </w:r>
      <w:r w:rsidRPr="00EB66CF">
        <w:rPr>
          <w:rFonts w:cs="Arial"/>
        </w:rPr>
        <w:t>:</w:t>
      </w:r>
      <w:bookmarkEnd w:id="15"/>
    </w:p>
    <w:p w:rsidR="00D84F58" w:rsidRPr="00D47197" w:rsidRDefault="00D84F58" w:rsidP="00D84F58">
      <w:pPr>
        <w:pStyle w:val="ListParagraph"/>
        <w:numPr>
          <w:ilvl w:val="0"/>
          <w:numId w:val="6"/>
        </w:numPr>
      </w:pPr>
      <w:r w:rsidRPr="00D47197">
        <w:t>Dubbo, NSW</w:t>
      </w:r>
    </w:p>
    <w:p w:rsidR="00D84F58" w:rsidRPr="00D47197" w:rsidRDefault="00D84F58" w:rsidP="00D84F58">
      <w:pPr>
        <w:pStyle w:val="ListParagraph"/>
        <w:numPr>
          <w:ilvl w:val="0"/>
          <w:numId w:val="6"/>
        </w:numPr>
      </w:pPr>
      <w:r w:rsidRPr="00D47197">
        <w:t>Griffith, NSW</w:t>
      </w:r>
    </w:p>
    <w:p w:rsidR="00D84F58" w:rsidRPr="00D47197" w:rsidRDefault="00D84F58" w:rsidP="00D84F58">
      <w:pPr>
        <w:pStyle w:val="ListParagraph"/>
        <w:numPr>
          <w:ilvl w:val="0"/>
          <w:numId w:val="6"/>
        </w:numPr>
      </w:pPr>
      <w:r w:rsidRPr="00D47197">
        <w:t>Kempsey</w:t>
      </w:r>
      <w:r w:rsidR="00E63DBA">
        <w:t>,</w:t>
      </w:r>
      <w:r w:rsidRPr="00D47197">
        <w:t xml:space="preserve"> NSW</w:t>
      </w:r>
    </w:p>
    <w:p w:rsidR="00D84F58" w:rsidRPr="00D47197" w:rsidRDefault="00D84F58" w:rsidP="00D84F58">
      <w:pPr>
        <w:pStyle w:val="ListParagraph"/>
        <w:numPr>
          <w:ilvl w:val="0"/>
          <w:numId w:val="6"/>
        </w:numPr>
      </w:pPr>
      <w:r w:rsidRPr="00D47197">
        <w:t>Moama, NSW</w:t>
      </w:r>
    </w:p>
    <w:p w:rsidR="00D84F58" w:rsidRPr="00D47197" w:rsidRDefault="00D84F58" w:rsidP="00D84F58">
      <w:pPr>
        <w:pStyle w:val="ListParagraph"/>
        <w:numPr>
          <w:ilvl w:val="0"/>
          <w:numId w:val="6"/>
        </w:numPr>
      </w:pPr>
      <w:r w:rsidRPr="00D47197">
        <w:t>Nowra, NSW</w:t>
      </w:r>
    </w:p>
    <w:p w:rsidR="00D84F58" w:rsidRPr="00D47197" w:rsidRDefault="00D84F58" w:rsidP="00D84F58">
      <w:pPr>
        <w:pStyle w:val="ListParagraph"/>
        <w:numPr>
          <w:ilvl w:val="0"/>
          <w:numId w:val="6"/>
        </w:numPr>
      </w:pPr>
      <w:r w:rsidRPr="00D47197">
        <w:t>Stroud, NSW</w:t>
      </w:r>
    </w:p>
    <w:p w:rsidR="00D84F58" w:rsidRPr="00D47197" w:rsidRDefault="00D84F58" w:rsidP="00D84F58">
      <w:pPr>
        <w:pStyle w:val="ListParagraph"/>
        <w:numPr>
          <w:ilvl w:val="0"/>
          <w:numId w:val="6"/>
        </w:numPr>
      </w:pPr>
      <w:r w:rsidRPr="00D47197">
        <w:t>Tamworth, NSW</w:t>
      </w:r>
    </w:p>
    <w:p w:rsidR="00D84F58" w:rsidRPr="00D47197" w:rsidRDefault="00D84F58" w:rsidP="00D84F58">
      <w:pPr>
        <w:pStyle w:val="ListParagraph"/>
        <w:numPr>
          <w:ilvl w:val="0"/>
          <w:numId w:val="6"/>
        </w:numPr>
      </w:pPr>
      <w:r w:rsidRPr="00D47197">
        <w:t>Mitchell, ACT</w:t>
      </w:r>
      <w:r w:rsidR="00E63DBA">
        <w:t>.</w:t>
      </w:r>
    </w:p>
    <w:p w:rsidR="00D84F58" w:rsidRPr="00D47197" w:rsidRDefault="00D84F58" w:rsidP="00D84F58">
      <w:pPr>
        <w:pStyle w:val="NormalParagraph"/>
        <w:tabs>
          <w:tab w:val="clear" w:pos="360"/>
          <w:tab w:val="num" w:pos="567"/>
        </w:tabs>
        <w:ind w:left="567" w:hanging="567"/>
        <w:rPr>
          <w:rFonts w:cs="Arial"/>
        </w:rPr>
      </w:pPr>
      <w:bookmarkStart w:id="16" w:name="_Ref414538675"/>
      <w:r w:rsidRPr="00D47197">
        <w:rPr>
          <w:rFonts w:cs="Arial"/>
        </w:rPr>
        <w:t xml:space="preserve">Similarly, Elgas must divest </w:t>
      </w:r>
      <w:r w:rsidR="00852E17">
        <w:rPr>
          <w:rFonts w:cs="Arial"/>
        </w:rPr>
        <w:t>the following Kleenheat sites</w:t>
      </w:r>
      <w:r w:rsidR="0065126B">
        <w:rPr>
          <w:rFonts w:cs="Arial"/>
        </w:rPr>
        <w:t xml:space="preserve"> (and associated assets)</w:t>
      </w:r>
      <w:r w:rsidR="00852E17">
        <w:rPr>
          <w:rFonts w:cs="Arial"/>
        </w:rPr>
        <w:t xml:space="preserve"> </w:t>
      </w:r>
      <w:r w:rsidRPr="00D47197">
        <w:rPr>
          <w:rFonts w:cs="Arial"/>
        </w:rPr>
        <w:t>to Origin in Victoria:</w:t>
      </w:r>
      <w:bookmarkEnd w:id="16"/>
    </w:p>
    <w:p w:rsidR="00D84F58" w:rsidRPr="00D47197" w:rsidRDefault="00D84F58" w:rsidP="00D84F58">
      <w:pPr>
        <w:pStyle w:val="ListParagraph"/>
        <w:numPr>
          <w:ilvl w:val="0"/>
          <w:numId w:val="6"/>
        </w:numPr>
      </w:pPr>
      <w:r w:rsidRPr="00D47197">
        <w:t>Maryborough</w:t>
      </w:r>
    </w:p>
    <w:p w:rsidR="00D84F58" w:rsidRPr="00D47197" w:rsidRDefault="00D84F58" w:rsidP="00D84F58">
      <w:pPr>
        <w:pStyle w:val="ListParagraph"/>
        <w:numPr>
          <w:ilvl w:val="0"/>
          <w:numId w:val="6"/>
        </w:numPr>
      </w:pPr>
      <w:r w:rsidRPr="00D47197">
        <w:t>Swan Hill</w:t>
      </w:r>
    </w:p>
    <w:p w:rsidR="00D84F58" w:rsidRPr="00D47197" w:rsidRDefault="00D84F58" w:rsidP="00D84F58">
      <w:pPr>
        <w:pStyle w:val="ListParagraph"/>
        <w:numPr>
          <w:ilvl w:val="0"/>
          <w:numId w:val="6"/>
        </w:numPr>
      </w:pPr>
      <w:r w:rsidRPr="00D47197">
        <w:t>Warrnambool</w:t>
      </w:r>
      <w:r>
        <w:t xml:space="preserve"> </w:t>
      </w:r>
      <w:r w:rsidRPr="00767EE1">
        <w:t xml:space="preserve">(only </w:t>
      </w:r>
      <w:r w:rsidR="000004C6">
        <w:t xml:space="preserve">customers and </w:t>
      </w:r>
      <w:r w:rsidR="00E11128">
        <w:t>certain assets</w:t>
      </w:r>
      <w:r w:rsidR="00E11128" w:rsidRPr="00767EE1">
        <w:t xml:space="preserve"> </w:t>
      </w:r>
      <w:r w:rsidRPr="00767EE1">
        <w:t xml:space="preserve">in this region, </w:t>
      </w:r>
      <w:r w:rsidR="00E11128">
        <w:t xml:space="preserve">there is no </w:t>
      </w:r>
      <w:r w:rsidRPr="00767EE1">
        <w:t xml:space="preserve">physical </w:t>
      </w:r>
      <w:r w:rsidR="0093311D">
        <w:t xml:space="preserve">Kleenheat </w:t>
      </w:r>
      <w:r w:rsidR="00E11128">
        <w:t>site</w:t>
      </w:r>
      <w:r w:rsidR="003163FF">
        <w:t xml:space="preserve"> in Warrnambool</w:t>
      </w:r>
      <w:r w:rsidR="00E11128">
        <w:t>)</w:t>
      </w:r>
      <w:r w:rsidR="00E63DBA">
        <w:t>.</w:t>
      </w:r>
    </w:p>
    <w:p w:rsidR="00B250CB" w:rsidRPr="00FF3A43" w:rsidRDefault="00B250CB" w:rsidP="00B250CB">
      <w:pPr>
        <w:pStyle w:val="NormalParagraph"/>
        <w:tabs>
          <w:tab w:val="clear" w:pos="360"/>
          <w:tab w:val="num" w:pos="567"/>
        </w:tabs>
        <w:ind w:left="567" w:hanging="567"/>
        <w:rPr>
          <w:rFonts w:cs="Arial"/>
        </w:rPr>
      </w:pPr>
      <w:bookmarkStart w:id="17" w:name="_Ref406137634"/>
      <w:r>
        <w:rPr>
          <w:rFonts w:cs="Arial"/>
        </w:rPr>
        <w:t xml:space="preserve">The objective of the Elgas and Kleenheat undertakings is to address the ACCC’s competition concerns (as set out above) raised by the proposed acquisition. </w:t>
      </w:r>
      <w:r w:rsidRPr="00FF3A43">
        <w:rPr>
          <w:rFonts w:cs="Arial"/>
        </w:rPr>
        <w:t>In particular, as set out in the Elgas undertaking, this objective would be met by:</w:t>
      </w:r>
    </w:p>
    <w:p w:rsidR="00B250CB" w:rsidRPr="00FF3A43" w:rsidRDefault="00B250CB" w:rsidP="00B250CB">
      <w:pPr>
        <w:pStyle w:val="ListParagraph"/>
        <w:numPr>
          <w:ilvl w:val="0"/>
          <w:numId w:val="6"/>
        </w:numPr>
      </w:pPr>
      <w:r w:rsidRPr="00FF3A43">
        <w:t>ensuring that certain Kleenheat LPG distribution assets based in regional Victoria are divested to Origin (or to another approved purchaser if the divestiture does not occur within a certain period)</w:t>
      </w:r>
    </w:p>
    <w:p w:rsidR="00B250CB" w:rsidRPr="00FF3A43" w:rsidRDefault="00B250CB" w:rsidP="00B250CB">
      <w:pPr>
        <w:pStyle w:val="ListParagraph"/>
        <w:numPr>
          <w:ilvl w:val="0"/>
          <w:numId w:val="6"/>
        </w:numPr>
      </w:pPr>
      <w:r w:rsidRPr="00FF3A43">
        <w:t>ensuring that certain Kleenheat LPG distribution assets based in the Australian Capital Territory and regional New South Wales are divested to Renegade (or to another approved purchaser if the divestiture does not occur within a certain period)</w:t>
      </w:r>
    </w:p>
    <w:p w:rsidR="00B250CB" w:rsidRPr="00FF3A43" w:rsidRDefault="00B250CB" w:rsidP="00B250CB">
      <w:pPr>
        <w:pStyle w:val="ListParagraph"/>
        <w:numPr>
          <w:ilvl w:val="0"/>
          <w:numId w:val="6"/>
        </w:numPr>
      </w:pPr>
      <w:r w:rsidRPr="00FF3A43">
        <w:t>creating or strengthening Origin’s (or an alternative approved purchaser’s) position as a viable, effective, stand-alone, independent and long term competitor in the distribution of cylinder and bulk non-automotive LPG by enhancing its presence in regional Victoria (including some areas across the border into New South Wales)</w:t>
      </w:r>
    </w:p>
    <w:p w:rsidR="00B250CB" w:rsidRPr="00FF3A43" w:rsidRDefault="00B250CB" w:rsidP="00B250CB">
      <w:pPr>
        <w:pStyle w:val="ListParagraph"/>
        <w:numPr>
          <w:ilvl w:val="0"/>
          <w:numId w:val="6"/>
        </w:numPr>
      </w:pPr>
      <w:r w:rsidRPr="00FF3A43">
        <w:t>creating or strengthening Renegade’s (or an alternative approved purchaser’s) position as a viable, effective, stand-alone, independent and long term competitor in the distribution of cylinder and bulk non-automotive LPG by enhancing its presence in regional New South Wales (including some areas across the border into Victoria) and the Australian Capital Territory</w:t>
      </w:r>
    </w:p>
    <w:p w:rsidR="00B250CB" w:rsidRPr="00FF3A43" w:rsidRDefault="00B250CB" w:rsidP="00B250CB">
      <w:pPr>
        <w:pStyle w:val="ListParagraph"/>
        <w:numPr>
          <w:ilvl w:val="0"/>
          <w:numId w:val="6"/>
        </w:numPr>
      </w:pPr>
      <w:r w:rsidRPr="00FF3A43">
        <w:t>ensuring that Origin and Renegade (or any other approved purchasers of the divestiture assets) have all the necessary related assets, personnel, transitional and other assistance and other rights to compete effectively with Elgas in the distribution of cylinder and bulk non-automotive LPG</w:t>
      </w:r>
    </w:p>
    <w:p w:rsidR="00B250CB" w:rsidRPr="00FF3A43" w:rsidRDefault="00B250CB" w:rsidP="00B250CB">
      <w:pPr>
        <w:pStyle w:val="ListParagraph"/>
        <w:numPr>
          <w:ilvl w:val="0"/>
          <w:numId w:val="6"/>
        </w:numPr>
      </w:pPr>
      <w:r w:rsidRPr="00FF3A43">
        <w:t>maintaining the economic viability, marketability, competitiveness and goodwill of the divestiture assets, and</w:t>
      </w:r>
    </w:p>
    <w:p w:rsidR="00B250CB" w:rsidRPr="00FF3A43" w:rsidRDefault="00B250CB" w:rsidP="00B250CB">
      <w:pPr>
        <w:pStyle w:val="ListParagraph"/>
        <w:numPr>
          <w:ilvl w:val="0"/>
          <w:numId w:val="6"/>
        </w:numPr>
      </w:pPr>
      <w:r w:rsidRPr="00FF3A43">
        <w:t>providing for the effective oversight of El</w:t>
      </w:r>
      <w:r>
        <w:t>gas’ compliance with the Elgas u</w:t>
      </w:r>
      <w:r w:rsidRPr="00FF3A43">
        <w:t>ndertaking.</w:t>
      </w:r>
    </w:p>
    <w:p w:rsidR="005B3828" w:rsidRPr="004E67F2" w:rsidRDefault="009A0D5D" w:rsidP="005B3828">
      <w:pPr>
        <w:pStyle w:val="NormalParagraph"/>
        <w:tabs>
          <w:tab w:val="clear" w:pos="360"/>
          <w:tab w:val="num" w:pos="567"/>
        </w:tabs>
        <w:ind w:left="567" w:hanging="567"/>
        <w:rPr>
          <w:rFonts w:cs="Arial"/>
        </w:rPr>
      </w:pPr>
      <w:r>
        <w:rPr>
          <w:rFonts w:cs="Arial"/>
        </w:rPr>
        <w:t>The ACCC</w:t>
      </w:r>
      <w:r w:rsidR="005B3828" w:rsidRPr="004E67F2">
        <w:rPr>
          <w:rFonts w:cs="Arial"/>
        </w:rPr>
        <w:t xml:space="preserve"> consider</w:t>
      </w:r>
      <w:r>
        <w:rPr>
          <w:rFonts w:cs="Arial"/>
        </w:rPr>
        <w:t>ed</w:t>
      </w:r>
      <w:r w:rsidR="005B3828" w:rsidRPr="004E67F2">
        <w:rPr>
          <w:rFonts w:cs="Arial"/>
        </w:rPr>
        <w:t xml:space="preserve"> that the divest</w:t>
      </w:r>
      <w:r w:rsidR="00B250CB">
        <w:rPr>
          <w:rFonts w:cs="Arial"/>
        </w:rPr>
        <w:t>ures provided for in the Elgas undertaking</w:t>
      </w:r>
      <w:r w:rsidR="006E4E89">
        <w:rPr>
          <w:rFonts w:cs="Arial"/>
        </w:rPr>
        <w:t xml:space="preserve"> </w:t>
      </w:r>
      <w:r>
        <w:rPr>
          <w:rFonts w:cs="Arial"/>
        </w:rPr>
        <w:t>would</w:t>
      </w:r>
      <w:r w:rsidR="005B3828" w:rsidRPr="004E67F2">
        <w:rPr>
          <w:rFonts w:cs="Arial"/>
        </w:rPr>
        <w:t xml:space="preserve"> </w:t>
      </w:r>
      <w:r>
        <w:rPr>
          <w:rFonts w:cs="Arial"/>
        </w:rPr>
        <w:t>address the</w:t>
      </w:r>
      <w:r w:rsidR="005B3828" w:rsidRPr="004E67F2">
        <w:rPr>
          <w:rFonts w:cs="Arial"/>
        </w:rPr>
        <w:t xml:space="preserve"> competition concerns in both state and regional</w:t>
      </w:r>
      <w:r w:rsidR="0065126B">
        <w:rPr>
          <w:rFonts w:cs="Arial"/>
        </w:rPr>
        <w:t xml:space="preserve"> markets</w:t>
      </w:r>
      <w:r w:rsidR="005B3828" w:rsidRPr="004E67F2">
        <w:rPr>
          <w:rFonts w:cs="Arial"/>
        </w:rPr>
        <w:t>, for the following reasons:</w:t>
      </w:r>
      <w:bookmarkEnd w:id="17"/>
    </w:p>
    <w:p w:rsidR="005B3828" w:rsidRDefault="005B3828" w:rsidP="005B3828">
      <w:pPr>
        <w:pStyle w:val="ListParagraph"/>
        <w:numPr>
          <w:ilvl w:val="0"/>
          <w:numId w:val="6"/>
        </w:numPr>
      </w:pPr>
      <w:r w:rsidRPr="008D2C6F">
        <w:t xml:space="preserve">The </w:t>
      </w:r>
      <w:r w:rsidR="00852E17">
        <w:t xml:space="preserve">ACCC-approved </w:t>
      </w:r>
      <w:r w:rsidRPr="008D2C6F">
        <w:t>purchasers</w:t>
      </w:r>
      <w:r w:rsidR="00B136C9">
        <w:t xml:space="preserve"> of the assets</w:t>
      </w:r>
      <w:r w:rsidR="00B250CB">
        <w:t xml:space="preserve"> to be divested</w:t>
      </w:r>
      <w:r w:rsidRPr="008D2C6F">
        <w:t xml:space="preserve">, Origin and Renegade, already have businesses </w:t>
      </w:r>
      <w:r w:rsidR="00B136C9">
        <w:t>distributing</w:t>
      </w:r>
      <w:r w:rsidRPr="008D2C6F">
        <w:t xml:space="preserve"> non-automotive LPG. They are capable of effectively </w:t>
      </w:r>
      <w:r w:rsidR="008D6B54">
        <w:t>using</w:t>
      </w:r>
      <w:r w:rsidR="008D6B54" w:rsidRPr="008D2C6F">
        <w:t xml:space="preserve"> </w:t>
      </w:r>
      <w:r w:rsidRPr="008D2C6F">
        <w:t xml:space="preserve">their experience and existing assets to compete with Elgas </w:t>
      </w:r>
      <w:r w:rsidR="006E4E89">
        <w:t xml:space="preserve">and </w:t>
      </w:r>
      <w:r w:rsidR="001E2F33">
        <w:t xml:space="preserve">any </w:t>
      </w:r>
      <w:r w:rsidR="006E4E89">
        <w:t xml:space="preserve">other competitors </w:t>
      </w:r>
      <w:r w:rsidR="00BF2CA5">
        <w:t>in the divest</w:t>
      </w:r>
      <w:r w:rsidR="00852E17">
        <w:t>ment</w:t>
      </w:r>
      <w:r w:rsidRPr="008D2C6F">
        <w:t xml:space="preserve"> regions</w:t>
      </w:r>
      <w:r>
        <w:t>.</w:t>
      </w:r>
    </w:p>
    <w:p w:rsidR="005B3828" w:rsidRDefault="006E4E89" w:rsidP="005B3828">
      <w:pPr>
        <w:pStyle w:val="ListParagraph"/>
        <w:numPr>
          <w:ilvl w:val="0"/>
          <w:numId w:val="6"/>
        </w:numPr>
      </w:pPr>
      <w:r>
        <w:t xml:space="preserve">The </w:t>
      </w:r>
      <w:r w:rsidR="00B136C9">
        <w:t>divest</w:t>
      </w:r>
      <w:r w:rsidR="00B250CB">
        <w:t>ures</w:t>
      </w:r>
      <w:r>
        <w:t xml:space="preserve"> would </w:t>
      </w:r>
      <w:r w:rsidR="00B136C9" w:rsidRPr="008D2C6F">
        <w:t xml:space="preserve">maintain or </w:t>
      </w:r>
      <w:r w:rsidR="005B3828" w:rsidRPr="008D2C6F">
        <w:t>increase competition in the re</w:t>
      </w:r>
      <w:r>
        <w:t xml:space="preserve">gions where competitive harm would </w:t>
      </w:r>
      <w:r w:rsidR="0084172F">
        <w:t xml:space="preserve">be </w:t>
      </w:r>
      <w:r w:rsidR="005B3828" w:rsidRPr="008D2C6F">
        <w:t xml:space="preserve">most likely </w:t>
      </w:r>
      <w:r w:rsidR="0084172F">
        <w:t xml:space="preserve">to </w:t>
      </w:r>
      <w:r w:rsidR="005B3828" w:rsidRPr="008D2C6F">
        <w:t>materialise as a result of the proposed acquisition</w:t>
      </w:r>
      <w:r w:rsidR="005B3828">
        <w:t>.</w:t>
      </w:r>
      <w:r w:rsidR="005B3828" w:rsidRPr="008D2C6F">
        <w:t xml:space="preserve"> </w:t>
      </w:r>
      <w:r w:rsidR="005B3828" w:rsidRPr="004E67F2">
        <w:t>By acquiring the assets</w:t>
      </w:r>
      <w:r w:rsidR="00B250CB">
        <w:t xml:space="preserve"> to be divested by Elgas</w:t>
      </w:r>
      <w:r w:rsidR="005B3828" w:rsidRPr="004E67F2">
        <w:t xml:space="preserve">, Renegade and Origin </w:t>
      </w:r>
      <w:r w:rsidR="000E18C5">
        <w:t>would</w:t>
      </w:r>
      <w:r w:rsidR="000E18C5" w:rsidRPr="004E67F2">
        <w:t xml:space="preserve"> </w:t>
      </w:r>
      <w:r w:rsidR="005B3828" w:rsidRPr="004E67F2">
        <w:t xml:space="preserve">immediately extend the reach of their respective distribution networks </w:t>
      </w:r>
      <w:r w:rsidR="005B3828">
        <w:t xml:space="preserve">in </w:t>
      </w:r>
      <w:r>
        <w:t>Vic</w:t>
      </w:r>
      <w:r w:rsidR="00265D15">
        <w:t>toria</w:t>
      </w:r>
      <w:r w:rsidR="005B3828">
        <w:t>,</w:t>
      </w:r>
      <w:r w:rsidR="005B3828" w:rsidRPr="004E67F2">
        <w:t xml:space="preserve"> N</w:t>
      </w:r>
      <w:r w:rsidR="00265D15">
        <w:t xml:space="preserve">ew </w:t>
      </w:r>
      <w:r w:rsidR="005B3828" w:rsidRPr="004E67F2">
        <w:t>S</w:t>
      </w:r>
      <w:r w:rsidR="00265D15">
        <w:t xml:space="preserve">outh </w:t>
      </w:r>
      <w:r w:rsidR="005B3828" w:rsidRPr="004E67F2">
        <w:t>W</w:t>
      </w:r>
      <w:r w:rsidR="00265D15">
        <w:t>ales</w:t>
      </w:r>
      <w:r w:rsidR="005B3828" w:rsidRPr="004E67F2">
        <w:t xml:space="preserve"> and</w:t>
      </w:r>
      <w:r w:rsidR="005B3828">
        <w:t xml:space="preserve"> the A</w:t>
      </w:r>
      <w:r w:rsidR="00265D15">
        <w:t xml:space="preserve">ustralian </w:t>
      </w:r>
      <w:r w:rsidR="005B3828">
        <w:t>C</w:t>
      </w:r>
      <w:r w:rsidR="00265D15">
        <w:t xml:space="preserve">apital </w:t>
      </w:r>
      <w:r w:rsidR="005B3828">
        <w:t>T</w:t>
      </w:r>
      <w:r w:rsidR="00265D15">
        <w:t>erritory</w:t>
      </w:r>
      <w:r w:rsidR="005B3828" w:rsidRPr="004E67F2">
        <w:t xml:space="preserve">. This </w:t>
      </w:r>
      <w:r>
        <w:t xml:space="preserve">would </w:t>
      </w:r>
      <w:r w:rsidR="005B3828" w:rsidRPr="004E67F2">
        <w:t xml:space="preserve">strengthen their ability to compete with </w:t>
      </w:r>
      <w:r w:rsidR="005B3828">
        <w:t>Elgas</w:t>
      </w:r>
      <w:r w:rsidR="009A0D5D">
        <w:t>,</w:t>
      </w:r>
      <w:r w:rsidR="005B3828">
        <w:t xml:space="preserve"> and other competitors</w:t>
      </w:r>
      <w:r w:rsidR="009A0D5D">
        <w:t>,</w:t>
      </w:r>
      <w:r w:rsidR="005B3828">
        <w:t xml:space="preserve"> </w:t>
      </w:r>
      <w:r w:rsidR="005B3828" w:rsidRPr="004E67F2">
        <w:t xml:space="preserve">in </w:t>
      </w:r>
      <w:r w:rsidR="005B3828">
        <w:t>particular</w:t>
      </w:r>
      <w:r w:rsidR="005B3828" w:rsidRPr="004E67F2">
        <w:t xml:space="preserve"> </w:t>
      </w:r>
      <w:r w:rsidR="005B3828">
        <w:t>regional areas and more broadly on a state-wide basis.</w:t>
      </w:r>
    </w:p>
    <w:p w:rsidR="001E2F33" w:rsidRDefault="005B3828" w:rsidP="005B3828">
      <w:pPr>
        <w:pStyle w:val="ListParagraph"/>
        <w:numPr>
          <w:ilvl w:val="0"/>
          <w:numId w:val="6"/>
        </w:numPr>
      </w:pPr>
      <w:r w:rsidRPr="004E67F2">
        <w:t xml:space="preserve">The acquisition of depots </w:t>
      </w:r>
      <w:r>
        <w:t xml:space="preserve">and transfer of </w:t>
      </w:r>
      <w:r w:rsidRPr="004E67F2">
        <w:t>customer</w:t>
      </w:r>
      <w:r>
        <w:t>s</w:t>
      </w:r>
      <w:r w:rsidR="006E4E89">
        <w:t xml:space="preserve"> would</w:t>
      </w:r>
      <w:r w:rsidRPr="004E67F2">
        <w:t xml:space="preserve"> provide Renegade and Origin with greater economies of scal</w:t>
      </w:r>
      <w:r>
        <w:t>e in their re</w:t>
      </w:r>
      <w:r w:rsidR="001E2F33">
        <w:t>spective distribution networks</w:t>
      </w:r>
      <w:r w:rsidR="00B136C9">
        <w:t xml:space="preserve">, </w:t>
      </w:r>
      <w:r w:rsidR="006E4E89">
        <w:t>streng</w:t>
      </w:r>
      <w:r w:rsidR="001E2F33">
        <w:t>then</w:t>
      </w:r>
      <w:r w:rsidR="00B136C9">
        <w:t>ing</w:t>
      </w:r>
      <w:r>
        <w:t xml:space="preserve"> their </w:t>
      </w:r>
      <w:r w:rsidR="006E4E89">
        <w:t>competitive position</w:t>
      </w:r>
      <w:r w:rsidR="001E2F33">
        <w:t>.</w:t>
      </w:r>
    </w:p>
    <w:p w:rsidR="003163FF" w:rsidRDefault="000B31D7" w:rsidP="005E14F7">
      <w:pPr>
        <w:pStyle w:val="Heading3"/>
      </w:pPr>
      <w:bookmarkStart w:id="18" w:name="Target4"/>
      <w:bookmarkStart w:id="19" w:name="Acquirer6"/>
      <w:bookmarkEnd w:id="18"/>
      <w:bookmarkEnd w:id="19"/>
      <w:r>
        <w:t>Conclusion</w:t>
      </w:r>
    </w:p>
    <w:p w:rsidR="000B31D7" w:rsidRPr="000B31D7" w:rsidRDefault="005C0E6C" w:rsidP="005E14F7">
      <w:pPr>
        <w:pStyle w:val="NormalParagraph"/>
        <w:tabs>
          <w:tab w:val="clear" w:pos="360"/>
          <w:tab w:val="num" w:pos="567"/>
        </w:tabs>
        <w:ind w:left="567" w:hanging="567"/>
      </w:pPr>
      <w:r>
        <w:t>T</w:t>
      </w:r>
      <w:r w:rsidR="000B31D7">
        <w:t>aking into account the undertakings</w:t>
      </w:r>
      <w:r w:rsidR="003237F4">
        <w:t xml:space="preserve"> given by Elgas and Kleenheat</w:t>
      </w:r>
      <w:r w:rsidR="000B31D7">
        <w:t xml:space="preserve">, the ACCC concluded that the </w:t>
      </w:r>
      <w:r w:rsidR="000B31D7" w:rsidRPr="000B31D7">
        <w:t>proposed</w:t>
      </w:r>
      <w:r w:rsidR="000B31D7">
        <w:t xml:space="preserve"> acquisition of Kleenheat’s east coast LPG business by Elgas would not be likely to </w:t>
      </w:r>
      <w:r w:rsidR="003237F4">
        <w:t xml:space="preserve">have the effect of </w:t>
      </w:r>
      <w:r w:rsidR="000B31D7">
        <w:t>substantial</w:t>
      </w:r>
      <w:r w:rsidR="003237F4">
        <w:t>ly</w:t>
      </w:r>
      <w:r w:rsidR="000B31D7">
        <w:t xml:space="preserve"> lessening competition in any relevant market.</w:t>
      </w:r>
      <w:bookmarkStart w:id="20" w:name="_GoBack"/>
      <w:bookmarkEnd w:id="20"/>
    </w:p>
    <w:sectPr w:rsidR="000B31D7" w:rsidRPr="000B31D7">
      <w:headerReference w:type="even" r:id="rId12"/>
      <w:headerReference w:type="default" r:id="rId13"/>
      <w:footerReference w:type="even" r:id="rId14"/>
      <w:footerReference w:type="default" r:id="rId15"/>
      <w:headerReference w:type="first" r:id="rId16"/>
      <w:footerReference w:type="first" r:id="rId17"/>
      <w:pgSz w:w="11906" w:h="16838" w:code="9"/>
      <w:pgMar w:top="1440" w:right="1729" w:bottom="1582" w:left="1729" w:header="720" w:footer="10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13" w:rsidRDefault="00BB6013">
      <w:r>
        <w:separator/>
      </w:r>
    </w:p>
  </w:endnote>
  <w:endnote w:type="continuationSeparator" w:id="0">
    <w:p w:rsidR="00BB6013" w:rsidRDefault="00BB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13" w:rsidRDefault="00BB601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B6013" w:rsidRDefault="00BB601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13" w:rsidRPr="001E2914" w:rsidRDefault="00BB6013">
    <w:pPr>
      <w:pStyle w:val="Footer"/>
      <w:jc w:val="right"/>
      <w:rPr>
        <w:rFonts w:ascii="Arial" w:hAnsi="Arial" w:cs="Arial"/>
        <w:sz w:val="22"/>
        <w:szCs w:val="22"/>
      </w:rPr>
    </w:pPr>
    <w:r w:rsidRPr="001E2914">
      <w:rPr>
        <w:rFonts w:ascii="Arial" w:hAnsi="Arial" w:cs="Arial"/>
        <w:sz w:val="22"/>
        <w:szCs w:val="22"/>
      </w:rPr>
      <w:t xml:space="preserve">Page </w:t>
    </w:r>
    <w:r w:rsidRPr="001E2914">
      <w:rPr>
        <w:rFonts w:ascii="Arial" w:hAnsi="Arial" w:cs="Arial"/>
        <w:b/>
        <w:sz w:val="22"/>
        <w:szCs w:val="22"/>
      </w:rPr>
      <w:fldChar w:fldCharType="begin"/>
    </w:r>
    <w:r w:rsidRPr="001E2914">
      <w:rPr>
        <w:rFonts w:ascii="Arial" w:hAnsi="Arial" w:cs="Arial"/>
        <w:b/>
        <w:sz w:val="22"/>
        <w:szCs w:val="22"/>
      </w:rPr>
      <w:instrText xml:space="preserve"> PAGE </w:instrText>
    </w:r>
    <w:r w:rsidRPr="001E2914">
      <w:rPr>
        <w:rFonts w:ascii="Arial" w:hAnsi="Arial" w:cs="Arial"/>
        <w:b/>
        <w:sz w:val="22"/>
        <w:szCs w:val="22"/>
      </w:rPr>
      <w:fldChar w:fldCharType="separate"/>
    </w:r>
    <w:r w:rsidR="004A01FB">
      <w:rPr>
        <w:rFonts w:ascii="Arial" w:hAnsi="Arial" w:cs="Arial"/>
        <w:b/>
        <w:noProof/>
        <w:sz w:val="22"/>
        <w:szCs w:val="22"/>
      </w:rPr>
      <w:t>17</w:t>
    </w:r>
    <w:r w:rsidRPr="001E2914">
      <w:rPr>
        <w:rFonts w:ascii="Arial" w:hAnsi="Arial" w:cs="Arial"/>
        <w:b/>
        <w:sz w:val="22"/>
        <w:szCs w:val="22"/>
      </w:rPr>
      <w:fldChar w:fldCharType="end"/>
    </w:r>
    <w:r w:rsidRPr="001E2914">
      <w:rPr>
        <w:rFonts w:ascii="Arial" w:hAnsi="Arial" w:cs="Arial"/>
        <w:sz w:val="22"/>
        <w:szCs w:val="22"/>
      </w:rPr>
      <w:t xml:space="preserve"> of </w:t>
    </w:r>
    <w:r w:rsidRPr="001E2914">
      <w:rPr>
        <w:rFonts w:ascii="Arial" w:hAnsi="Arial" w:cs="Arial"/>
        <w:b/>
        <w:sz w:val="22"/>
        <w:szCs w:val="22"/>
      </w:rPr>
      <w:fldChar w:fldCharType="begin"/>
    </w:r>
    <w:r w:rsidRPr="001E2914">
      <w:rPr>
        <w:rFonts w:ascii="Arial" w:hAnsi="Arial" w:cs="Arial"/>
        <w:b/>
        <w:sz w:val="22"/>
        <w:szCs w:val="22"/>
      </w:rPr>
      <w:instrText xml:space="preserve"> NUMPAGES  </w:instrText>
    </w:r>
    <w:r w:rsidRPr="001E2914">
      <w:rPr>
        <w:rFonts w:ascii="Arial" w:hAnsi="Arial" w:cs="Arial"/>
        <w:b/>
        <w:sz w:val="22"/>
        <w:szCs w:val="22"/>
      </w:rPr>
      <w:fldChar w:fldCharType="separate"/>
    </w:r>
    <w:r w:rsidR="004A01FB">
      <w:rPr>
        <w:rFonts w:ascii="Arial" w:hAnsi="Arial" w:cs="Arial"/>
        <w:b/>
        <w:noProof/>
        <w:sz w:val="22"/>
        <w:szCs w:val="22"/>
      </w:rPr>
      <w:t>17</w:t>
    </w:r>
    <w:r w:rsidRPr="001E2914">
      <w:rPr>
        <w:rFonts w:ascii="Arial" w:hAnsi="Arial" w:cs="Arial"/>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13" w:rsidRPr="00D11F62" w:rsidRDefault="00BB6013">
    <w:pPr>
      <w:pStyle w:val="Footer"/>
      <w:jc w:val="right"/>
      <w:rPr>
        <w:rFonts w:ascii="Arial" w:hAnsi="Arial" w:cs="Arial"/>
        <w:sz w:val="22"/>
        <w:szCs w:val="22"/>
      </w:rPr>
    </w:pPr>
    <w:r w:rsidRPr="00D11F62">
      <w:rPr>
        <w:rFonts w:ascii="Arial" w:hAnsi="Arial" w:cs="Arial"/>
        <w:sz w:val="22"/>
        <w:szCs w:val="22"/>
      </w:rPr>
      <w:t xml:space="preserve">Page </w:t>
    </w:r>
    <w:r w:rsidRPr="00D11F62">
      <w:rPr>
        <w:rFonts w:ascii="Arial" w:hAnsi="Arial" w:cs="Arial"/>
        <w:b/>
        <w:sz w:val="22"/>
        <w:szCs w:val="22"/>
      </w:rPr>
      <w:fldChar w:fldCharType="begin"/>
    </w:r>
    <w:r w:rsidRPr="00D11F62">
      <w:rPr>
        <w:rFonts w:ascii="Arial" w:hAnsi="Arial" w:cs="Arial"/>
        <w:b/>
        <w:sz w:val="22"/>
        <w:szCs w:val="22"/>
      </w:rPr>
      <w:instrText xml:space="preserve"> PAGE </w:instrText>
    </w:r>
    <w:r w:rsidRPr="00D11F62">
      <w:rPr>
        <w:rFonts w:ascii="Arial" w:hAnsi="Arial" w:cs="Arial"/>
        <w:b/>
        <w:sz w:val="22"/>
        <w:szCs w:val="22"/>
      </w:rPr>
      <w:fldChar w:fldCharType="separate"/>
    </w:r>
    <w:r w:rsidR="004A01FB">
      <w:rPr>
        <w:rFonts w:ascii="Arial" w:hAnsi="Arial" w:cs="Arial"/>
        <w:b/>
        <w:noProof/>
        <w:sz w:val="22"/>
        <w:szCs w:val="22"/>
      </w:rPr>
      <w:t>1</w:t>
    </w:r>
    <w:r w:rsidRPr="00D11F62">
      <w:rPr>
        <w:rFonts w:ascii="Arial" w:hAnsi="Arial" w:cs="Arial"/>
        <w:b/>
        <w:sz w:val="22"/>
        <w:szCs w:val="22"/>
      </w:rPr>
      <w:fldChar w:fldCharType="end"/>
    </w:r>
    <w:r w:rsidRPr="00D11F62">
      <w:rPr>
        <w:rFonts w:ascii="Arial" w:hAnsi="Arial" w:cs="Arial"/>
        <w:sz w:val="22"/>
        <w:szCs w:val="22"/>
      </w:rPr>
      <w:t xml:space="preserve"> of </w:t>
    </w:r>
    <w:r w:rsidRPr="00D11F62">
      <w:rPr>
        <w:rFonts w:ascii="Arial" w:hAnsi="Arial" w:cs="Arial"/>
        <w:b/>
        <w:sz w:val="22"/>
        <w:szCs w:val="22"/>
      </w:rPr>
      <w:fldChar w:fldCharType="begin"/>
    </w:r>
    <w:r w:rsidRPr="00D11F62">
      <w:rPr>
        <w:rFonts w:ascii="Arial" w:hAnsi="Arial" w:cs="Arial"/>
        <w:b/>
        <w:sz w:val="22"/>
        <w:szCs w:val="22"/>
      </w:rPr>
      <w:instrText xml:space="preserve"> NUMPAGES  </w:instrText>
    </w:r>
    <w:r w:rsidRPr="00D11F62">
      <w:rPr>
        <w:rFonts w:ascii="Arial" w:hAnsi="Arial" w:cs="Arial"/>
        <w:b/>
        <w:sz w:val="22"/>
        <w:szCs w:val="22"/>
      </w:rPr>
      <w:fldChar w:fldCharType="separate"/>
    </w:r>
    <w:r w:rsidR="004A01FB">
      <w:rPr>
        <w:rFonts w:ascii="Arial" w:hAnsi="Arial" w:cs="Arial"/>
        <w:b/>
        <w:noProof/>
        <w:sz w:val="22"/>
        <w:szCs w:val="22"/>
      </w:rPr>
      <w:t>17</w:t>
    </w:r>
    <w:r w:rsidRPr="00D11F62">
      <w:rPr>
        <w:rFonts w:ascii="Arial" w:hAnsi="Arial" w:cs="Arial"/>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13" w:rsidRDefault="00BB6013">
      <w:r>
        <w:separator/>
      </w:r>
    </w:p>
  </w:footnote>
  <w:footnote w:type="continuationSeparator" w:id="0">
    <w:p w:rsidR="00BB6013" w:rsidRDefault="00BB6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F5" w:rsidRDefault="00BD4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13" w:rsidRPr="001E2914" w:rsidRDefault="00BB6013">
    <w:pPr>
      <w:pStyle w:val="Header"/>
      <w:jc w:val="right"/>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F5" w:rsidRDefault="00BD4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1863"/>
    <w:multiLevelType w:val="hybridMultilevel"/>
    <w:tmpl w:val="0C323F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010E6B"/>
    <w:multiLevelType w:val="singleLevel"/>
    <w:tmpl w:val="5E4850B2"/>
    <w:lvl w:ilvl="0">
      <w:start w:val="1"/>
      <w:numFmt w:val="bullet"/>
      <w:pStyle w:val="ListBullet2"/>
      <w:lvlText w:val=""/>
      <w:lvlJc w:val="left"/>
      <w:pPr>
        <w:tabs>
          <w:tab w:val="num" w:pos="360"/>
        </w:tabs>
        <w:ind w:left="360" w:hanging="360"/>
      </w:pPr>
      <w:rPr>
        <w:rFonts w:ascii="Wingdings" w:hAnsi="Wingdings" w:hint="default"/>
      </w:rPr>
    </w:lvl>
  </w:abstractNum>
  <w:abstractNum w:abstractNumId="2">
    <w:nsid w:val="21805366"/>
    <w:multiLevelType w:val="hybridMultilevel"/>
    <w:tmpl w:val="0C86B632"/>
    <w:lvl w:ilvl="0" w:tplc="1C0ECCD2">
      <w:start w:val="1"/>
      <w:numFmt w:val="decimal"/>
      <w:pStyle w:val="Numbered"/>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6042DE1"/>
    <w:multiLevelType w:val="hybridMultilevel"/>
    <w:tmpl w:val="03B69560"/>
    <w:lvl w:ilvl="0" w:tplc="FCF4C462">
      <w:start w:val="1"/>
      <w:numFmt w:val="lowerLetter"/>
      <w:pStyle w:val="ABC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39764FF"/>
    <w:multiLevelType w:val="hybridMultilevel"/>
    <w:tmpl w:val="B0F888D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752A89"/>
    <w:multiLevelType w:val="hybridMultilevel"/>
    <w:tmpl w:val="F55093AE"/>
    <w:lvl w:ilvl="0" w:tplc="8A984EBE">
      <w:start w:val="1"/>
      <w:numFmt w:val="bullet"/>
      <w:lvlText w:val=""/>
      <w:lvlJc w:val="left"/>
      <w:pPr>
        <w:ind w:left="1287" w:hanging="360"/>
      </w:pPr>
      <w:rPr>
        <w:rFonts w:ascii="Wingdings" w:hAnsi="Wingdings"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42CA085C"/>
    <w:multiLevelType w:val="singleLevel"/>
    <w:tmpl w:val="BF74712C"/>
    <w:lvl w:ilvl="0">
      <w:start w:val="1"/>
      <w:numFmt w:val="bullet"/>
      <w:lvlText w:val=""/>
      <w:lvlJc w:val="left"/>
      <w:pPr>
        <w:tabs>
          <w:tab w:val="num" w:pos="360"/>
        </w:tabs>
        <w:ind w:left="360" w:hanging="360"/>
      </w:pPr>
      <w:rPr>
        <w:rFonts w:ascii="Wingdings" w:hAnsi="Wingdings" w:hint="default"/>
        <w:sz w:val="28"/>
      </w:rPr>
    </w:lvl>
  </w:abstractNum>
  <w:abstractNum w:abstractNumId="7">
    <w:nsid w:val="433056AA"/>
    <w:multiLevelType w:val="singleLevel"/>
    <w:tmpl w:val="7A3837B0"/>
    <w:lvl w:ilvl="0">
      <w:numFmt w:val="bullet"/>
      <w:pStyle w:val="ListBullet3"/>
      <w:lvlText w:val="—"/>
      <w:lvlJc w:val="left"/>
      <w:pPr>
        <w:tabs>
          <w:tab w:val="num" w:pos="360"/>
        </w:tabs>
        <w:ind w:left="360" w:hanging="360"/>
      </w:pPr>
      <w:rPr>
        <w:rFonts w:ascii="Times New Roman" w:hAnsi="Times New Roman" w:hint="default"/>
      </w:rPr>
    </w:lvl>
  </w:abstractNum>
  <w:abstractNum w:abstractNumId="8">
    <w:nsid w:val="44E305FB"/>
    <w:multiLevelType w:val="multilevel"/>
    <w:tmpl w:val="E7B4A79E"/>
    <w:lvl w:ilvl="0">
      <w:start w:val="1"/>
      <w:numFmt w:val="decimal"/>
      <w:pStyle w:val="NormalParagraph"/>
      <w:lvlText w:val="%1."/>
      <w:lvlJc w:val="left"/>
      <w:pPr>
        <w:tabs>
          <w:tab w:val="num" w:pos="360"/>
        </w:tabs>
        <w:ind w:left="360" w:hanging="360"/>
      </w:pPr>
      <w:rPr>
        <w:rFonts w:hint="default"/>
        <w:sz w:val="24"/>
      </w:rPr>
    </w:lvl>
    <w:lvl w:ilvl="1">
      <w:start w:val="1"/>
      <w:numFmt w:val="bullet"/>
      <w:lvlText w:val=""/>
      <w:lvlJc w:val="left"/>
      <w:pPr>
        <w:tabs>
          <w:tab w:val="num" w:pos="720"/>
        </w:tabs>
        <w:ind w:left="720" w:hanging="360"/>
      </w:pPr>
      <w:rPr>
        <w:rFonts w:ascii="Wingdings" w:hAnsi="Wingdings" w:hint="default"/>
        <w:sz w:val="12"/>
      </w:rPr>
    </w:lvl>
    <w:lvl w:ilvl="2">
      <w:start w:val="1"/>
      <w:numFmt w:val="bullet"/>
      <w:lvlText w:val="–"/>
      <w:lvlJc w:val="left"/>
      <w:pPr>
        <w:tabs>
          <w:tab w:val="num" w:pos="1080"/>
        </w:tabs>
        <w:ind w:left="1080" w:hanging="360"/>
      </w:pPr>
      <w:rPr>
        <w:rFonts w:ascii="Times New Roman" w:hAnsi="Times New Roman"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52CE7D9C"/>
    <w:multiLevelType w:val="multilevel"/>
    <w:tmpl w:val="C968366A"/>
    <w:lvl w:ilvl="0">
      <w:start w:val="1"/>
      <w:numFmt w:val="decimal"/>
      <w:pStyle w:val="HeadNumb"/>
      <w:lvlText w:val="%1."/>
      <w:lvlJc w:val="left"/>
      <w:pPr>
        <w:tabs>
          <w:tab w:val="num" w:pos="397"/>
        </w:tabs>
        <w:ind w:left="397" w:hanging="397"/>
      </w:pPr>
      <w:rPr>
        <w:rFonts w:ascii="Arial Bold" w:hAnsi="Arial Bold" w:hint="default"/>
        <w:b/>
        <w:i w:val="0"/>
        <w:caps w:val="0"/>
        <w:strike w:val="0"/>
        <w:dstrike w:val="0"/>
        <w:outline w:val="0"/>
        <w:shadow w:val="0"/>
        <w:emboss w:val="0"/>
        <w:imprint w:val="0"/>
        <w:vanish w:val="0"/>
        <w:sz w:val="18"/>
        <w:szCs w:val="18"/>
        <w:vertAlign w:val="baseline"/>
      </w:rPr>
    </w:lvl>
    <w:lvl w:ilvl="1">
      <w:start w:val="1"/>
      <w:numFmt w:val="decimal"/>
      <w:pStyle w:val="SecondlevelNumb"/>
      <w:lvlText w:val="%1.%2"/>
      <w:lvlJc w:val="left"/>
      <w:pPr>
        <w:tabs>
          <w:tab w:val="num" w:pos="567"/>
        </w:tabs>
        <w:ind w:left="964" w:hanging="397"/>
      </w:pPr>
      <w:rPr>
        <w:rFonts w:ascii="Arial" w:hAnsi="Arial" w:hint="default"/>
        <w:b w:val="0"/>
        <w:i w:val="0"/>
        <w:caps w:val="0"/>
        <w:strike w:val="0"/>
        <w:dstrike w:val="0"/>
        <w:outline w:val="0"/>
        <w:shadow w:val="0"/>
        <w:emboss w:val="0"/>
        <w:imprint w:val="0"/>
        <w:vanish w:val="0"/>
        <w:sz w:val="22"/>
        <w:szCs w:val="22"/>
        <w:vertAlign w:val="baseline"/>
      </w:rPr>
    </w:lvl>
    <w:lvl w:ilvl="2">
      <w:start w:val="1"/>
      <w:numFmt w:val="lowerLetter"/>
      <w:lvlText w:val="(%3)"/>
      <w:lvlJc w:val="left"/>
      <w:pPr>
        <w:tabs>
          <w:tab w:val="num" w:pos="1440"/>
        </w:tabs>
        <w:ind w:left="1440" w:hanging="720"/>
      </w:pPr>
      <w:rPr>
        <w:rFonts w:ascii="Tahoma" w:hAnsi="Tahoma" w:hint="default"/>
        <w:b w:val="0"/>
        <w:i w:val="0"/>
        <w:caps w:val="0"/>
        <w:strike w:val="0"/>
        <w:dstrike w:val="0"/>
        <w:outline w:val="0"/>
        <w:shadow w:val="0"/>
        <w:emboss w:val="0"/>
        <w:imprint w:val="0"/>
        <w:vanish w:val="0"/>
        <w:sz w:val="24"/>
        <w:vertAlign w:val="baseline"/>
      </w:rPr>
    </w:lvl>
    <w:lvl w:ilvl="3">
      <w:start w:val="1"/>
      <w:numFmt w:val="lowerRoman"/>
      <w:lvlText w:val="(%4)"/>
      <w:lvlJc w:val="left"/>
      <w:pPr>
        <w:tabs>
          <w:tab w:val="num" w:pos="2160"/>
        </w:tabs>
        <w:ind w:left="2160" w:hanging="720"/>
      </w:pPr>
      <w:rPr>
        <w:rFonts w:ascii="Palatino" w:hAnsi="Palatino" w:hint="default"/>
        <w:b w:val="0"/>
        <w:i w:val="0"/>
        <w:caps w:val="0"/>
        <w:strike w:val="0"/>
        <w:dstrike w:val="0"/>
        <w:outline w:val="0"/>
        <w:shadow w:val="0"/>
        <w:emboss w:val="0"/>
        <w:imprint w:val="0"/>
        <w:vanish w:val="0"/>
        <w:sz w:val="24"/>
        <w:vertAlign w:val="baseline"/>
      </w:rPr>
    </w:lvl>
    <w:lvl w:ilvl="4">
      <w:start w:val="1"/>
      <w:numFmt w:val="upperLetter"/>
      <w:lvlText w:val="(%5)"/>
      <w:lvlJc w:val="left"/>
      <w:pPr>
        <w:tabs>
          <w:tab w:val="num" w:pos="2880"/>
        </w:tabs>
        <w:ind w:left="2880" w:hanging="720"/>
      </w:pPr>
      <w:rPr>
        <w:rFonts w:ascii="Palatino" w:hAnsi="Palatino" w:hint="default"/>
        <w:b w:val="0"/>
        <w:i w:val="0"/>
        <w:caps w:val="0"/>
        <w:strike w:val="0"/>
        <w:dstrike w:val="0"/>
        <w:outline w:val="0"/>
        <w:shadow w:val="0"/>
        <w:emboss w:val="0"/>
        <w:imprint w:val="0"/>
        <w:vanish w:val="0"/>
        <w:color w:val="auto"/>
        <w:sz w:val="24"/>
        <w:vertAlign w:val="baseline"/>
      </w:rPr>
    </w:lvl>
    <w:lvl w:ilvl="5">
      <w:start w:val="1"/>
      <w:numFmt w:val="upperRoman"/>
      <w:lvlText w:val="(%6)"/>
      <w:lvlJc w:val="left"/>
      <w:pPr>
        <w:tabs>
          <w:tab w:val="num" w:pos="3600"/>
        </w:tabs>
        <w:ind w:left="3600" w:hanging="720"/>
      </w:pPr>
      <w:rPr>
        <w:rFonts w:ascii="Palatino" w:hAnsi="Palatino" w:hint="default"/>
        <w:b w:val="0"/>
        <w:i w:val="0"/>
        <w:caps w:val="0"/>
        <w:strike w:val="0"/>
        <w:dstrike w:val="0"/>
        <w:outline w:val="0"/>
        <w:shadow w:val="0"/>
        <w:emboss w:val="0"/>
        <w:imprint w:val="0"/>
        <w:vanish w:val="0"/>
        <w:sz w:val="24"/>
        <w:vertAlign w:val="baseli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8"/>
  </w:num>
  <w:num w:numId="2">
    <w:abstractNumId w:val="7"/>
  </w:num>
  <w:num w:numId="3">
    <w:abstractNumId w:val="1"/>
  </w:num>
  <w:num w:numId="4">
    <w:abstractNumId w:val="3"/>
  </w:num>
  <w:num w:numId="5">
    <w:abstractNumId w:val="2"/>
  </w:num>
  <w:num w:numId="6">
    <w:abstractNumId w:val="5"/>
  </w:num>
  <w:num w:numId="7">
    <w:abstractNumId w:val="9"/>
  </w:num>
  <w:num w:numId="8">
    <w:abstractNumId w:val="8"/>
  </w:num>
  <w:num w:numId="9">
    <w:abstractNumId w:val="8"/>
  </w:num>
  <w:num w:numId="10">
    <w:abstractNumId w:val="8"/>
  </w:num>
  <w:num w:numId="11">
    <w:abstractNumId w:val="8"/>
  </w:num>
  <w:num w:numId="12">
    <w:abstractNumId w:val="8"/>
  </w:num>
  <w:num w:numId="13">
    <w:abstractNumId w:val="8"/>
  </w:num>
  <w:num w:numId="14">
    <w:abstractNumId w:val="0"/>
  </w:num>
  <w:num w:numId="15">
    <w:abstractNumId w:val="8"/>
  </w:num>
  <w:num w:numId="16">
    <w:abstractNumId w:val="8"/>
  </w:num>
  <w:num w:numId="17">
    <w:abstractNumId w:val="8"/>
  </w:num>
  <w:num w:numId="18">
    <w:abstractNumId w:val="8"/>
  </w:num>
  <w:num w:numId="19">
    <w:abstractNumId w:val="8"/>
  </w:num>
  <w:num w:numId="20">
    <w:abstractNumId w:val="6"/>
  </w:num>
  <w:num w:numId="21">
    <w:abstractNumId w:val="8"/>
  </w:num>
  <w:num w:numId="22">
    <w:abstractNumId w:va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4"/>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4848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rneil\elgas kleenheat - public competition assessment - december 2015 (MER2015-13169).docx"/>
  </w:docVars>
  <w:rsids>
    <w:rsidRoot w:val="00821C2D"/>
    <w:rsid w:val="000004C6"/>
    <w:rsid w:val="00000960"/>
    <w:rsid w:val="000015EA"/>
    <w:rsid w:val="0000372B"/>
    <w:rsid w:val="00007FB1"/>
    <w:rsid w:val="000102D6"/>
    <w:rsid w:val="000113A7"/>
    <w:rsid w:val="0002428B"/>
    <w:rsid w:val="00024F4A"/>
    <w:rsid w:val="000250BC"/>
    <w:rsid w:val="0003646D"/>
    <w:rsid w:val="0003649D"/>
    <w:rsid w:val="000427EE"/>
    <w:rsid w:val="000456CD"/>
    <w:rsid w:val="00047028"/>
    <w:rsid w:val="00053727"/>
    <w:rsid w:val="00054315"/>
    <w:rsid w:val="0007328B"/>
    <w:rsid w:val="0007597E"/>
    <w:rsid w:val="00076406"/>
    <w:rsid w:val="00077A14"/>
    <w:rsid w:val="00077BE7"/>
    <w:rsid w:val="00080E1F"/>
    <w:rsid w:val="000823B6"/>
    <w:rsid w:val="0008274C"/>
    <w:rsid w:val="000840E0"/>
    <w:rsid w:val="00092253"/>
    <w:rsid w:val="00095D75"/>
    <w:rsid w:val="00095FE5"/>
    <w:rsid w:val="000977EB"/>
    <w:rsid w:val="000A3B54"/>
    <w:rsid w:val="000A51DF"/>
    <w:rsid w:val="000B31D7"/>
    <w:rsid w:val="000B4ED6"/>
    <w:rsid w:val="000C22EF"/>
    <w:rsid w:val="000C6D78"/>
    <w:rsid w:val="000D14A1"/>
    <w:rsid w:val="000D3947"/>
    <w:rsid w:val="000E05F2"/>
    <w:rsid w:val="000E147B"/>
    <w:rsid w:val="000E18C5"/>
    <w:rsid w:val="000E366B"/>
    <w:rsid w:val="000E509E"/>
    <w:rsid w:val="000F0CFD"/>
    <w:rsid w:val="000F24BE"/>
    <w:rsid w:val="000F5DAC"/>
    <w:rsid w:val="00107DB7"/>
    <w:rsid w:val="0011781C"/>
    <w:rsid w:val="001178C2"/>
    <w:rsid w:val="00117C07"/>
    <w:rsid w:val="001360D1"/>
    <w:rsid w:val="00141143"/>
    <w:rsid w:val="00141A67"/>
    <w:rsid w:val="001443BA"/>
    <w:rsid w:val="00145C68"/>
    <w:rsid w:val="001614D0"/>
    <w:rsid w:val="0016194A"/>
    <w:rsid w:val="00167424"/>
    <w:rsid w:val="00176914"/>
    <w:rsid w:val="00180FF7"/>
    <w:rsid w:val="00182A2B"/>
    <w:rsid w:val="001A0EA9"/>
    <w:rsid w:val="001A3270"/>
    <w:rsid w:val="001A394A"/>
    <w:rsid w:val="001B5168"/>
    <w:rsid w:val="001C1AE7"/>
    <w:rsid w:val="001C3336"/>
    <w:rsid w:val="001C5405"/>
    <w:rsid w:val="001C6319"/>
    <w:rsid w:val="001D52AC"/>
    <w:rsid w:val="001D5EC8"/>
    <w:rsid w:val="001E25B2"/>
    <w:rsid w:val="001E2914"/>
    <w:rsid w:val="001E2F33"/>
    <w:rsid w:val="001F0E2D"/>
    <w:rsid w:val="001F3E78"/>
    <w:rsid w:val="001F5946"/>
    <w:rsid w:val="00203A5B"/>
    <w:rsid w:val="00211F1F"/>
    <w:rsid w:val="0021475F"/>
    <w:rsid w:val="00216C28"/>
    <w:rsid w:val="0022212A"/>
    <w:rsid w:val="002328B6"/>
    <w:rsid w:val="0023316D"/>
    <w:rsid w:val="0023387E"/>
    <w:rsid w:val="00235326"/>
    <w:rsid w:val="00245B11"/>
    <w:rsid w:val="00247350"/>
    <w:rsid w:val="00247A10"/>
    <w:rsid w:val="00262EDA"/>
    <w:rsid w:val="00264EDD"/>
    <w:rsid w:val="00265D15"/>
    <w:rsid w:val="00272AA5"/>
    <w:rsid w:val="00272E23"/>
    <w:rsid w:val="00283B7D"/>
    <w:rsid w:val="0029432F"/>
    <w:rsid w:val="0029438A"/>
    <w:rsid w:val="00294606"/>
    <w:rsid w:val="002953D0"/>
    <w:rsid w:val="002A1085"/>
    <w:rsid w:val="002A1C9A"/>
    <w:rsid w:val="002A1F13"/>
    <w:rsid w:val="002A31A1"/>
    <w:rsid w:val="002A6CCA"/>
    <w:rsid w:val="002B44EF"/>
    <w:rsid w:val="002C1C7D"/>
    <w:rsid w:val="002C4311"/>
    <w:rsid w:val="002C5E58"/>
    <w:rsid w:val="002C6BFB"/>
    <w:rsid w:val="002C7D56"/>
    <w:rsid w:val="002D21CE"/>
    <w:rsid w:val="002D2361"/>
    <w:rsid w:val="002D24C0"/>
    <w:rsid w:val="002E2466"/>
    <w:rsid w:val="002E25FF"/>
    <w:rsid w:val="002E30A0"/>
    <w:rsid w:val="002E63A3"/>
    <w:rsid w:val="002E6E5B"/>
    <w:rsid w:val="002F0892"/>
    <w:rsid w:val="002F3F31"/>
    <w:rsid w:val="00302339"/>
    <w:rsid w:val="00304325"/>
    <w:rsid w:val="00305E1C"/>
    <w:rsid w:val="003074F2"/>
    <w:rsid w:val="00307640"/>
    <w:rsid w:val="00316110"/>
    <w:rsid w:val="003163FF"/>
    <w:rsid w:val="003225C0"/>
    <w:rsid w:val="003227C7"/>
    <w:rsid w:val="003237F4"/>
    <w:rsid w:val="0033232E"/>
    <w:rsid w:val="00334353"/>
    <w:rsid w:val="00345B7A"/>
    <w:rsid w:val="0034742A"/>
    <w:rsid w:val="003478C8"/>
    <w:rsid w:val="0035776B"/>
    <w:rsid w:val="00365542"/>
    <w:rsid w:val="00365ACF"/>
    <w:rsid w:val="00386168"/>
    <w:rsid w:val="00393146"/>
    <w:rsid w:val="003A074E"/>
    <w:rsid w:val="003A6FA6"/>
    <w:rsid w:val="003A7E7A"/>
    <w:rsid w:val="003C6AF2"/>
    <w:rsid w:val="003D01E0"/>
    <w:rsid w:val="003D6E00"/>
    <w:rsid w:val="003D7370"/>
    <w:rsid w:val="003E2A3E"/>
    <w:rsid w:val="0040017D"/>
    <w:rsid w:val="00411E32"/>
    <w:rsid w:val="004124FE"/>
    <w:rsid w:val="0042307B"/>
    <w:rsid w:val="00426936"/>
    <w:rsid w:val="00431856"/>
    <w:rsid w:val="00440AE2"/>
    <w:rsid w:val="00442005"/>
    <w:rsid w:val="0044220D"/>
    <w:rsid w:val="004425B5"/>
    <w:rsid w:val="00447640"/>
    <w:rsid w:val="0045103F"/>
    <w:rsid w:val="00454ED5"/>
    <w:rsid w:val="00455A58"/>
    <w:rsid w:val="00465020"/>
    <w:rsid w:val="00471B61"/>
    <w:rsid w:val="0047491D"/>
    <w:rsid w:val="00476E25"/>
    <w:rsid w:val="00476E50"/>
    <w:rsid w:val="00481A4F"/>
    <w:rsid w:val="004930A2"/>
    <w:rsid w:val="004961A4"/>
    <w:rsid w:val="004A01FB"/>
    <w:rsid w:val="004A23B2"/>
    <w:rsid w:val="004A2C49"/>
    <w:rsid w:val="004B47A1"/>
    <w:rsid w:val="004B6682"/>
    <w:rsid w:val="004C2329"/>
    <w:rsid w:val="004C434A"/>
    <w:rsid w:val="004E2503"/>
    <w:rsid w:val="004E3A84"/>
    <w:rsid w:val="004E5535"/>
    <w:rsid w:val="004F2661"/>
    <w:rsid w:val="004F6C62"/>
    <w:rsid w:val="00504E50"/>
    <w:rsid w:val="00505D6D"/>
    <w:rsid w:val="0050621C"/>
    <w:rsid w:val="00510954"/>
    <w:rsid w:val="00512557"/>
    <w:rsid w:val="00512B21"/>
    <w:rsid w:val="00522916"/>
    <w:rsid w:val="00524D3B"/>
    <w:rsid w:val="00526C10"/>
    <w:rsid w:val="0052729D"/>
    <w:rsid w:val="00536C3F"/>
    <w:rsid w:val="00544FF9"/>
    <w:rsid w:val="00545AA0"/>
    <w:rsid w:val="00546A56"/>
    <w:rsid w:val="00547439"/>
    <w:rsid w:val="005476B0"/>
    <w:rsid w:val="00560DC6"/>
    <w:rsid w:val="00567EBA"/>
    <w:rsid w:val="00571D07"/>
    <w:rsid w:val="0059643D"/>
    <w:rsid w:val="005968D9"/>
    <w:rsid w:val="00597DF3"/>
    <w:rsid w:val="005A055F"/>
    <w:rsid w:val="005A33E8"/>
    <w:rsid w:val="005A5000"/>
    <w:rsid w:val="005B3828"/>
    <w:rsid w:val="005B6968"/>
    <w:rsid w:val="005C03C9"/>
    <w:rsid w:val="005C082E"/>
    <w:rsid w:val="005C0E6C"/>
    <w:rsid w:val="005C3635"/>
    <w:rsid w:val="005C447E"/>
    <w:rsid w:val="005D517C"/>
    <w:rsid w:val="005D766B"/>
    <w:rsid w:val="005D7C33"/>
    <w:rsid w:val="005E14F7"/>
    <w:rsid w:val="005E537F"/>
    <w:rsid w:val="005E7A05"/>
    <w:rsid w:val="00600E1F"/>
    <w:rsid w:val="006025DF"/>
    <w:rsid w:val="006025F4"/>
    <w:rsid w:val="00603A21"/>
    <w:rsid w:val="0060608E"/>
    <w:rsid w:val="00620F14"/>
    <w:rsid w:val="006252F1"/>
    <w:rsid w:val="00626493"/>
    <w:rsid w:val="00641F7C"/>
    <w:rsid w:val="006439EF"/>
    <w:rsid w:val="00646279"/>
    <w:rsid w:val="0065126B"/>
    <w:rsid w:val="006531C0"/>
    <w:rsid w:val="00655BB1"/>
    <w:rsid w:val="00662465"/>
    <w:rsid w:val="0066528A"/>
    <w:rsid w:val="006713C5"/>
    <w:rsid w:val="0067168E"/>
    <w:rsid w:val="00674D63"/>
    <w:rsid w:val="0068014F"/>
    <w:rsid w:val="00685B72"/>
    <w:rsid w:val="006863FF"/>
    <w:rsid w:val="006934CE"/>
    <w:rsid w:val="00694465"/>
    <w:rsid w:val="00695C52"/>
    <w:rsid w:val="006A03A6"/>
    <w:rsid w:val="006A31C7"/>
    <w:rsid w:val="006A3250"/>
    <w:rsid w:val="006A4A02"/>
    <w:rsid w:val="006A4A8E"/>
    <w:rsid w:val="006A652B"/>
    <w:rsid w:val="006A7FE8"/>
    <w:rsid w:val="006B1713"/>
    <w:rsid w:val="006B6B3F"/>
    <w:rsid w:val="006D46B1"/>
    <w:rsid w:val="006D547D"/>
    <w:rsid w:val="006E05A8"/>
    <w:rsid w:val="006E05FA"/>
    <w:rsid w:val="006E4E89"/>
    <w:rsid w:val="006E6ABC"/>
    <w:rsid w:val="006F0AAB"/>
    <w:rsid w:val="006F33E9"/>
    <w:rsid w:val="006F787B"/>
    <w:rsid w:val="00701B3B"/>
    <w:rsid w:val="007046C2"/>
    <w:rsid w:val="007139F5"/>
    <w:rsid w:val="00714A7A"/>
    <w:rsid w:val="007227C2"/>
    <w:rsid w:val="00723005"/>
    <w:rsid w:val="007266C5"/>
    <w:rsid w:val="00734920"/>
    <w:rsid w:val="00736E1F"/>
    <w:rsid w:val="0073753C"/>
    <w:rsid w:val="00741374"/>
    <w:rsid w:val="00754879"/>
    <w:rsid w:val="007550A9"/>
    <w:rsid w:val="00764F25"/>
    <w:rsid w:val="00765DC8"/>
    <w:rsid w:val="00767531"/>
    <w:rsid w:val="00776880"/>
    <w:rsid w:val="007768B6"/>
    <w:rsid w:val="00777D2C"/>
    <w:rsid w:val="0078400A"/>
    <w:rsid w:val="00790564"/>
    <w:rsid w:val="00792BC7"/>
    <w:rsid w:val="00796F28"/>
    <w:rsid w:val="0079744B"/>
    <w:rsid w:val="007A2830"/>
    <w:rsid w:val="007A2A00"/>
    <w:rsid w:val="007A4B38"/>
    <w:rsid w:val="007A5305"/>
    <w:rsid w:val="007A7CCC"/>
    <w:rsid w:val="007B092E"/>
    <w:rsid w:val="007B70C4"/>
    <w:rsid w:val="007C08C3"/>
    <w:rsid w:val="007C09DB"/>
    <w:rsid w:val="007C2167"/>
    <w:rsid w:val="007C49EB"/>
    <w:rsid w:val="007C5768"/>
    <w:rsid w:val="007C66EF"/>
    <w:rsid w:val="007D371B"/>
    <w:rsid w:val="008049B5"/>
    <w:rsid w:val="00806D28"/>
    <w:rsid w:val="00820322"/>
    <w:rsid w:val="00821C2D"/>
    <w:rsid w:val="00835CCF"/>
    <w:rsid w:val="00837749"/>
    <w:rsid w:val="0084172F"/>
    <w:rsid w:val="00852518"/>
    <w:rsid w:val="00852E17"/>
    <w:rsid w:val="00853F96"/>
    <w:rsid w:val="0085693E"/>
    <w:rsid w:val="00857DAA"/>
    <w:rsid w:val="008638C0"/>
    <w:rsid w:val="00867B05"/>
    <w:rsid w:val="00873704"/>
    <w:rsid w:val="00876287"/>
    <w:rsid w:val="00876C70"/>
    <w:rsid w:val="008806C0"/>
    <w:rsid w:val="00881B4C"/>
    <w:rsid w:val="00886875"/>
    <w:rsid w:val="00887544"/>
    <w:rsid w:val="00887FDA"/>
    <w:rsid w:val="00892947"/>
    <w:rsid w:val="00896B15"/>
    <w:rsid w:val="00897808"/>
    <w:rsid w:val="008A213B"/>
    <w:rsid w:val="008A3A7F"/>
    <w:rsid w:val="008B172C"/>
    <w:rsid w:val="008B68BB"/>
    <w:rsid w:val="008D47E3"/>
    <w:rsid w:val="008D6B54"/>
    <w:rsid w:val="008E18D4"/>
    <w:rsid w:val="008F0F8D"/>
    <w:rsid w:val="008F39C4"/>
    <w:rsid w:val="008F6AA8"/>
    <w:rsid w:val="008F79E2"/>
    <w:rsid w:val="00900A84"/>
    <w:rsid w:val="00905B1A"/>
    <w:rsid w:val="009166B1"/>
    <w:rsid w:val="00920521"/>
    <w:rsid w:val="00921055"/>
    <w:rsid w:val="00923F31"/>
    <w:rsid w:val="0092687F"/>
    <w:rsid w:val="00931114"/>
    <w:rsid w:val="009313A1"/>
    <w:rsid w:val="00932B79"/>
    <w:rsid w:val="0093311D"/>
    <w:rsid w:val="00933239"/>
    <w:rsid w:val="0093704A"/>
    <w:rsid w:val="0094119B"/>
    <w:rsid w:val="00941562"/>
    <w:rsid w:val="009463D5"/>
    <w:rsid w:val="00950B1E"/>
    <w:rsid w:val="009558DB"/>
    <w:rsid w:val="00957DB6"/>
    <w:rsid w:val="0096020D"/>
    <w:rsid w:val="0097660E"/>
    <w:rsid w:val="00977B66"/>
    <w:rsid w:val="00981296"/>
    <w:rsid w:val="00987BB2"/>
    <w:rsid w:val="009906DD"/>
    <w:rsid w:val="00994632"/>
    <w:rsid w:val="009A0D5D"/>
    <w:rsid w:val="009A2F57"/>
    <w:rsid w:val="009A5B67"/>
    <w:rsid w:val="009A67C4"/>
    <w:rsid w:val="009A74F2"/>
    <w:rsid w:val="009B2A85"/>
    <w:rsid w:val="009B60C0"/>
    <w:rsid w:val="009B7713"/>
    <w:rsid w:val="009C147F"/>
    <w:rsid w:val="009C70C6"/>
    <w:rsid w:val="009D6B0E"/>
    <w:rsid w:val="009F0848"/>
    <w:rsid w:val="009F2449"/>
    <w:rsid w:val="009F26AA"/>
    <w:rsid w:val="009F3447"/>
    <w:rsid w:val="00A03CDC"/>
    <w:rsid w:val="00A058CB"/>
    <w:rsid w:val="00A10BE5"/>
    <w:rsid w:val="00A10F1A"/>
    <w:rsid w:val="00A167D1"/>
    <w:rsid w:val="00A20E27"/>
    <w:rsid w:val="00A26C7B"/>
    <w:rsid w:val="00A26DF6"/>
    <w:rsid w:val="00A30143"/>
    <w:rsid w:val="00A3150C"/>
    <w:rsid w:val="00A36401"/>
    <w:rsid w:val="00A36458"/>
    <w:rsid w:val="00A36B2F"/>
    <w:rsid w:val="00A37850"/>
    <w:rsid w:val="00A37C67"/>
    <w:rsid w:val="00A402AF"/>
    <w:rsid w:val="00A4598A"/>
    <w:rsid w:val="00A46F9E"/>
    <w:rsid w:val="00A52689"/>
    <w:rsid w:val="00A53505"/>
    <w:rsid w:val="00A53EC4"/>
    <w:rsid w:val="00A54DA9"/>
    <w:rsid w:val="00A57788"/>
    <w:rsid w:val="00A649A6"/>
    <w:rsid w:val="00A6568E"/>
    <w:rsid w:val="00A66810"/>
    <w:rsid w:val="00A66F49"/>
    <w:rsid w:val="00A7141A"/>
    <w:rsid w:val="00A71B27"/>
    <w:rsid w:val="00A81A2F"/>
    <w:rsid w:val="00A868F1"/>
    <w:rsid w:val="00A87FF6"/>
    <w:rsid w:val="00A94605"/>
    <w:rsid w:val="00AA1AD9"/>
    <w:rsid w:val="00AA28C8"/>
    <w:rsid w:val="00AC1261"/>
    <w:rsid w:val="00AD0EDB"/>
    <w:rsid w:val="00AD319D"/>
    <w:rsid w:val="00AD61FF"/>
    <w:rsid w:val="00AF0F0A"/>
    <w:rsid w:val="00AF1C65"/>
    <w:rsid w:val="00AF1C87"/>
    <w:rsid w:val="00AF2397"/>
    <w:rsid w:val="00AF25E4"/>
    <w:rsid w:val="00AF40FA"/>
    <w:rsid w:val="00AF46D2"/>
    <w:rsid w:val="00AF70B0"/>
    <w:rsid w:val="00B0562B"/>
    <w:rsid w:val="00B058B9"/>
    <w:rsid w:val="00B073D7"/>
    <w:rsid w:val="00B136C9"/>
    <w:rsid w:val="00B250CB"/>
    <w:rsid w:val="00B32501"/>
    <w:rsid w:val="00B32534"/>
    <w:rsid w:val="00B351F4"/>
    <w:rsid w:val="00B41420"/>
    <w:rsid w:val="00B4340F"/>
    <w:rsid w:val="00B51721"/>
    <w:rsid w:val="00B60BCC"/>
    <w:rsid w:val="00B61D46"/>
    <w:rsid w:val="00B67C47"/>
    <w:rsid w:val="00B72EBD"/>
    <w:rsid w:val="00B73598"/>
    <w:rsid w:val="00B842B5"/>
    <w:rsid w:val="00B94804"/>
    <w:rsid w:val="00B94C13"/>
    <w:rsid w:val="00BA1217"/>
    <w:rsid w:val="00BA3913"/>
    <w:rsid w:val="00BA7D46"/>
    <w:rsid w:val="00BB0306"/>
    <w:rsid w:val="00BB0640"/>
    <w:rsid w:val="00BB5024"/>
    <w:rsid w:val="00BB6013"/>
    <w:rsid w:val="00BC158D"/>
    <w:rsid w:val="00BC2CBE"/>
    <w:rsid w:val="00BC3FEC"/>
    <w:rsid w:val="00BC7BB9"/>
    <w:rsid w:val="00BD09C2"/>
    <w:rsid w:val="00BD41F5"/>
    <w:rsid w:val="00BD4F17"/>
    <w:rsid w:val="00BD5AB7"/>
    <w:rsid w:val="00BD6178"/>
    <w:rsid w:val="00BE038C"/>
    <w:rsid w:val="00BE12E1"/>
    <w:rsid w:val="00BE6E8D"/>
    <w:rsid w:val="00BF2370"/>
    <w:rsid w:val="00BF2CA5"/>
    <w:rsid w:val="00BF6F23"/>
    <w:rsid w:val="00C00C22"/>
    <w:rsid w:val="00C02BD7"/>
    <w:rsid w:val="00C034F3"/>
    <w:rsid w:val="00C0523F"/>
    <w:rsid w:val="00C10EFD"/>
    <w:rsid w:val="00C12A07"/>
    <w:rsid w:val="00C132B8"/>
    <w:rsid w:val="00C157AA"/>
    <w:rsid w:val="00C229CF"/>
    <w:rsid w:val="00C242C8"/>
    <w:rsid w:val="00C275BA"/>
    <w:rsid w:val="00C27610"/>
    <w:rsid w:val="00C42A49"/>
    <w:rsid w:val="00C44998"/>
    <w:rsid w:val="00C529E3"/>
    <w:rsid w:val="00C5510E"/>
    <w:rsid w:val="00C559F9"/>
    <w:rsid w:val="00C70235"/>
    <w:rsid w:val="00C717A5"/>
    <w:rsid w:val="00C73D02"/>
    <w:rsid w:val="00C86960"/>
    <w:rsid w:val="00C8791C"/>
    <w:rsid w:val="00C91650"/>
    <w:rsid w:val="00C920D1"/>
    <w:rsid w:val="00C93697"/>
    <w:rsid w:val="00C972D3"/>
    <w:rsid w:val="00CA5FA1"/>
    <w:rsid w:val="00CB5C58"/>
    <w:rsid w:val="00CB6534"/>
    <w:rsid w:val="00CB6FB4"/>
    <w:rsid w:val="00CB71DB"/>
    <w:rsid w:val="00CC0474"/>
    <w:rsid w:val="00CC7520"/>
    <w:rsid w:val="00CD195A"/>
    <w:rsid w:val="00CE7882"/>
    <w:rsid w:val="00CF66CD"/>
    <w:rsid w:val="00CF6855"/>
    <w:rsid w:val="00CF6A1E"/>
    <w:rsid w:val="00D0008F"/>
    <w:rsid w:val="00D11F62"/>
    <w:rsid w:val="00D1688D"/>
    <w:rsid w:val="00D176E3"/>
    <w:rsid w:val="00D17F29"/>
    <w:rsid w:val="00D17FAC"/>
    <w:rsid w:val="00D24D37"/>
    <w:rsid w:val="00D256AB"/>
    <w:rsid w:val="00D27602"/>
    <w:rsid w:val="00D31FB1"/>
    <w:rsid w:val="00D379E8"/>
    <w:rsid w:val="00D41048"/>
    <w:rsid w:val="00D435AC"/>
    <w:rsid w:val="00D4389F"/>
    <w:rsid w:val="00D45580"/>
    <w:rsid w:val="00D468A9"/>
    <w:rsid w:val="00D57E09"/>
    <w:rsid w:val="00D66DAB"/>
    <w:rsid w:val="00D67DC9"/>
    <w:rsid w:val="00D702C6"/>
    <w:rsid w:val="00D710D7"/>
    <w:rsid w:val="00D8312F"/>
    <w:rsid w:val="00D84F58"/>
    <w:rsid w:val="00D85CEE"/>
    <w:rsid w:val="00D9024D"/>
    <w:rsid w:val="00D92603"/>
    <w:rsid w:val="00DA0D41"/>
    <w:rsid w:val="00DA57D3"/>
    <w:rsid w:val="00DA6CB0"/>
    <w:rsid w:val="00DB114F"/>
    <w:rsid w:val="00DB45E0"/>
    <w:rsid w:val="00DB6C83"/>
    <w:rsid w:val="00DC1FF5"/>
    <w:rsid w:val="00DC2DE7"/>
    <w:rsid w:val="00DC6222"/>
    <w:rsid w:val="00DC754F"/>
    <w:rsid w:val="00DD3362"/>
    <w:rsid w:val="00DD3626"/>
    <w:rsid w:val="00DE01E6"/>
    <w:rsid w:val="00DF15AE"/>
    <w:rsid w:val="00DF302D"/>
    <w:rsid w:val="00DF3A77"/>
    <w:rsid w:val="00DF4419"/>
    <w:rsid w:val="00DF646F"/>
    <w:rsid w:val="00DF65AB"/>
    <w:rsid w:val="00DF7B2C"/>
    <w:rsid w:val="00E100E2"/>
    <w:rsid w:val="00E10514"/>
    <w:rsid w:val="00E110D9"/>
    <w:rsid w:val="00E11128"/>
    <w:rsid w:val="00E21DB3"/>
    <w:rsid w:val="00E241DE"/>
    <w:rsid w:val="00E24818"/>
    <w:rsid w:val="00E25A68"/>
    <w:rsid w:val="00E371D3"/>
    <w:rsid w:val="00E55A80"/>
    <w:rsid w:val="00E62C79"/>
    <w:rsid w:val="00E62F59"/>
    <w:rsid w:val="00E63DBA"/>
    <w:rsid w:val="00E73504"/>
    <w:rsid w:val="00E802E8"/>
    <w:rsid w:val="00E845AB"/>
    <w:rsid w:val="00E91363"/>
    <w:rsid w:val="00E9311A"/>
    <w:rsid w:val="00EA0014"/>
    <w:rsid w:val="00EA0602"/>
    <w:rsid w:val="00EA1EB3"/>
    <w:rsid w:val="00EA352C"/>
    <w:rsid w:val="00EA4B6E"/>
    <w:rsid w:val="00EB22F7"/>
    <w:rsid w:val="00EC4792"/>
    <w:rsid w:val="00EC63EE"/>
    <w:rsid w:val="00ED0C66"/>
    <w:rsid w:val="00ED0DB2"/>
    <w:rsid w:val="00ED3406"/>
    <w:rsid w:val="00EE4567"/>
    <w:rsid w:val="00EE6790"/>
    <w:rsid w:val="00EF2E41"/>
    <w:rsid w:val="00EF3769"/>
    <w:rsid w:val="00EF653B"/>
    <w:rsid w:val="00F00880"/>
    <w:rsid w:val="00F02581"/>
    <w:rsid w:val="00F10168"/>
    <w:rsid w:val="00F10AAD"/>
    <w:rsid w:val="00F16121"/>
    <w:rsid w:val="00F169A0"/>
    <w:rsid w:val="00F16C86"/>
    <w:rsid w:val="00F16CAD"/>
    <w:rsid w:val="00F20261"/>
    <w:rsid w:val="00F263DB"/>
    <w:rsid w:val="00F27ACC"/>
    <w:rsid w:val="00F335D8"/>
    <w:rsid w:val="00F338F6"/>
    <w:rsid w:val="00F33E19"/>
    <w:rsid w:val="00F3663F"/>
    <w:rsid w:val="00F43FB8"/>
    <w:rsid w:val="00F45395"/>
    <w:rsid w:val="00F50737"/>
    <w:rsid w:val="00F51E10"/>
    <w:rsid w:val="00F52DB4"/>
    <w:rsid w:val="00F52F0E"/>
    <w:rsid w:val="00F53038"/>
    <w:rsid w:val="00F54799"/>
    <w:rsid w:val="00F56D06"/>
    <w:rsid w:val="00F66ABE"/>
    <w:rsid w:val="00F73825"/>
    <w:rsid w:val="00F74792"/>
    <w:rsid w:val="00F77851"/>
    <w:rsid w:val="00F80A7E"/>
    <w:rsid w:val="00F85E5C"/>
    <w:rsid w:val="00F92CBF"/>
    <w:rsid w:val="00FA12C6"/>
    <w:rsid w:val="00FA25A6"/>
    <w:rsid w:val="00FA3004"/>
    <w:rsid w:val="00FA492C"/>
    <w:rsid w:val="00FB2C60"/>
    <w:rsid w:val="00FB349B"/>
    <w:rsid w:val="00FB59C8"/>
    <w:rsid w:val="00FB71D5"/>
    <w:rsid w:val="00FC45A2"/>
    <w:rsid w:val="00FC7EC6"/>
    <w:rsid w:val="00FD4F1B"/>
    <w:rsid w:val="00FD74FF"/>
    <w:rsid w:val="00FE72F6"/>
    <w:rsid w:val="00FE7EA4"/>
    <w:rsid w:val="00FF3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Pr>
      <w:sz w:val="24"/>
      <w:szCs w:val="24"/>
    </w:rPr>
  </w:style>
  <w:style w:type="paragraph" w:styleId="Heading1">
    <w:name w:val="heading 1"/>
    <w:basedOn w:val="Normal"/>
    <w:next w:val="Normal"/>
    <w:qFormat/>
    <w:rsid w:val="00A53505"/>
    <w:pPr>
      <w:keepNext/>
      <w:tabs>
        <w:tab w:val="left" w:pos="360"/>
      </w:tabs>
      <w:spacing w:after="480"/>
      <w:ind w:left="357" w:hanging="357"/>
      <w:jc w:val="right"/>
      <w:outlineLvl w:val="0"/>
    </w:pPr>
    <w:rPr>
      <w:rFonts w:ascii="Arial" w:hAnsi="Arial"/>
      <w:b/>
      <w:sz w:val="36"/>
    </w:rPr>
  </w:style>
  <w:style w:type="paragraph" w:styleId="Heading2">
    <w:name w:val="heading 2"/>
    <w:basedOn w:val="Normal"/>
    <w:next w:val="Normal"/>
    <w:qFormat/>
    <w:rsid w:val="00A53505"/>
    <w:pPr>
      <w:keepNext/>
      <w:pBdr>
        <w:bottom w:val="single" w:sz="4" w:space="1" w:color="auto"/>
      </w:pBdr>
      <w:spacing w:before="240"/>
      <w:jc w:val="right"/>
      <w:outlineLvl w:val="1"/>
    </w:pPr>
    <w:rPr>
      <w:rFonts w:ascii="Arial" w:hAnsi="Arial"/>
      <w:b/>
      <w:sz w:val="30"/>
    </w:rPr>
  </w:style>
  <w:style w:type="paragraph" w:styleId="Heading3">
    <w:name w:val="heading 3"/>
    <w:basedOn w:val="Normal"/>
    <w:next w:val="Normal"/>
    <w:qFormat/>
    <w:rsid w:val="006A7FE8"/>
    <w:pPr>
      <w:keepNext/>
      <w:spacing w:before="120" w:after="120"/>
      <w:outlineLvl w:val="2"/>
    </w:pPr>
    <w:rPr>
      <w:rFonts w:ascii="Arial" w:hAnsi="Arial"/>
      <w:b/>
      <w:sz w:val="30"/>
      <w:szCs w:val="30"/>
    </w:rPr>
  </w:style>
  <w:style w:type="paragraph" w:styleId="Heading4">
    <w:name w:val="heading 4"/>
    <w:basedOn w:val="Normal"/>
    <w:next w:val="Normal"/>
    <w:autoRedefine/>
    <w:qFormat/>
    <w:rsid w:val="000250BC"/>
    <w:pPr>
      <w:keepNext/>
      <w:spacing w:before="120" w:after="120"/>
      <w:outlineLvl w:val="3"/>
    </w:pPr>
    <w:rPr>
      <w:rFonts w:ascii="Arial" w:hAnsi="Arial"/>
      <w:sz w:val="26"/>
      <w:szCs w:val="26"/>
    </w:rPr>
  </w:style>
  <w:style w:type="paragraph" w:styleId="Heading5">
    <w:name w:val="heading 5"/>
    <w:basedOn w:val="Normal"/>
    <w:next w:val="Normal"/>
    <w:autoRedefine/>
    <w:qFormat/>
    <w:rsid w:val="006A4A8E"/>
    <w:pPr>
      <w:keepNext/>
      <w:spacing w:before="120" w:after="120"/>
      <w:outlineLvl w:val="4"/>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pPr>
      <w:spacing w:before="120" w:after="120"/>
    </w:pPr>
    <w:rPr>
      <w:b/>
    </w:rPr>
  </w:style>
  <w:style w:type="paragraph" w:customStyle="1" w:styleId="paragraphtext">
    <w:name w:val="paragraph text"/>
    <w:basedOn w:val="Normal"/>
    <w:pPr>
      <w:spacing w:before="120" w:after="120"/>
    </w:pPr>
    <w:rPr>
      <w:szCs w:val="20"/>
    </w:rPr>
  </w:style>
  <w:style w:type="character" w:styleId="CommentReference">
    <w:name w:val="annotation reference"/>
    <w:semiHidden/>
    <w:rPr>
      <w:sz w:val="16"/>
      <w:szCs w:val="16"/>
    </w:rPr>
  </w:style>
  <w:style w:type="paragraph" w:customStyle="1" w:styleId="Quotes">
    <w:name w:val="Quotes"/>
    <w:basedOn w:val="Normal"/>
    <w:pPr>
      <w:ind w:left="397" w:right="397"/>
    </w:pPr>
    <w:rPr>
      <w:sz w:val="20"/>
    </w:rPr>
  </w:style>
  <w:style w:type="paragraph" w:styleId="TOC1">
    <w:name w:val="toc 1"/>
    <w:basedOn w:val="Normal"/>
    <w:next w:val="Normal"/>
    <w:semiHidden/>
    <w:pPr>
      <w:tabs>
        <w:tab w:val="left" w:pos="360"/>
        <w:tab w:val="right" w:leader="dot" w:pos="8453"/>
      </w:tabs>
      <w:spacing w:before="240" w:after="120"/>
      <w:ind w:left="360" w:hanging="360"/>
    </w:pPr>
    <w:rPr>
      <w:b/>
    </w:rPr>
  </w:style>
  <w:style w:type="paragraph" w:styleId="TOC2">
    <w:name w:val="toc 2"/>
    <w:basedOn w:val="Normal"/>
    <w:next w:val="Normal"/>
    <w:semiHidden/>
    <w:pPr>
      <w:tabs>
        <w:tab w:val="right" w:leader="dot" w:pos="8453"/>
      </w:tabs>
    </w:pPr>
  </w:style>
  <w:style w:type="paragraph" w:styleId="TOC3">
    <w:name w:val="toc 3"/>
    <w:basedOn w:val="Normal"/>
    <w:next w:val="Normal"/>
    <w:semiHidden/>
    <w:pPr>
      <w:tabs>
        <w:tab w:val="right" w:leader="dot" w:pos="8453"/>
      </w:tabs>
      <w:ind w:left="360"/>
    </w:pPr>
  </w:style>
  <w:style w:type="paragraph" w:styleId="TOC4">
    <w:name w:val="toc 4"/>
    <w:basedOn w:val="Normal"/>
    <w:next w:val="Normal"/>
    <w:semiHidden/>
    <w:pPr>
      <w:tabs>
        <w:tab w:val="right" w:leader="dot" w:pos="8453"/>
      </w:tabs>
      <w:ind w:left="720"/>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ListBullet">
    <w:name w:val="List Bullet"/>
    <w:basedOn w:val="Normal"/>
    <w:link w:val="ListBulletChar"/>
  </w:style>
  <w:style w:type="character" w:styleId="FootnoteReference">
    <w:name w:val="footnote reference"/>
    <w:semiHidden/>
    <w:rPr>
      <w:rFonts w:ascii="Times New Roman" w:hAnsi="Times New Roman"/>
      <w:sz w:val="18"/>
      <w:vertAlign w:val="superscript"/>
    </w:rPr>
  </w:style>
  <w:style w:type="paragraph" w:styleId="FootnoteText">
    <w:name w:val="footnote text"/>
    <w:basedOn w:val="Normal"/>
    <w:semiHidden/>
    <w:pPr>
      <w:ind w:left="360" w:hanging="360"/>
    </w:pPr>
    <w:rPr>
      <w:sz w:val="20"/>
    </w:rPr>
  </w:style>
  <w:style w:type="paragraph" w:styleId="ListBullet2">
    <w:name w:val="List Bullet 2"/>
    <w:basedOn w:val="Normal"/>
    <w:pPr>
      <w:numPr>
        <w:numId w:val="3"/>
      </w:numPr>
      <w:tabs>
        <w:tab w:val="clear" w:pos="360"/>
      </w:tabs>
      <w:ind w:left="714" w:hanging="357"/>
    </w:pPr>
  </w:style>
  <w:style w:type="paragraph" w:styleId="ListBullet3">
    <w:name w:val="List Bullet 3"/>
    <w:basedOn w:val="Normal"/>
    <w:pPr>
      <w:numPr>
        <w:numId w:val="2"/>
      </w:numPr>
      <w:tabs>
        <w:tab w:val="clear" w:pos="360"/>
      </w:tabs>
      <w:ind w:left="1071" w:hanging="357"/>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graph">
    <w:name w:val="paragraph"/>
    <w:basedOn w:val="Normal"/>
    <w:link w:val="paragraphChar"/>
    <w:pPr>
      <w:spacing w:after="240"/>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1">
    <w:name w:val="Date1"/>
    <w:basedOn w:val="Heading2"/>
    <w:qFormat/>
    <w:rsid w:val="00A53505"/>
    <w:pPr>
      <w:pBdr>
        <w:bottom w:val="none" w:sz="0" w:space="0" w:color="auto"/>
      </w:pBdr>
    </w:pPr>
    <w:rPr>
      <w:sz w:val="28"/>
    </w:rPr>
  </w:style>
  <w:style w:type="paragraph" w:customStyle="1" w:styleId="NormalParagraph">
    <w:name w:val="Normal Paragraph"/>
    <w:basedOn w:val="paragraph"/>
    <w:link w:val="NormalParagraphChar"/>
    <w:uiPriority w:val="99"/>
    <w:qFormat/>
    <w:rsid w:val="00A4598A"/>
    <w:pPr>
      <w:numPr>
        <w:numId w:val="1"/>
      </w:numPr>
      <w:spacing w:before="120" w:after="120"/>
    </w:pPr>
    <w:rPr>
      <w:rFonts w:ascii="Arial" w:hAnsi="Arial"/>
      <w:sz w:val="22"/>
      <w:szCs w:val="22"/>
    </w:rPr>
  </w:style>
  <w:style w:type="paragraph" w:styleId="ListParagraph">
    <w:name w:val="List Paragraph"/>
    <w:aliases w:val="Dot point list"/>
    <w:basedOn w:val="ListBullet"/>
    <w:uiPriority w:val="34"/>
    <w:qFormat/>
    <w:rsid w:val="00F80A7E"/>
    <w:pPr>
      <w:keepLines/>
      <w:spacing w:after="120"/>
    </w:pPr>
    <w:rPr>
      <w:rFonts w:ascii="Arial" w:hAnsi="Arial" w:cs="Arial"/>
      <w:sz w:val="22"/>
      <w:szCs w:val="22"/>
    </w:rPr>
  </w:style>
  <w:style w:type="character" w:customStyle="1" w:styleId="FooterChar">
    <w:name w:val="Footer Char"/>
    <w:link w:val="Footer"/>
    <w:uiPriority w:val="99"/>
    <w:rsid w:val="000D14A1"/>
    <w:rPr>
      <w:sz w:val="24"/>
      <w:szCs w:val="24"/>
    </w:rPr>
  </w:style>
  <w:style w:type="paragraph" w:customStyle="1" w:styleId="commentbox">
    <w:name w:val="comment box"/>
    <w:basedOn w:val="NormalParagraph"/>
    <w:qFormat/>
    <w:rsid w:val="00504E50"/>
    <w:pPr>
      <w:numPr>
        <w:numId w:val="0"/>
      </w:numPr>
      <w:shd w:val="clear" w:color="auto" w:fill="D9D9D9"/>
    </w:pPr>
  </w:style>
  <w:style w:type="paragraph" w:customStyle="1" w:styleId="ABCList">
    <w:name w:val="ABC List"/>
    <w:qFormat/>
    <w:rsid w:val="00504E50"/>
    <w:pPr>
      <w:numPr>
        <w:numId w:val="4"/>
      </w:numPr>
      <w:spacing w:after="120"/>
      <w:ind w:left="992" w:hanging="425"/>
    </w:pPr>
    <w:rPr>
      <w:rFonts w:ascii="Arial" w:hAnsi="Arial" w:cs="Arial"/>
      <w:sz w:val="22"/>
      <w:szCs w:val="22"/>
    </w:rPr>
  </w:style>
  <w:style w:type="paragraph" w:customStyle="1" w:styleId="Numbered">
    <w:name w:val="Numbered"/>
    <w:basedOn w:val="Normal"/>
    <w:autoRedefine/>
    <w:rsid w:val="00767531"/>
    <w:pPr>
      <w:numPr>
        <w:numId w:val="5"/>
      </w:numPr>
      <w:spacing w:after="240"/>
    </w:pPr>
    <w:rPr>
      <w:rFonts w:ascii="Arial" w:hAnsi="Arial" w:cs="Arial"/>
      <w:sz w:val="22"/>
      <w:szCs w:val="22"/>
      <w:lang w:eastAsia="en-US"/>
    </w:rPr>
  </w:style>
  <w:style w:type="paragraph" w:customStyle="1" w:styleId="HeadNumb">
    <w:name w:val="Head Numb"/>
    <w:basedOn w:val="Normal"/>
    <w:rsid w:val="000F5DAC"/>
    <w:pPr>
      <w:numPr>
        <w:numId w:val="7"/>
      </w:numPr>
      <w:shd w:val="clear" w:color="auto" w:fill="D9D9D9"/>
    </w:pPr>
    <w:rPr>
      <w:rFonts w:ascii="Arial" w:hAnsi="Arial"/>
      <w:b/>
      <w:sz w:val="18"/>
      <w:szCs w:val="18"/>
    </w:rPr>
  </w:style>
  <w:style w:type="paragraph" w:customStyle="1" w:styleId="SecondlevelNumb">
    <w:name w:val="Second level Numb"/>
    <w:basedOn w:val="Normal"/>
    <w:rsid w:val="000F5DAC"/>
    <w:pPr>
      <w:numPr>
        <w:ilvl w:val="1"/>
        <w:numId w:val="7"/>
      </w:numPr>
      <w:spacing w:line="360" w:lineRule="auto"/>
    </w:pPr>
  </w:style>
  <w:style w:type="paragraph" w:styleId="Revision">
    <w:name w:val="Revision"/>
    <w:hidden/>
    <w:uiPriority w:val="99"/>
    <w:semiHidden/>
    <w:rsid w:val="00662465"/>
    <w:rPr>
      <w:sz w:val="24"/>
      <w:szCs w:val="24"/>
    </w:rPr>
  </w:style>
  <w:style w:type="paragraph" w:customStyle="1" w:styleId="Heading55">
    <w:name w:val="Heading 55"/>
    <w:basedOn w:val="Normal"/>
    <w:next w:val="Normal"/>
    <w:link w:val="Heading55Char"/>
    <w:rsid w:val="002F3F31"/>
    <w:pPr>
      <w:keepNext/>
    </w:pPr>
    <w:rPr>
      <w:rFonts w:ascii="Arial" w:hAnsi="Arial"/>
      <w:i/>
      <w:sz w:val="22"/>
    </w:rPr>
  </w:style>
  <w:style w:type="character" w:customStyle="1" w:styleId="paragraphChar">
    <w:name w:val="paragraph Char"/>
    <w:link w:val="paragraph"/>
    <w:rsid w:val="006A652B"/>
    <w:rPr>
      <w:sz w:val="24"/>
    </w:rPr>
  </w:style>
  <w:style w:type="character" w:customStyle="1" w:styleId="NormalParagraphChar">
    <w:name w:val="Normal Paragraph Char"/>
    <w:link w:val="NormalParagraph"/>
    <w:uiPriority w:val="99"/>
    <w:rsid w:val="006A652B"/>
    <w:rPr>
      <w:rFonts w:ascii="Arial" w:hAnsi="Arial"/>
      <w:sz w:val="22"/>
      <w:szCs w:val="22"/>
    </w:rPr>
  </w:style>
  <w:style w:type="character" w:customStyle="1" w:styleId="Heading55Char">
    <w:name w:val="Heading 55 Char"/>
    <w:link w:val="Heading55"/>
    <w:rsid w:val="002F3F31"/>
    <w:rPr>
      <w:rFonts w:ascii="Arial" w:hAnsi="Arial"/>
      <w:i/>
      <w:sz w:val="22"/>
      <w:szCs w:val="24"/>
    </w:rPr>
  </w:style>
  <w:style w:type="character" w:customStyle="1" w:styleId="ListBulletChar">
    <w:name w:val="List Bullet Char"/>
    <w:link w:val="ListBullet"/>
    <w:rsid w:val="00F00880"/>
    <w:rPr>
      <w:sz w:val="24"/>
      <w:szCs w:val="24"/>
    </w:rPr>
  </w:style>
  <w:style w:type="paragraph" w:customStyle="1" w:styleId="Default">
    <w:name w:val="Default"/>
    <w:rsid w:val="000C22EF"/>
    <w:pPr>
      <w:autoSpaceDE w:val="0"/>
      <w:autoSpaceDN w:val="0"/>
      <w:adjustRightInd w:val="0"/>
    </w:pPr>
    <w:rPr>
      <w:rFonts w:ascii="Verdana" w:hAnsi="Verdana" w:cs="Verdana"/>
      <w:color w:val="000000"/>
      <w:sz w:val="24"/>
      <w:szCs w:val="24"/>
    </w:rPr>
  </w:style>
  <w:style w:type="character" w:styleId="Hyperlink">
    <w:name w:val="Hyperlink"/>
    <w:basedOn w:val="DefaultParagraphFont"/>
    <w:rsid w:val="00EA352C"/>
    <w:rPr>
      <w:color w:val="0000FF" w:themeColor="hyperlink"/>
      <w:u w:val="single"/>
    </w:rPr>
  </w:style>
  <w:style w:type="character" w:styleId="FollowedHyperlink">
    <w:name w:val="FollowedHyperlink"/>
    <w:basedOn w:val="DefaultParagraphFont"/>
    <w:rsid w:val="002328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2075">
      <w:bodyDiv w:val="1"/>
      <w:marLeft w:val="0"/>
      <w:marRight w:val="0"/>
      <w:marTop w:val="0"/>
      <w:marBottom w:val="0"/>
      <w:divBdr>
        <w:top w:val="none" w:sz="0" w:space="0" w:color="auto"/>
        <w:left w:val="none" w:sz="0" w:space="0" w:color="auto"/>
        <w:bottom w:val="none" w:sz="0" w:space="0" w:color="auto"/>
        <w:right w:val="none" w:sz="0" w:space="0" w:color="auto"/>
      </w:divBdr>
    </w:div>
    <w:div w:id="703405061">
      <w:bodyDiv w:val="1"/>
      <w:marLeft w:val="0"/>
      <w:marRight w:val="0"/>
      <w:marTop w:val="0"/>
      <w:marBottom w:val="0"/>
      <w:divBdr>
        <w:top w:val="none" w:sz="0" w:space="0" w:color="auto"/>
        <w:left w:val="none" w:sz="0" w:space="0" w:color="auto"/>
        <w:bottom w:val="none" w:sz="0" w:space="0" w:color="auto"/>
        <w:right w:val="none" w:sz="0" w:space="0" w:color="auto"/>
      </w:divBdr>
    </w:div>
    <w:div w:id="1121148655">
      <w:bodyDiv w:val="1"/>
      <w:marLeft w:val="0"/>
      <w:marRight w:val="0"/>
      <w:marTop w:val="0"/>
      <w:marBottom w:val="0"/>
      <w:divBdr>
        <w:top w:val="none" w:sz="0" w:space="0" w:color="auto"/>
        <w:left w:val="none" w:sz="0" w:space="0" w:color="auto"/>
        <w:bottom w:val="none" w:sz="0" w:space="0" w:color="auto"/>
        <w:right w:val="none" w:sz="0" w:space="0" w:color="auto"/>
      </w:divBdr>
    </w:div>
    <w:div w:id="1418558862">
      <w:bodyDiv w:val="1"/>
      <w:marLeft w:val="0"/>
      <w:marRight w:val="0"/>
      <w:marTop w:val="0"/>
      <w:marBottom w:val="0"/>
      <w:divBdr>
        <w:top w:val="none" w:sz="0" w:space="0" w:color="auto"/>
        <w:left w:val="none" w:sz="0" w:space="0" w:color="auto"/>
        <w:bottom w:val="none" w:sz="0" w:space="0" w:color="auto"/>
        <w:right w:val="none" w:sz="0" w:space="0" w:color="auto"/>
      </w:divBdr>
    </w:div>
    <w:div w:id="1706364241">
      <w:bodyDiv w:val="1"/>
      <w:marLeft w:val="0"/>
      <w:marRight w:val="0"/>
      <w:marTop w:val="0"/>
      <w:marBottom w:val="0"/>
      <w:divBdr>
        <w:top w:val="none" w:sz="0" w:space="0" w:color="auto"/>
        <w:left w:val="none" w:sz="0" w:space="0" w:color="auto"/>
        <w:bottom w:val="none" w:sz="0" w:space="0" w:color="auto"/>
        <w:right w:val="none" w:sz="0" w:space="0" w:color="auto"/>
      </w:divBdr>
    </w:div>
    <w:div w:id="1876649130">
      <w:bodyDiv w:val="1"/>
      <w:marLeft w:val="0"/>
      <w:marRight w:val="0"/>
      <w:marTop w:val="0"/>
      <w:marBottom w:val="0"/>
      <w:divBdr>
        <w:top w:val="none" w:sz="0" w:space="0" w:color="auto"/>
        <w:left w:val="none" w:sz="0" w:space="0" w:color="auto"/>
        <w:bottom w:val="none" w:sz="0" w:space="0" w:color="auto"/>
        <w:right w:val="none" w:sz="0" w:space="0" w:color="auto"/>
      </w:divBdr>
      <w:divsChild>
        <w:div w:id="749079395">
          <w:marLeft w:val="0"/>
          <w:marRight w:val="0"/>
          <w:marTop w:val="0"/>
          <w:marBottom w:val="0"/>
          <w:divBdr>
            <w:top w:val="none" w:sz="0" w:space="0" w:color="auto"/>
            <w:left w:val="none" w:sz="0" w:space="0" w:color="auto"/>
            <w:bottom w:val="none" w:sz="0" w:space="0" w:color="auto"/>
            <w:right w:val="none" w:sz="0" w:space="0" w:color="auto"/>
          </w:divBdr>
          <w:divsChild>
            <w:div w:id="1153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ers.accc.gov.au/content/index.phtml/itemId/1183747/fromItemId/751043%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D634D-1D6B-4697-B09A-B2643EF9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BE4E3A9F</Template>
  <TotalTime>0</TotalTime>
  <Pages>17</Pages>
  <Words>6187</Words>
  <Characters>34228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2015-12-21T21:35:00Z</dcterms:created>
  <dcterms:modified xsi:type="dcterms:W3CDTF">2015-12-21T21:39:00Z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\\cdchnas-evs02\home$\rneil\elgas kleenheat - public competition assessment - december 2015 (MER2015-13169).docx</vt:lpwstr>
  </property>
  <property fmtid="{D5CDD505-2E9C-101B-9397-08002B2CF9AE}" pid="3" name="URI">
    <vt:lpwstr>8594852</vt:lpwstr>
  </property>
</Properties>
</file>