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AF5" w:rsidRPr="00694B08" w:rsidRDefault="00533DC5" w:rsidP="00CD7AF5">
      <w:pPr>
        <w:pStyle w:val="Heading1"/>
      </w:pPr>
      <w:bookmarkStart w:id="0" w:name="_GoBack"/>
      <w:bookmarkEnd w:id="0"/>
      <w:r w:rsidRPr="00694B08">
        <w:rPr>
          <w:noProof/>
        </w:rPr>
        <w:t xml:space="preserve"> </w:t>
      </w:r>
      <w:r w:rsidR="00C5572F">
        <w:rPr>
          <w:noProof/>
        </w:rPr>
        <w:drawing>
          <wp:inline distT="0" distB="0" distL="0" distR="0" wp14:anchorId="2F3A65B7" wp14:editId="6E5CE27D">
            <wp:extent cx="3132000" cy="1116000"/>
            <wp:effectExtent l="0" t="0" r="0" b="825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2000" cy="1116000"/>
                    </a:xfrm>
                    <a:prstGeom prst="rect">
                      <a:avLst/>
                    </a:prstGeom>
                    <a:noFill/>
                    <a:ln>
                      <a:noFill/>
                    </a:ln>
                  </pic:spPr>
                </pic:pic>
              </a:graphicData>
            </a:graphic>
          </wp:inline>
        </w:drawing>
      </w:r>
    </w:p>
    <w:p w:rsidR="00CD7AF5" w:rsidRPr="00694B08" w:rsidRDefault="00CD7AF5" w:rsidP="00CD7AF5">
      <w:pPr>
        <w:pStyle w:val="Heading1"/>
        <w:rPr>
          <w:sz w:val="32"/>
          <w:szCs w:val="32"/>
        </w:rPr>
      </w:pPr>
      <w:r w:rsidRPr="00694B08">
        <w:rPr>
          <w:sz w:val="32"/>
          <w:szCs w:val="32"/>
        </w:rPr>
        <w:t>Public Competition Assessment</w:t>
      </w:r>
    </w:p>
    <w:p w:rsidR="00C73ABA" w:rsidRPr="00694B08" w:rsidRDefault="004E0AEC" w:rsidP="00C73ABA">
      <w:pPr>
        <w:pStyle w:val="Date1"/>
      </w:pPr>
      <w:r w:rsidRPr="004E0AEC">
        <w:t>4</w:t>
      </w:r>
      <w:r w:rsidR="000769E1" w:rsidRPr="004E0AEC">
        <w:t xml:space="preserve"> </w:t>
      </w:r>
      <w:r w:rsidR="000769E1" w:rsidRPr="005524AB">
        <w:t>A</w:t>
      </w:r>
      <w:r>
        <w:t>ugust</w:t>
      </w:r>
      <w:r w:rsidR="00C73ABA" w:rsidRPr="005524AB">
        <w:t xml:space="preserve"> </w:t>
      </w:r>
      <w:r>
        <w:t xml:space="preserve"> </w:t>
      </w:r>
      <w:r w:rsidR="00C73ABA" w:rsidRPr="005524AB">
        <w:t>2014</w:t>
      </w:r>
    </w:p>
    <w:p w:rsidR="00CD7AF5" w:rsidRPr="00694B08" w:rsidRDefault="00CD7AF5" w:rsidP="00CD7AF5">
      <w:pPr>
        <w:pStyle w:val="Heading2"/>
      </w:pPr>
      <w:r>
        <w:t xml:space="preserve">BlueScope Steel Ltd – proposed acquisition of Orrcon Steel </w:t>
      </w:r>
    </w:p>
    <w:p w:rsidR="000A1131" w:rsidRPr="00694B08" w:rsidRDefault="000A1131" w:rsidP="000A1131">
      <w:pPr>
        <w:pStyle w:val="Heading3"/>
      </w:pPr>
      <w:r w:rsidRPr="00694B08">
        <w:t>Introduction</w:t>
      </w:r>
    </w:p>
    <w:p w:rsidR="000A1131" w:rsidRPr="00694B08" w:rsidRDefault="000A1131" w:rsidP="000D0BC0">
      <w:pPr>
        <w:pStyle w:val="NormalParagraph"/>
        <w:tabs>
          <w:tab w:val="clear" w:pos="786"/>
          <w:tab w:val="num" w:pos="567"/>
        </w:tabs>
        <w:ind w:left="567" w:hanging="567"/>
      </w:pPr>
      <w:r w:rsidRPr="00694B08">
        <w:t xml:space="preserve">On 5 </w:t>
      </w:r>
      <w:r w:rsidR="00E41331">
        <w:t>December 2013</w:t>
      </w:r>
      <w:r w:rsidRPr="00694B08">
        <w:t>, the Australian Competition and Consumer Commission (</w:t>
      </w:r>
      <w:r w:rsidRPr="000D0BC0">
        <w:rPr>
          <w:b/>
        </w:rPr>
        <w:t>ACCC</w:t>
      </w:r>
      <w:r w:rsidRPr="00694B08">
        <w:t xml:space="preserve">) announced its decision not to oppose the </w:t>
      </w:r>
      <w:bookmarkStart w:id="1" w:name="Type"/>
      <w:bookmarkEnd w:id="1"/>
      <w:r w:rsidRPr="00694B08">
        <w:t>proposed acquisition of</w:t>
      </w:r>
      <w:r w:rsidR="004C6237">
        <w:t xml:space="preserve"> certain Orrcon pipe and tube manufacturing and distribution assets and other associated assets </w:t>
      </w:r>
      <w:r w:rsidR="00E41331">
        <w:t>(</w:t>
      </w:r>
      <w:r w:rsidR="00E41331" w:rsidRPr="000D0BC0">
        <w:rPr>
          <w:b/>
        </w:rPr>
        <w:t>Orrcon</w:t>
      </w:r>
      <w:r w:rsidR="00E41331">
        <w:t>)</w:t>
      </w:r>
      <w:r w:rsidR="004C6237">
        <w:t xml:space="preserve"> from Hills Holding Limited</w:t>
      </w:r>
      <w:r w:rsidR="00E41331">
        <w:t xml:space="preserve"> </w:t>
      </w:r>
      <w:r w:rsidR="00971B75">
        <w:t>(</w:t>
      </w:r>
      <w:r w:rsidR="00971B75" w:rsidRPr="00971B75">
        <w:rPr>
          <w:b/>
        </w:rPr>
        <w:t>Hills</w:t>
      </w:r>
      <w:r w:rsidR="00971B75">
        <w:t xml:space="preserve">) </w:t>
      </w:r>
      <w:r w:rsidR="00E41331" w:rsidRPr="00971B75">
        <w:t>by</w:t>
      </w:r>
      <w:r w:rsidR="00E41331">
        <w:t xml:space="preserve"> BlueScope Steel Ltd (</w:t>
      </w:r>
      <w:r w:rsidR="00E41331" w:rsidRPr="006E4C91">
        <w:rPr>
          <w:b/>
        </w:rPr>
        <w:t>BlueScope</w:t>
      </w:r>
      <w:r w:rsidR="00E41331">
        <w:t xml:space="preserve">) (the </w:t>
      </w:r>
      <w:r w:rsidR="00E41331" w:rsidRPr="006E4C91">
        <w:rPr>
          <w:b/>
        </w:rPr>
        <w:t>proposed acquisition</w:t>
      </w:r>
      <w:r w:rsidR="00E41331">
        <w:t>)</w:t>
      </w:r>
      <w:r w:rsidRPr="00694B08">
        <w:t xml:space="preserve">. The ACCC decided that the proposed acquisition would be unlikely to have the effect of substantially lessening competition in any market in contravention of section 50 of the </w:t>
      </w:r>
      <w:r w:rsidRPr="000D0BC0">
        <w:t>Competition and Consumer Act 2010</w:t>
      </w:r>
      <w:r w:rsidRPr="00694B08">
        <w:t xml:space="preserve"> (</w:t>
      </w:r>
      <w:r w:rsidRPr="000D0BC0">
        <w:t xml:space="preserve">the </w:t>
      </w:r>
      <w:r w:rsidRPr="006E4C91">
        <w:rPr>
          <w:b/>
        </w:rPr>
        <w:t>Act</w:t>
      </w:r>
      <w:r w:rsidRPr="00694B08">
        <w:t>).</w:t>
      </w:r>
    </w:p>
    <w:p w:rsidR="000A1131" w:rsidRPr="00694B08" w:rsidRDefault="000A1131" w:rsidP="000D0BC0">
      <w:pPr>
        <w:pStyle w:val="NormalParagraph"/>
        <w:tabs>
          <w:tab w:val="clear" w:pos="786"/>
          <w:tab w:val="num" w:pos="567"/>
        </w:tabs>
        <w:ind w:left="567" w:hanging="567"/>
      </w:pPr>
      <w:r w:rsidRPr="00694B08">
        <w:t xml:space="preserve">The ACCC made </w:t>
      </w:r>
      <w:r w:rsidR="00A74BC6">
        <w:t xml:space="preserve">its decision on the basis of </w:t>
      </w:r>
      <w:r w:rsidRPr="00694B08">
        <w:t xml:space="preserve">information provided by </w:t>
      </w:r>
      <w:r w:rsidR="00A74BC6">
        <w:t xml:space="preserve">the merger parties, </w:t>
      </w:r>
      <w:r w:rsidRPr="00694B08">
        <w:t>information arising from its market inquiries</w:t>
      </w:r>
      <w:r w:rsidR="00A74BC6">
        <w:t xml:space="preserve"> and other relevant industry sources of publicly available and confidential information</w:t>
      </w:r>
      <w:r w:rsidRPr="00694B08">
        <w:t>. This Public Competition Assessment outlines the basis on which the ACCC reached its decision on the proposed acquisition, subject to confidentiality considerations.</w:t>
      </w:r>
    </w:p>
    <w:p w:rsidR="000A1131" w:rsidRPr="00694B08" w:rsidRDefault="000A1131" w:rsidP="000A1131">
      <w:pPr>
        <w:pStyle w:val="Heading3"/>
      </w:pPr>
      <w:r w:rsidRPr="00694B08">
        <w:t>Public Competition Assessment</w:t>
      </w:r>
    </w:p>
    <w:p w:rsidR="000A1131" w:rsidRPr="00694B08" w:rsidRDefault="000A1131" w:rsidP="000D0BC0">
      <w:pPr>
        <w:pStyle w:val="NormalParagraph"/>
        <w:tabs>
          <w:tab w:val="clear" w:pos="786"/>
          <w:tab w:val="num" w:pos="567"/>
        </w:tabs>
        <w:ind w:left="567" w:hanging="567"/>
      </w:pPr>
      <w:r w:rsidRPr="00694B08">
        <w:t>To provide an enhanced level of transparency and procedural fairness in its decision making process, the ACCC issues a Public Competition Assessment for all transaction proposals where:</w:t>
      </w:r>
    </w:p>
    <w:p w:rsidR="000A1131" w:rsidRPr="00694B08" w:rsidRDefault="000A1131" w:rsidP="005F5693">
      <w:pPr>
        <w:pStyle w:val="ListParagraph"/>
        <w:numPr>
          <w:ilvl w:val="0"/>
          <w:numId w:val="34"/>
        </w:numPr>
        <w:tabs>
          <w:tab w:val="num" w:pos="567"/>
        </w:tabs>
        <w:ind w:left="1134" w:hanging="567"/>
      </w:pPr>
      <w:r w:rsidRPr="00694B08">
        <w:t>a proposed acquisition is opposed;</w:t>
      </w:r>
    </w:p>
    <w:p w:rsidR="000A1131" w:rsidRPr="00694B08" w:rsidRDefault="000A1131" w:rsidP="005F5693">
      <w:pPr>
        <w:pStyle w:val="ListParagraph"/>
        <w:numPr>
          <w:ilvl w:val="0"/>
          <w:numId w:val="34"/>
        </w:numPr>
        <w:tabs>
          <w:tab w:val="num" w:pos="567"/>
        </w:tabs>
        <w:ind w:left="1134" w:hanging="567"/>
      </w:pPr>
      <w:r w:rsidRPr="00694B08">
        <w:t>a proposed acquisition is subject to enforceable undertakings;</w:t>
      </w:r>
    </w:p>
    <w:p w:rsidR="000A1131" w:rsidRPr="00694B08" w:rsidRDefault="000A1131" w:rsidP="005F5693">
      <w:pPr>
        <w:pStyle w:val="ListParagraph"/>
        <w:numPr>
          <w:ilvl w:val="0"/>
          <w:numId w:val="34"/>
        </w:numPr>
        <w:tabs>
          <w:tab w:val="num" w:pos="567"/>
        </w:tabs>
        <w:ind w:left="1134" w:hanging="567"/>
      </w:pPr>
      <w:r w:rsidRPr="00694B08">
        <w:t>the merger parties seek such disclosure; or</w:t>
      </w:r>
    </w:p>
    <w:p w:rsidR="000A1131" w:rsidRPr="00694B08" w:rsidRDefault="000A1131" w:rsidP="005F5693">
      <w:pPr>
        <w:pStyle w:val="ListParagraph"/>
        <w:numPr>
          <w:ilvl w:val="0"/>
          <w:numId w:val="34"/>
        </w:numPr>
        <w:tabs>
          <w:tab w:val="num" w:pos="567"/>
        </w:tabs>
        <w:ind w:left="1134" w:hanging="567"/>
      </w:pPr>
      <w:proofErr w:type="gramStart"/>
      <w:r w:rsidRPr="00694B08">
        <w:t>a</w:t>
      </w:r>
      <w:proofErr w:type="gramEnd"/>
      <w:r w:rsidRPr="00694B08">
        <w:t xml:space="preserve"> proposed acquisition is not opposed but raises important issues that the ACCC considers should be made public.</w:t>
      </w:r>
    </w:p>
    <w:p w:rsidR="000A1131" w:rsidRPr="00694B08" w:rsidRDefault="000A1131" w:rsidP="000D0BC0">
      <w:pPr>
        <w:pStyle w:val="NormalParagraph"/>
        <w:tabs>
          <w:tab w:val="clear" w:pos="786"/>
          <w:tab w:val="num" w:pos="567"/>
        </w:tabs>
        <w:ind w:left="567" w:hanging="567"/>
      </w:pPr>
      <w:r w:rsidRPr="00694B08">
        <w:t xml:space="preserve">This Public Competition Assessment has been issued because </w:t>
      </w:r>
      <w:bookmarkStart w:id="2" w:name="Acquirer2"/>
      <w:bookmarkEnd w:id="2"/>
      <w:r w:rsidRPr="00694B08">
        <w:t xml:space="preserve">the </w:t>
      </w:r>
      <w:r w:rsidR="00B00489">
        <w:t xml:space="preserve">proposed acquisition </w:t>
      </w:r>
      <w:r w:rsidR="003976EC">
        <w:t>was not opposed but raises important issues that the ACCC considers should be made public</w:t>
      </w:r>
      <w:r w:rsidR="007629FF">
        <w:t>.</w:t>
      </w:r>
    </w:p>
    <w:p w:rsidR="000A1131" w:rsidRPr="00694B08" w:rsidRDefault="000A1131" w:rsidP="000D0BC0">
      <w:pPr>
        <w:pStyle w:val="NormalParagraph"/>
        <w:tabs>
          <w:tab w:val="clear" w:pos="786"/>
          <w:tab w:val="num" w:pos="567"/>
        </w:tabs>
        <w:ind w:left="567" w:hanging="567"/>
      </w:pPr>
      <w:r w:rsidRPr="00694B08">
        <w:t>By issuing Public Competition Assessments, the ACCC</w:t>
      </w:r>
      <w:r w:rsidRPr="00694B08" w:rsidDel="00E6344F">
        <w:t xml:space="preserve"> </w:t>
      </w:r>
      <w:r w:rsidRPr="00694B08">
        <w:t xml:space="preserve">aims to provide the public with a better understanding of the ACCC's analysis of various markets and the associated merger and competition issues. </w:t>
      </w:r>
    </w:p>
    <w:p w:rsidR="000A1131" w:rsidRPr="00694B08" w:rsidRDefault="000A1131" w:rsidP="000D0BC0">
      <w:pPr>
        <w:pStyle w:val="NormalParagraph"/>
        <w:tabs>
          <w:tab w:val="clear" w:pos="786"/>
          <w:tab w:val="num" w:pos="567"/>
        </w:tabs>
        <w:ind w:left="567" w:hanging="567"/>
      </w:pPr>
      <w:r w:rsidRPr="00694B08">
        <w:lastRenderedPageBreak/>
        <w:t>Each Public Competition Assessment is specific to the particular transaction under review by the ACCC. While some transaction proposals may involve the same or related markets, it should not be assumed that the analysis and decision outlined in one Public Competition Assessment will be conclusive of the ACCC’s view in respect of other transaction proposals, as each matter will be considered on its own merits.</w:t>
      </w:r>
      <w:bookmarkStart w:id="3" w:name="OLE_LINK2"/>
      <w:bookmarkStart w:id="4" w:name="OLE_LINK1"/>
      <w:bookmarkEnd w:id="3"/>
    </w:p>
    <w:p w:rsidR="000A1131" w:rsidRPr="00694B08" w:rsidRDefault="000A1131" w:rsidP="000D0BC0">
      <w:pPr>
        <w:pStyle w:val="NormalParagraph"/>
        <w:tabs>
          <w:tab w:val="clear" w:pos="786"/>
          <w:tab w:val="num" w:pos="567"/>
        </w:tabs>
        <w:ind w:left="567" w:hanging="567"/>
      </w:pPr>
      <w:r w:rsidRPr="00694B08">
        <w:t>Public Competition Assessments outline the ACCC’s principal reasons for</w:t>
      </w:r>
      <w:bookmarkEnd w:id="4"/>
      <w:r w:rsidRPr="00694B08">
        <w:t xml:space="preserve"> forming views on a proposed acquisition at the time the decision was made. As such Public Competition Assessments may not definitively identify and explain all issues that the ACCC considers arise from a proposed acquisition. Further, the ACCC’s decisions generally involve consideration of both non-confidential and confidential information provided by the merger parties and market participants. In order to maintain the confidentiality of particular information, Public Competition Assessments do not contain any confidential information or its sources.</w:t>
      </w:r>
    </w:p>
    <w:p w:rsidR="00D44BEA" w:rsidRDefault="000A1131" w:rsidP="000D0BC0">
      <w:pPr>
        <w:pStyle w:val="NormalParagraph"/>
        <w:tabs>
          <w:tab w:val="clear" w:pos="786"/>
          <w:tab w:val="num" w:pos="567"/>
        </w:tabs>
        <w:ind w:left="567" w:hanging="567"/>
      </w:pPr>
      <w:r w:rsidRPr="00694B08">
        <w:t>This Public Competition Assessment outlines the circumstances and assessment at the time of the ACCC decision. Events that have occurred post the ACCC decision that are relevant to this</w:t>
      </w:r>
      <w:r w:rsidR="00B00489">
        <w:t xml:space="preserve"> matter are clearly identified.</w:t>
      </w:r>
    </w:p>
    <w:p w:rsidR="00B00489" w:rsidRPr="00694B08" w:rsidRDefault="00B00489" w:rsidP="00B00489">
      <w:pPr>
        <w:pStyle w:val="Heading3"/>
      </w:pPr>
      <w:r w:rsidRPr="00694B08">
        <w:t>The parties</w:t>
      </w:r>
    </w:p>
    <w:p w:rsidR="00B00489" w:rsidRPr="008B33C2" w:rsidRDefault="00B00489" w:rsidP="008B33C2">
      <w:pPr>
        <w:pStyle w:val="Heading4"/>
      </w:pPr>
      <w:r w:rsidRPr="008B33C2">
        <w:t xml:space="preserve">The acquirer: </w:t>
      </w:r>
      <w:bookmarkStart w:id="5" w:name="Acquirer3"/>
      <w:bookmarkEnd w:id="5"/>
      <w:r w:rsidRPr="008B33C2">
        <w:t xml:space="preserve">BlueScope </w:t>
      </w:r>
    </w:p>
    <w:p w:rsidR="00B00489" w:rsidRDefault="00B00489" w:rsidP="000D0BC0">
      <w:pPr>
        <w:pStyle w:val="NormalParagraph"/>
        <w:tabs>
          <w:tab w:val="clear" w:pos="786"/>
          <w:tab w:val="num" w:pos="567"/>
        </w:tabs>
        <w:ind w:left="567" w:hanging="567"/>
      </w:pPr>
      <w:r>
        <w:t xml:space="preserve">BlueScope </w:t>
      </w:r>
      <w:r w:rsidR="00D534A2">
        <w:t>is a vertically integrated steel manufacturer and distributor listed on the Australian Securities Exchange (</w:t>
      </w:r>
      <w:r w:rsidR="00D534A2" w:rsidRPr="00971B75">
        <w:rPr>
          <w:b/>
        </w:rPr>
        <w:t>ASX</w:t>
      </w:r>
      <w:r w:rsidR="00D534A2">
        <w:t xml:space="preserve">). </w:t>
      </w:r>
    </w:p>
    <w:p w:rsidR="00D534A2" w:rsidRDefault="00D534A2" w:rsidP="000D0BC0">
      <w:pPr>
        <w:pStyle w:val="NormalParagraph"/>
        <w:tabs>
          <w:tab w:val="clear" w:pos="786"/>
          <w:tab w:val="num" w:pos="567"/>
        </w:tabs>
        <w:ind w:left="567" w:hanging="567"/>
      </w:pPr>
      <w:r>
        <w:t>BlueScope is the only manufacturer in Australia of steel slab</w:t>
      </w:r>
      <w:r w:rsidR="00220832">
        <w:t>,</w:t>
      </w:r>
      <w:r>
        <w:t xml:space="preserve"> </w:t>
      </w:r>
      <w:r w:rsidR="00220832">
        <w:t xml:space="preserve">at </w:t>
      </w:r>
      <w:r>
        <w:t>its Port Kembla steelworks. The steelworks has a capacity of 2.6 million tonnes per annum. Through its subsidiary</w:t>
      </w:r>
      <w:r w:rsidR="00E73DFE">
        <w:t>,</w:t>
      </w:r>
      <w:r>
        <w:t xml:space="preserve"> Coated and Industrial Products Australia (</w:t>
      </w:r>
      <w:r w:rsidRPr="00971B75">
        <w:rPr>
          <w:b/>
        </w:rPr>
        <w:t>CIPA</w:t>
      </w:r>
      <w:r>
        <w:t xml:space="preserve">), BlueScope processes steel slab into a range of steel products classified as ‘flat steel’ products. Further information on the flat </w:t>
      </w:r>
      <w:r w:rsidR="00003E49">
        <w:t xml:space="preserve">steel </w:t>
      </w:r>
      <w:r>
        <w:t xml:space="preserve">product supply chain is provided below. </w:t>
      </w:r>
    </w:p>
    <w:p w:rsidR="005101FC" w:rsidRDefault="005101FC" w:rsidP="000D0BC0">
      <w:pPr>
        <w:pStyle w:val="NormalParagraph"/>
        <w:tabs>
          <w:tab w:val="clear" w:pos="786"/>
          <w:tab w:val="num" w:pos="567"/>
        </w:tabs>
        <w:ind w:left="567" w:hanging="567"/>
      </w:pPr>
      <w:r>
        <w:t>In addition to CIPA, BlueScope has a number of businesses at various levels of the flat steel supply chain, including in steel products distribution and businesses carrying out additional manufacturing functions.</w:t>
      </w:r>
    </w:p>
    <w:p w:rsidR="007A42B1" w:rsidRDefault="005101FC" w:rsidP="007A42B1">
      <w:pPr>
        <w:pStyle w:val="NormalParagraph"/>
        <w:tabs>
          <w:tab w:val="clear" w:pos="786"/>
          <w:tab w:val="num" w:pos="567"/>
        </w:tabs>
        <w:ind w:left="567" w:hanging="567"/>
      </w:pPr>
      <w:r>
        <w:t xml:space="preserve">BlueScope’s steel and tube distribution subsidiary is BlueScope Distribution. It distributes mainly long steel </w:t>
      </w:r>
      <w:r w:rsidR="007A42B1">
        <w:t>products</w:t>
      </w:r>
      <w:r w:rsidR="005524AB">
        <w:t>,</w:t>
      </w:r>
      <w:r w:rsidR="007A42B1">
        <w:t xml:space="preserve"> for</w:t>
      </w:r>
      <w:r>
        <w:t xml:space="preserve"> </w:t>
      </w:r>
      <w:r w:rsidR="005524AB">
        <w:t>example</w:t>
      </w:r>
      <w:r w:rsidR="00044841">
        <w:t xml:space="preserve"> pipe and tube products,</w:t>
      </w:r>
      <w:r>
        <w:t xml:space="preserve"> and steel plate. </w:t>
      </w:r>
      <w:r w:rsidR="007A42B1">
        <w:t>P</w:t>
      </w:r>
      <w:r w:rsidR="007A42B1" w:rsidRPr="003C53A7">
        <w:t xml:space="preserve">ipe and tube products are regarded in the </w:t>
      </w:r>
      <w:r w:rsidR="007A42B1">
        <w:t xml:space="preserve">Australian industry as a form of long </w:t>
      </w:r>
      <w:r w:rsidR="007A42B1" w:rsidRPr="003C53A7">
        <w:t xml:space="preserve">steel products, however they differ from </w:t>
      </w:r>
      <w:r w:rsidR="00220832">
        <w:t xml:space="preserve">other </w:t>
      </w:r>
      <w:r w:rsidR="007A42B1" w:rsidRPr="003C53A7">
        <w:t>long products in that t</w:t>
      </w:r>
      <w:r w:rsidR="007A42B1">
        <w:t>hey are manufactured from flat</w:t>
      </w:r>
      <w:r w:rsidR="007A42B1" w:rsidRPr="003C53A7">
        <w:t xml:space="preserve"> steel products such as</w:t>
      </w:r>
      <w:r w:rsidR="00044841">
        <w:t xml:space="preserve"> hot rolled coil</w:t>
      </w:r>
      <w:r w:rsidR="007A42B1" w:rsidRPr="003C53A7">
        <w:t xml:space="preserve"> </w:t>
      </w:r>
      <w:r w:rsidR="00044841">
        <w:t>(</w:t>
      </w:r>
      <w:r w:rsidR="007A42B1" w:rsidRPr="00044841">
        <w:rPr>
          <w:b/>
        </w:rPr>
        <w:t>HRC</w:t>
      </w:r>
      <w:r w:rsidR="00044841">
        <w:t>)</w:t>
      </w:r>
      <w:r w:rsidR="007A42B1" w:rsidRPr="003C53A7">
        <w:t xml:space="preserve">, galvanised coil and </w:t>
      </w:r>
      <w:r w:rsidR="00044841">
        <w:t>cold rolled coil (</w:t>
      </w:r>
      <w:r w:rsidR="007A42B1" w:rsidRPr="00044841">
        <w:rPr>
          <w:b/>
        </w:rPr>
        <w:t>CRC</w:t>
      </w:r>
      <w:r w:rsidR="00044841">
        <w:t>)</w:t>
      </w:r>
      <w:r w:rsidR="007A42B1" w:rsidRPr="003C53A7">
        <w:t>.</w:t>
      </w:r>
      <w:r w:rsidR="007A42B1">
        <w:t xml:space="preserve"> BlueScope CIPA is the only domestic manufacturer of these inputs.</w:t>
      </w:r>
    </w:p>
    <w:p w:rsidR="005101FC" w:rsidRPr="005524AB" w:rsidRDefault="005101FC" w:rsidP="00AA44E7">
      <w:pPr>
        <w:pStyle w:val="Heading4"/>
      </w:pPr>
      <w:r w:rsidRPr="005524AB">
        <w:t xml:space="preserve">The target: Orrcon </w:t>
      </w:r>
    </w:p>
    <w:p w:rsidR="005101FC" w:rsidRDefault="00F13759" w:rsidP="000D0BC0">
      <w:pPr>
        <w:pStyle w:val="NormalParagraph"/>
        <w:tabs>
          <w:tab w:val="clear" w:pos="786"/>
          <w:tab w:val="num" w:pos="567"/>
        </w:tabs>
        <w:ind w:left="567" w:hanging="567"/>
      </w:pPr>
      <w:r>
        <w:t xml:space="preserve">At the time of the ACCC’s review, </w:t>
      </w:r>
      <w:r w:rsidR="000D5870">
        <w:t>Orrcon was</w:t>
      </w:r>
      <w:r w:rsidR="005101FC">
        <w:t xml:space="preserve"> a wholly owned subsidiary of Hills. Of most relevance to the proposed acquisition, Orrcon </w:t>
      </w:r>
      <w:r w:rsidR="00251037">
        <w:t>operated</w:t>
      </w:r>
      <w:r w:rsidR="000D5870">
        <w:t xml:space="preserve"> </w:t>
      </w:r>
      <w:r w:rsidR="005101FC">
        <w:t>a</w:t>
      </w:r>
      <w:r w:rsidR="007A42B1">
        <w:t xml:space="preserve"> vertically integrated</w:t>
      </w:r>
      <w:r w:rsidR="005101FC">
        <w:t xml:space="preserve"> pipe and tube manufacturing business and a steel and tube distributi</w:t>
      </w:r>
      <w:r w:rsidR="000D5870">
        <w:t>on business. Orrcon manufactured</w:t>
      </w:r>
      <w:r w:rsidR="005101FC">
        <w:t xml:space="preserve"> pipe and tube products at facilities at Salisbury, Queensland, and O’Sullivan’s B</w:t>
      </w:r>
      <w:r w:rsidR="009C7C38">
        <w:t xml:space="preserve">each, South Australia. </w:t>
      </w:r>
      <w:r w:rsidR="000D5870">
        <w:t>Orrcon was</w:t>
      </w:r>
      <w:r w:rsidR="005101FC">
        <w:t xml:space="preserve"> the only Australian manufacturer of precision st</w:t>
      </w:r>
      <w:r w:rsidR="000D5870">
        <w:t>eel and pipe. Orrcon distributed</w:t>
      </w:r>
      <w:r w:rsidR="005101FC">
        <w:t xml:space="preserve"> steel and tube products through 12 sites across Australia.  </w:t>
      </w:r>
    </w:p>
    <w:p w:rsidR="00770309" w:rsidRDefault="00770309" w:rsidP="000E5E47">
      <w:pPr>
        <w:pStyle w:val="Heading3"/>
      </w:pPr>
      <w:r>
        <w:lastRenderedPageBreak/>
        <w:t xml:space="preserve">Industry </w:t>
      </w:r>
      <w:r w:rsidR="00533DC5">
        <w:t>b</w:t>
      </w:r>
      <w:r>
        <w:t xml:space="preserve">ackground </w:t>
      </w:r>
    </w:p>
    <w:p w:rsidR="00770309" w:rsidRDefault="00860BA3" w:rsidP="000D0BC0">
      <w:pPr>
        <w:pStyle w:val="NormalParagraph"/>
        <w:tabs>
          <w:tab w:val="clear" w:pos="786"/>
          <w:tab w:val="num" w:pos="567"/>
        </w:tabs>
        <w:ind w:left="567" w:hanging="567"/>
      </w:pPr>
      <w:r>
        <w:t xml:space="preserve">The steel supply chain in Australia is complex with a number of functional levels, numerous types of steel products, </w:t>
      </w:r>
      <w:r w:rsidRPr="00886996">
        <w:t>various manufacturing processes and a gl</w:t>
      </w:r>
      <w:r>
        <w:t xml:space="preserve">obal dynamic through imports and </w:t>
      </w:r>
      <w:r w:rsidRPr="00886996">
        <w:t>exports</w:t>
      </w:r>
      <w:r>
        <w:t>.</w:t>
      </w:r>
    </w:p>
    <w:p w:rsidR="00860BA3" w:rsidRDefault="00D47601" w:rsidP="000D0BC0">
      <w:pPr>
        <w:pStyle w:val="NormalParagraph"/>
        <w:tabs>
          <w:tab w:val="clear" w:pos="786"/>
          <w:tab w:val="num" w:pos="567"/>
        </w:tabs>
        <w:ind w:left="567" w:hanging="567"/>
      </w:pPr>
      <w:r>
        <w:t>T</w:t>
      </w:r>
      <w:r w:rsidR="00860BA3">
        <w:t xml:space="preserve">here are two broad forms of steel products: flat and long. As stated above, </w:t>
      </w:r>
      <w:r w:rsidR="00860BA3" w:rsidRPr="009E0446">
        <w:t xml:space="preserve">BlueScope, through </w:t>
      </w:r>
      <w:r w:rsidR="00860BA3">
        <w:t xml:space="preserve">its subsidiary </w:t>
      </w:r>
      <w:r w:rsidR="00860BA3" w:rsidRPr="009E0446">
        <w:t xml:space="preserve">CIPA, is the only Australian manufacturer </w:t>
      </w:r>
      <w:r w:rsidR="00860BA3">
        <w:t>of flat steel products. Arrium Ltd (</w:t>
      </w:r>
      <w:r w:rsidR="00860BA3" w:rsidRPr="00971B75">
        <w:rPr>
          <w:b/>
        </w:rPr>
        <w:t>Arrium</w:t>
      </w:r>
      <w:r w:rsidR="00860BA3">
        <w:t xml:space="preserve">) </w:t>
      </w:r>
      <w:r w:rsidR="00860BA3" w:rsidRPr="009E0446">
        <w:t>is the only Australian manufacturer of long products.</w:t>
      </w:r>
    </w:p>
    <w:p w:rsidR="00860BA3" w:rsidRDefault="00860BA3" w:rsidP="000D0BC0">
      <w:pPr>
        <w:pStyle w:val="NormalParagraph"/>
        <w:tabs>
          <w:tab w:val="clear" w:pos="786"/>
          <w:tab w:val="num" w:pos="567"/>
        </w:tabs>
        <w:ind w:left="567" w:hanging="567"/>
      </w:pPr>
      <w:r>
        <w:t xml:space="preserve">Steel producers use inputs such as iron ore, coal and steel scrap to form raw steel either through using a basic oxygen furnace, or an electric arc furnace. Raw steel is then passed through a casting machine which moulds and solidifies the steel into semi-finished steel products known as ‘slab’, ‘billets’ or ‘blooms’. </w:t>
      </w:r>
      <w:r w:rsidRPr="00DA17B0">
        <w:t xml:space="preserve">Steel slab, billets and blooms then undergo further processing to produce a range of flat or </w:t>
      </w:r>
      <w:r>
        <w:t>long</w:t>
      </w:r>
      <w:r w:rsidRPr="00DA17B0">
        <w:t xml:space="preserve"> steel products.</w:t>
      </w:r>
      <w:r w:rsidR="00005005">
        <w:t xml:space="preserve"> </w:t>
      </w:r>
    </w:p>
    <w:p w:rsidR="00005005" w:rsidRDefault="00E9765B" w:rsidP="00D17B8C">
      <w:pPr>
        <w:pStyle w:val="NormalParagraph"/>
        <w:tabs>
          <w:tab w:val="clear" w:pos="786"/>
          <w:tab w:val="num" w:pos="567"/>
        </w:tabs>
        <w:ind w:left="567" w:hanging="567"/>
      </w:pPr>
      <w:r>
        <w:t xml:space="preserve">Flat steel products are steel products produced from steel slab. Specifically, steel slab is reheated and passed through a rolling mill to produce </w:t>
      </w:r>
      <w:r w:rsidRPr="0051302F">
        <w:t>HRC</w:t>
      </w:r>
      <w:r>
        <w:t xml:space="preserve"> or a form of ‘steel plate’. HRC may be subject to further processing to manufacture </w:t>
      </w:r>
      <w:r w:rsidRPr="0051302F">
        <w:t>CRC</w:t>
      </w:r>
      <w:r>
        <w:t xml:space="preserve"> and coil plate. </w:t>
      </w:r>
    </w:p>
    <w:p w:rsidR="00AE16E8" w:rsidRDefault="00AE16E8" w:rsidP="00AE16E8">
      <w:pPr>
        <w:pStyle w:val="NormalParagraph"/>
        <w:tabs>
          <w:tab w:val="clear" w:pos="786"/>
          <w:tab w:val="num" w:pos="567"/>
        </w:tabs>
        <w:ind w:left="567" w:hanging="567"/>
      </w:pPr>
      <w:r>
        <w:t>As noted previously, p</w:t>
      </w:r>
      <w:r w:rsidRPr="003C53A7">
        <w:t xml:space="preserve">ipe and tube products are regarded in the </w:t>
      </w:r>
      <w:r>
        <w:t xml:space="preserve">Australian industry as a form of long </w:t>
      </w:r>
      <w:r w:rsidRPr="003C53A7">
        <w:t xml:space="preserve">steel products, </w:t>
      </w:r>
      <w:r w:rsidR="009C51D3">
        <w:t>but</w:t>
      </w:r>
      <w:r w:rsidR="009C51D3" w:rsidRPr="003C53A7">
        <w:t xml:space="preserve"> </w:t>
      </w:r>
      <w:r w:rsidRPr="003C53A7">
        <w:t xml:space="preserve">they differ from </w:t>
      </w:r>
      <w:r w:rsidR="009C51D3">
        <w:t xml:space="preserve">other </w:t>
      </w:r>
      <w:r w:rsidRPr="003C53A7">
        <w:t>long products in that t</w:t>
      </w:r>
      <w:r>
        <w:t>hey are manufactured from flat</w:t>
      </w:r>
      <w:r w:rsidRPr="003C53A7">
        <w:t xml:space="preserve"> steel products such as HRC, galvanised coil and CRC.</w:t>
      </w:r>
      <w:r>
        <w:t xml:space="preserve"> BlueScope CIPA is the only domestic manufacturer of these inputs.</w:t>
      </w:r>
    </w:p>
    <w:p w:rsidR="006D2C5A" w:rsidRPr="004546B6" w:rsidRDefault="00D17B8C" w:rsidP="005524AB">
      <w:pPr>
        <w:pStyle w:val="NormalParagraph"/>
        <w:tabs>
          <w:tab w:val="clear" w:pos="786"/>
          <w:tab w:val="num" w:pos="567"/>
        </w:tabs>
        <w:spacing w:after="5520"/>
        <w:ind w:left="567" w:hanging="567"/>
      </w:pPr>
      <w:r w:rsidRPr="000D0BC0">
        <w:t>Customers of steel and tube distributors typically include fabricators, engineering workshops and construction companies. Examples include manufacturers of products for residential buildings (frames, beams, posts etc.), and automotive components (such as tow bars and bull bars).</w:t>
      </w:r>
      <w:r>
        <w:t xml:space="preserve"> </w:t>
      </w:r>
      <w:r>
        <w:rPr>
          <w:b/>
        </w:rPr>
        <w:t xml:space="preserve">Figure 1 </w:t>
      </w:r>
      <w:r w:rsidRPr="000D0BC0">
        <w:t xml:space="preserve">below </w:t>
      </w:r>
      <w:r w:rsidR="009C51D3">
        <w:t>illustrates</w:t>
      </w:r>
      <w:r w:rsidR="009C51D3" w:rsidRPr="000D0BC0">
        <w:t xml:space="preserve"> </w:t>
      </w:r>
      <w:r w:rsidRPr="000D0BC0">
        <w:t>the pipe and tube supply chain and the place of the proposed acquisition in the supply chain.</w:t>
      </w:r>
    </w:p>
    <w:p w:rsidR="00D17B8C" w:rsidRDefault="00D17B8C" w:rsidP="002E2C88">
      <w:pPr>
        <w:pStyle w:val="Heading6"/>
        <w:ind w:firstLine="426"/>
        <w:rPr>
          <w:rFonts w:eastAsia="Calibri"/>
          <w:b w:val="0"/>
          <w:lang w:eastAsia="en-US"/>
        </w:rPr>
      </w:pPr>
      <w:r>
        <w:rPr>
          <w:rFonts w:eastAsia="Calibri"/>
          <w:lang w:eastAsia="en-US"/>
        </w:rPr>
        <w:lastRenderedPageBreak/>
        <w:t>Figure 1</w:t>
      </w:r>
      <w:r w:rsidRPr="0006679C">
        <w:rPr>
          <w:rFonts w:eastAsia="Calibri"/>
          <w:lang w:eastAsia="en-US"/>
        </w:rPr>
        <w:t xml:space="preserve">: </w:t>
      </w:r>
      <w:r>
        <w:rPr>
          <w:rFonts w:eastAsia="Calibri"/>
          <w:lang w:eastAsia="en-US"/>
        </w:rPr>
        <w:t>S</w:t>
      </w:r>
      <w:r w:rsidRPr="0006679C">
        <w:rPr>
          <w:rFonts w:eastAsia="Calibri"/>
          <w:lang w:eastAsia="en-US"/>
        </w:rPr>
        <w:t xml:space="preserve">tructural pipe and tube supply chain </w:t>
      </w:r>
    </w:p>
    <w:p w:rsidR="00533DC5" w:rsidRPr="004546B6" w:rsidRDefault="00D17B8C" w:rsidP="004546B6">
      <w:pPr>
        <w:ind w:firstLine="426"/>
        <w:rPr>
          <w:rFonts w:ascii="Arial" w:eastAsia="Calibri" w:hAnsi="Arial" w:cs="Arial"/>
          <w:b/>
          <w:color w:val="000000"/>
          <w:sz w:val="20"/>
          <w:szCs w:val="20"/>
          <w:lang w:eastAsia="en-US"/>
        </w:rPr>
      </w:pPr>
      <w:r>
        <w:rPr>
          <w:noProof/>
        </w:rPr>
        <w:drawing>
          <wp:inline distT="0" distB="0" distL="0" distR="0" wp14:anchorId="4EC27806" wp14:editId="15836356">
            <wp:extent cx="5364480" cy="4003040"/>
            <wp:effectExtent l="38100" t="38100" r="45720" b="35560"/>
            <wp:docPr id="6" name="Picture 6" descr="Figure 1 illustrates the pipe and tube supply chain and the place of the proposed acquisition in the supply chain." title="Structural pipe and tube supply ch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12DD.B40E1D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364480" cy="4003040"/>
                    </a:xfrm>
                    <a:prstGeom prst="rect">
                      <a:avLst/>
                    </a:prstGeom>
                    <a:noFill/>
                    <a:ln w="38100">
                      <a:solidFill>
                        <a:schemeClr val="tx1"/>
                      </a:solidFill>
                    </a:ln>
                  </pic:spPr>
                </pic:pic>
              </a:graphicData>
            </a:graphic>
          </wp:inline>
        </w:drawing>
      </w:r>
    </w:p>
    <w:p w:rsidR="005411D5" w:rsidRPr="009D4445" w:rsidRDefault="005411D5" w:rsidP="009D4887">
      <w:pPr>
        <w:pStyle w:val="Heading4"/>
        <w:spacing w:before="120"/>
      </w:pPr>
      <w:r w:rsidRPr="009D4445">
        <w:t>Pipe and tube manufacturing</w:t>
      </w:r>
    </w:p>
    <w:p w:rsidR="005411D5" w:rsidRDefault="005411D5" w:rsidP="000D0BC0">
      <w:pPr>
        <w:pStyle w:val="NormalParagraph"/>
        <w:tabs>
          <w:tab w:val="clear" w:pos="786"/>
          <w:tab w:val="num" w:pos="567"/>
        </w:tabs>
        <w:ind w:left="567" w:hanging="567"/>
      </w:pPr>
      <w:r>
        <w:t xml:space="preserve">Pipe and tube products fall into four broad categories: </w:t>
      </w:r>
    </w:p>
    <w:p w:rsidR="005411D5" w:rsidRPr="00120022" w:rsidRDefault="005524AB" w:rsidP="005F5693">
      <w:pPr>
        <w:pStyle w:val="ListParagraph"/>
        <w:numPr>
          <w:ilvl w:val="0"/>
          <w:numId w:val="34"/>
        </w:numPr>
        <w:tabs>
          <w:tab w:val="num" w:pos="567"/>
        </w:tabs>
        <w:ind w:left="1134" w:hanging="567"/>
      </w:pPr>
      <w:r>
        <w:t>structural pipe and tube</w:t>
      </w:r>
      <w:r w:rsidR="009D4445">
        <w:t>;</w:t>
      </w:r>
    </w:p>
    <w:p w:rsidR="005411D5" w:rsidRPr="00120022" w:rsidRDefault="005524AB" w:rsidP="005F5693">
      <w:pPr>
        <w:pStyle w:val="ListParagraph"/>
        <w:numPr>
          <w:ilvl w:val="0"/>
          <w:numId w:val="34"/>
        </w:numPr>
        <w:tabs>
          <w:tab w:val="num" w:pos="567"/>
        </w:tabs>
        <w:ind w:left="1134" w:hanging="567"/>
      </w:pPr>
      <w:r>
        <w:t>precision pipe and tube</w:t>
      </w:r>
      <w:r w:rsidR="009D4445">
        <w:t>;</w:t>
      </w:r>
    </w:p>
    <w:p w:rsidR="005411D5" w:rsidRPr="00120022" w:rsidRDefault="005524AB" w:rsidP="005F5693">
      <w:pPr>
        <w:pStyle w:val="ListParagraph"/>
        <w:numPr>
          <w:ilvl w:val="0"/>
          <w:numId w:val="34"/>
        </w:numPr>
        <w:tabs>
          <w:tab w:val="num" w:pos="567"/>
        </w:tabs>
        <w:ind w:left="1134" w:hanging="567"/>
      </w:pPr>
      <w:r>
        <w:t>oil and gas pipe</w:t>
      </w:r>
      <w:r w:rsidR="009D4445">
        <w:t>;</w:t>
      </w:r>
      <w:r w:rsidR="005411D5" w:rsidRPr="00120022">
        <w:t xml:space="preserve"> and</w:t>
      </w:r>
    </w:p>
    <w:p w:rsidR="005411D5" w:rsidRPr="00120022" w:rsidRDefault="005411D5" w:rsidP="005F5693">
      <w:pPr>
        <w:pStyle w:val="ListParagraph"/>
        <w:numPr>
          <w:ilvl w:val="0"/>
          <w:numId w:val="34"/>
        </w:numPr>
        <w:tabs>
          <w:tab w:val="num" w:pos="567"/>
        </w:tabs>
        <w:ind w:left="1134" w:hanging="567"/>
      </w:pPr>
      <w:proofErr w:type="gramStart"/>
      <w:r w:rsidRPr="00120022">
        <w:t>water</w:t>
      </w:r>
      <w:proofErr w:type="gramEnd"/>
      <w:r w:rsidRPr="00120022">
        <w:t xml:space="preserve"> pipe. </w:t>
      </w:r>
    </w:p>
    <w:p w:rsidR="00003E49" w:rsidRDefault="005411D5" w:rsidP="00003E49">
      <w:pPr>
        <w:pStyle w:val="NormalParagraph"/>
        <w:tabs>
          <w:tab w:val="clear" w:pos="786"/>
          <w:tab w:val="num" w:pos="567"/>
        </w:tabs>
        <w:ind w:left="567" w:hanging="567"/>
      </w:pPr>
      <w:r w:rsidRPr="001862F3">
        <w:t>Structural pipe and tube</w:t>
      </w:r>
      <w:r w:rsidR="00E73DFE">
        <w:t xml:space="preserve"> products are </w:t>
      </w:r>
      <w:r w:rsidRPr="001862F3">
        <w:t>used in building, manufacturing and</w:t>
      </w:r>
      <w:r w:rsidR="00E73DFE">
        <w:t xml:space="preserve"> engineering applications and are</w:t>
      </w:r>
      <w:r w:rsidRPr="001862F3">
        <w:t xml:space="preserve"> manufactured at separate mills from precision pipe and tube. </w:t>
      </w:r>
      <w:r w:rsidR="00003E49">
        <w:t>Orrcon, Australian Tube Mills (</w:t>
      </w:r>
      <w:r w:rsidR="00003E49" w:rsidRPr="00971B75">
        <w:rPr>
          <w:b/>
        </w:rPr>
        <w:t>ATM</w:t>
      </w:r>
      <w:r w:rsidR="00003E49">
        <w:t>) and Independent Tube Mills (</w:t>
      </w:r>
      <w:r w:rsidR="00003E49" w:rsidRPr="00971B75">
        <w:rPr>
          <w:b/>
        </w:rPr>
        <w:t>ITM</w:t>
      </w:r>
      <w:r w:rsidR="00003E49">
        <w:t xml:space="preserve">) are the only manufacturers of structural pipe and tube products. </w:t>
      </w:r>
    </w:p>
    <w:p w:rsidR="00003E49" w:rsidRPr="001862F3" w:rsidRDefault="00003E49" w:rsidP="00003E49">
      <w:pPr>
        <w:pStyle w:val="NormalParagraph"/>
        <w:tabs>
          <w:tab w:val="clear" w:pos="786"/>
          <w:tab w:val="num" w:pos="567"/>
        </w:tabs>
        <w:ind w:left="567" w:hanging="567"/>
      </w:pPr>
      <w:r>
        <w:t xml:space="preserve">The ACCC understands that, in respect of structural pipe and tube, the three domestic manufacturers represent approximately 60–65 per cent of total 2011/12 industry sales with the balance </w:t>
      </w:r>
      <w:r w:rsidR="00FA690B">
        <w:t>supplied via</w:t>
      </w:r>
      <w:r>
        <w:t xml:space="preserve"> imports. </w:t>
      </w:r>
    </w:p>
    <w:p w:rsidR="005411D5" w:rsidRDefault="005411D5" w:rsidP="000D0BC0">
      <w:pPr>
        <w:pStyle w:val="NormalParagraph"/>
        <w:tabs>
          <w:tab w:val="clear" w:pos="786"/>
          <w:tab w:val="num" w:pos="567"/>
        </w:tabs>
        <w:ind w:left="567" w:hanging="567"/>
      </w:pPr>
      <w:r>
        <w:t>Precision products are used in furniture, home improvement, agricultural an</w:t>
      </w:r>
      <w:r w:rsidR="00971B75">
        <w:t xml:space="preserve">d automotive applications (for example, </w:t>
      </w:r>
      <w:r>
        <w:t xml:space="preserve">exhaust pipes). Orrcon is the only precision pipe and tube manufacturer in Australia. </w:t>
      </w:r>
    </w:p>
    <w:p w:rsidR="005411D5" w:rsidRDefault="005411D5" w:rsidP="005524AB">
      <w:pPr>
        <w:pStyle w:val="NormalParagraph"/>
        <w:tabs>
          <w:tab w:val="clear" w:pos="786"/>
          <w:tab w:val="num" w:pos="567"/>
        </w:tabs>
        <w:spacing w:after="360"/>
        <w:ind w:left="567" w:hanging="567"/>
      </w:pPr>
      <w:r>
        <w:t xml:space="preserve">Oil and gas pipe is used in pipeline construction and is not currently manufactured domestically with both Orrcon and ATM ceasing production in the past two years. Water pipelines are cement lined steel pipes with the only Australian manufacturer being Pentair. </w:t>
      </w:r>
    </w:p>
    <w:p w:rsidR="005411D5" w:rsidRPr="009D4445" w:rsidRDefault="005411D5" w:rsidP="009D4887">
      <w:pPr>
        <w:pStyle w:val="Heading4"/>
      </w:pPr>
      <w:r w:rsidRPr="009D4445">
        <w:lastRenderedPageBreak/>
        <w:t>Steel and tube distribution</w:t>
      </w:r>
    </w:p>
    <w:p w:rsidR="005411D5" w:rsidRPr="00565FF2" w:rsidRDefault="005411D5" w:rsidP="000D0BC0">
      <w:pPr>
        <w:pStyle w:val="NormalParagraph"/>
        <w:tabs>
          <w:tab w:val="clear" w:pos="786"/>
          <w:tab w:val="num" w:pos="567"/>
        </w:tabs>
        <w:ind w:left="567" w:hanging="567"/>
      </w:pPr>
      <w:r w:rsidRPr="00565FF2">
        <w:t xml:space="preserve">Pipe and tube products are one of the main product categories distributed by steel and tube distributors along with </w:t>
      </w:r>
      <w:r>
        <w:t xml:space="preserve">structural sections, merchant bar and </w:t>
      </w:r>
      <w:r w:rsidR="00EE46D5">
        <w:t xml:space="preserve">steel </w:t>
      </w:r>
      <w:r>
        <w:t xml:space="preserve">plate. </w:t>
      </w:r>
      <w:r w:rsidR="00251037">
        <w:t>As noted above, distributors source pipe and tube</w:t>
      </w:r>
      <w:r w:rsidR="00B00EE4">
        <w:t xml:space="preserve"> products</w:t>
      </w:r>
      <w:r w:rsidR="00251037">
        <w:t xml:space="preserve">, merchant bar and structural sections from domestic manufacturers or via imports and in the case </w:t>
      </w:r>
      <w:r w:rsidR="00B00EE4">
        <w:t xml:space="preserve">of </w:t>
      </w:r>
      <w:r w:rsidR="00251037">
        <w:t xml:space="preserve">steel plate from either BlueScope CIPA or via imports. </w:t>
      </w:r>
    </w:p>
    <w:p w:rsidR="00E9765B" w:rsidRPr="00044787" w:rsidRDefault="00E9765B" w:rsidP="000D0BC0">
      <w:pPr>
        <w:pStyle w:val="NormalParagraph"/>
        <w:tabs>
          <w:tab w:val="clear" w:pos="786"/>
          <w:tab w:val="num" w:pos="567"/>
        </w:tabs>
        <w:ind w:left="567" w:hanging="567"/>
      </w:pPr>
      <w:r>
        <w:t>D</w:t>
      </w:r>
      <w:r w:rsidRPr="00044787">
        <w:t xml:space="preserve">istributors form a </w:t>
      </w:r>
      <w:r>
        <w:t>link between steel mills and</w:t>
      </w:r>
      <w:r w:rsidR="00044841">
        <w:t xml:space="preserve"> steel product</w:t>
      </w:r>
      <w:r>
        <w:t xml:space="preserve"> </w:t>
      </w:r>
      <w:r w:rsidR="00044841">
        <w:t xml:space="preserve">manufacturers and their </w:t>
      </w:r>
      <w:r w:rsidR="00525C16">
        <w:t>customers that, due to limited scale</w:t>
      </w:r>
      <w:r>
        <w:t>, are not able to obtain viable supply directly from a steel mill. The other features or characteristics of steel and tube distribution</w:t>
      </w:r>
      <w:r w:rsidR="003B4A5B">
        <w:t>,</w:t>
      </w:r>
      <w:r>
        <w:t xml:space="preserve"> </w:t>
      </w:r>
      <w:r w:rsidR="00B00EE4">
        <w:t xml:space="preserve">compared with </w:t>
      </w:r>
      <w:r>
        <w:t>supply</w:t>
      </w:r>
      <w:r w:rsidR="009C51D3">
        <w:t xml:space="preserve"> direct</w:t>
      </w:r>
      <w:r>
        <w:t xml:space="preserve"> from a steel mill </w:t>
      </w:r>
      <w:r w:rsidR="00AC1DA6">
        <w:t>or manufacturer</w:t>
      </w:r>
      <w:r w:rsidR="003B4A5B">
        <w:t>,</w:t>
      </w:r>
      <w:r w:rsidR="00AC1DA6">
        <w:t xml:space="preserve"> </w:t>
      </w:r>
      <w:r>
        <w:t>are</w:t>
      </w:r>
      <w:r w:rsidRPr="00044787">
        <w:t xml:space="preserve">: </w:t>
      </w:r>
    </w:p>
    <w:p w:rsidR="00E9765B" w:rsidRPr="00120022" w:rsidRDefault="00E9765B" w:rsidP="005F5693">
      <w:pPr>
        <w:pStyle w:val="ListParagraph"/>
        <w:numPr>
          <w:ilvl w:val="0"/>
          <w:numId w:val="34"/>
        </w:numPr>
        <w:tabs>
          <w:tab w:val="num" w:pos="567"/>
        </w:tabs>
        <w:ind w:left="1134" w:hanging="567"/>
      </w:pPr>
      <w:r w:rsidRPr="00120022">
        <w:t xml:space="preserve">distributors are located close to customers (there are distribution outlets in each of the major metropolitan and regional centres); </w:t>
      </w:r>
    </w:p>
    <w:p w:rsidR="00E9765B" w:rsidRPr="00120022" w:rsidRDefault="00E9765B" w:rsidP="005F5693">
      <w:pPr>
        <w:pStyle w:val="ListParagraph"/>
        <w:numPr>
          <w:ilvl w:val="0"/>
          <w:numId w:val="34"/>
        </w:numPr>
        <w:tabs>
          <w:tab w:val="num" w:pos="567"/>
        </w:tabs>
        <w:ind w:left="1134" w:hanging="567"/>
      </w:pPr>
      <w:r w:rsidRPr="00120022">
        <w:t>distributors provide a wide product range, short order</w:t>
      </w:r>
      <w:r w:rsidR="00525C16">
        <w:t>-</w:t>
      </w:r>
      <w:r w:rsidRPr="00120022">
        <w:t>to</w:t>
      </w:r>
      <w:r w:rsidR="00525C16">
        <w:t>-</w:t>
      </w:r>
      <w:r w:rsidRPr="00120022">
        <w:t>delivery times, low minimum volumes and other associated services such as product support</w:t>
      </w:r>
      <w:r w:rsidR="00525C16">
        <w:t>,</w:t>
      </w:r>
      <w:r w:rsidRPr="00120022">
        <w:t xml:space="preserve"> and less onerous credit terms than if the customer were to acquire steel direct from a manufacturer; and</w:t>
      </w:r>
    </w:p>
    <w:p w:rsidR="00E9765B" w:rsidRPr="00120022" w:rsidRDefault="00E9765B" w:rsidP="005F5693">
      <w:pPr>
        <w:pStyle w:val="ListParagraph"/>
        <w:numPr>
          <w:ilvl w:val="0"/>
          <w:numId w:val="34"/>
        </w:numPr>
        <w:tabs>
          <w:tab w:val="num" w:pos="567"/>
        </w:tabs>
        <w:ind w:left="1134" w:hanging="567"/>
      </w:pPr>
      <w:proofErr w:type="gramStart"/>
      <w:r w:rsidRPr="00120022">
        <w:t>some</w:t>
      </w:r>
      <w:proofErr w:type="gramEnd"/>
      <w:r w:rsidRPr="00120022">
        <w:t xml:space="preserve"> distributors offer processing services. </w:t>
      </w:r>
    </w:p>
    <w:p w:rsidR="00E9765B" w:rsidRDefault="00E9765B" w:rsidP="000D0BC0">
      <w:pPr>
        <w:pStyle w:val="NormalParagraph"/>
        <w:tabs>
          <w:tab w:val="clear" w:pos="786"/>
          <w:tab w:val="num" w:pos="567"/>
        </w:tabs>
        <w:ind w:left="567" w:hanging="567"/>
      </w:pPr>
      <w:r>
        <w:t xml:space="preserve">Steel and tube </w:t>
      </w:r>
      <w:r w:rsidRPr="00044787">
        <w:t xml:space="preserve">distributors can be vertically integrated with a </w:t>
      </w:r>
      <w:r>
        <w:t>manufacturer</w:t>
      </w:r>
      <w:r w:rsidRPr="00044787">
        <w:t xml:space="preserve">, as is the case with </w:t>
      </w:r>
      <w:r>
        <w:t>Orrcon and ATM</w:t>
      </w:r>
      <w:r w:rsidRPr="00044787">
        <w:t>, or they can be aligned</w:t>
      </w:r>
      <w:r>
        <w:t xml:space="preserve"> with a manufacturer</w:t>
      </w:r>
      <w:r w:rsidRPr="00044787">
        <w:t xml:space="preserve"> </w:t>
      </w:r>
      <w:r w:rsidR="00525C16">
        <w:t xml:space="preserve">from which </w:t>
      </w:r>
      <w:r w:rsidRPr="00044787">
        <w:t xml:space="preserve">they </w:t>
      </w:r>
      <w:r>
        <w:t xml:space="preserve">agree </w:t>
      </w:r>
      <w:r w:rsidRPr="00044787">
        <w:t>to purchase the bulk of their inputs</w:t>
      </w:r>
      <w:r w:rsidR="009C51D3">
        <w:t>.</w:t>
      </w:r>
      <w:r w:rsidRPr="00044787">
        <w:t xml:space="preserve"> </w:t>
      </w:r>
      <w:r w:rsidR="009C51D3">
        <w:t xml:space="preserve"> Alternatively,</w:t>
      </w:r>
      <w:r w:rsidRPr="00044787">
        <w:t xml:space="preserve"> they may be independent purchasers of steel products that </w:t>
      </w:r>
      <w:r>
        <w:t>source</w:t>
      </w:r>
      <w:r w:rsidRPr="00044787">
        <w:t xml:space="preserve"> from a mix of </w:t>
      </w:r>
      <w:r>
        <w:t xml:space="preserve">domestic manufacturers and imports or solely from imports. </w:t>
      </w:r>
      <w:r w:rsidRPr="00044787">
        <w:t xml:space="preserve"> </w:t>
      </w:r>
    </w:p>
    <w:p w:rsidR="00D17B8C" w:rsidRPr="00D17B8C" w:rsidRDefault="00D8609D" w:rsidP="000107D7">
      <w:pPr>
        <w:pStyle w:val="NormalParagraph"/>
        <w:tabs>
          <w:tab w:val="clear" w:pos="786"/>
          <w:tab w:val="num" w:pos="567"/>
        </w:tabs>
        <w:ind w:left="567" w:hanging="567"/>
      </w:pPr>
      <w:r>
        <w:t xml:space="preserve">Steel and tube distributors in most cases do not stock flat steel products, such as painted coil. These products are distributed by what the industry refers to as ‘sheet and coil’ distributors. </w:t>
      </w:r>
      <w:r w:rsidRPr="0056265B">
        <w:t xml:space="preserve">In some limited cases, particularly in regional areas, a </w:t>
      </w:r>
      <w:r>
        <w:t xml:space="preserve">distributor may stock both flat and long </w:t>
      </w:r>
      <w:proofErr w:type="gramStart"/>
      <w:r>
        <w:t>products,</w:t>
      </w:r>
      <w:proofErr w:type="gramEnd"/>
      <w:r>
        <w:t xml:space="preserve"> however these instances appear to be rare due </w:t>
      </w:r>
      <w:r w:rsidRPr="0056265B">
        <w:t xml:space="preserve">to different customer profiles and distinct storage and processing </w:t>
      </w:r>
      <w:r>
        <w:t xml:space="preserve">equipment </w:t>
      </w:r>
      <w:r w:rsidRPr="0056265B">
        <w:t>requirements</w:t>
      </w:r>
      <w:r w:rsidR="00D17B8C">
        <w:t>.</w:t>
      </w:r>
    </w:p>
    <w:p w:rsidR="000E4DBA" w:rsidRPr="00916C8F" w:rsidRDefault="000E4DBA" w:rsidP="006D2C5A">
      <w:pPr>
        <w:pStyle w:val="Heading3"/>
        <w:rPr>
          <w:rFonts w:eastAsia="Calibri"/>
        </w:rPr>
      </w:pPr>
      <w:r>
        <w:rPr>
          <w:rFonts w:eastAsia="Calibri"/>
        </w:rPr>
        <w:t xml:space="preserve">The proposed transaction </w:t>
      </w:r>
    </w:p>
    <w:p w:rsidR="000E4DBA" w:rsidRDefault="000E4DBA" w:rsidP="00533DC5">
      <w:pPr>
        <w:pStyle w:val="NormalParagraph"/>
        <w:tabs>
          <w:tab w:val="clear" w:pos="786"/>
          <w:tab w:val="num" w:pos="567"/>
        </w:tabs>
        <w:ind w:left="567" w:hanging="567"/>
      </w:pPr>
      <w:r>
        <w:t xml:space="preserve">BlueScope </w:t>
      </w:r>
      <w:r w:rsidR="00D17B8C">
        <w:t>proposed to</w:t>
      </w:r>
      <w:r>
        <w:t xml:space="preserve"> acquire certain Orrcon pipe and tube manufacturing and distribution assets from Hills. </w:t>
      </w:r>
    </w:p>
    <w:p w:rsidR="000E4DBA" w:rsidRDefault="000E4DBA" w:rsidP="000E4DBA">
      <w:pPr>
        <w:pStyle w:val="Heading3"/>
      </w:pPr>
      <w:r>
        <w:t xml:space="preserve">Areas of overlap </w:t>
      </w:r>
    </w:p>
    <w:p w:rsidR="000E4DBA" w:rsidRDefault="000E4DBA" w:rsidP="00D17B8C">
      <w:pPr>
        <w:pStyle w:val="NormalParagraph"/>
        <w:tabs>
          <w:tab w:val="clear" w:pos="786"/>
          <w:tab w:val="num" w:pos="567"/>
        </w:tabs>
        <w:ind w:left="567" w:hanging="567"/>
      </w:pPr>
      <w:r>
        <w:t xml:space="preserve">The </w:t>
      </w:r>
      <w:r w:rsidRPr="003E1A28">
        <w:t>merger parties</w:t>
      </w:r>
      <w:r>
        <w:t xml:space="preserve"> overlapped in the distribution of steel and tube products. BlueScope’s distribution business has sites in each Australian state and territory, with the exception of th</w:t>
      </w:r>
      <w:r w:rsidR="004144CA">
        <w:t xml:space="preserve">e Australian Capital Territory. </w:t>
      </w:r>
      <w:r>
        <w:t xml:space="preserve">Orrcon’s distribution business has sites in Victoria, New South Wales, South Australia, Western Australia and Queensland. </w:t>
      </w:r>
    </w:p>
    <w:p w:rsidR="00533DC5" w:rsidRPr="00B42DA6" w:rsidRDefault="000E4DBA" w:rsidP="00BF5B39">
      <w:pPr>
        <w:pStyle w:val="NormalParagraph"/>
        <w:tabs>
          <w:tab w:val="clear" w:pos="786"/>
          <w:tab w:val="num" w:pos="567"/>
        </w:tabs>
        <w:spacing w:after="1320"/>
        <w:ind w:left="567" w:hanging="567"/>
      </w:pPr>
      <w:r>
        <w:t>The merger parties did not overlap horizontally at other levels of the supply chain. However</w:t>
      </w:r>
      <w:r w:rsidR="00525C16">
        <w:t>, the proposed acquisition will</w:t>
      </w:r>
      <w:r>
        <w:t xml:space="preserve"> result in the vertical integration of BlueScope’s CIPA business with Orrcon’s pipe</w:t>
      </w:r>
      <w:r w:rsidR="00B42DA6">
        <w:t xml:space="preserve"> and tube manufacturing assets</w:t>
      </w:r>
      <w:r w:rsidR="009C51D3">
        <w:t xml:space="preserve"> and with both </w:t>
      </w:r>
      <w:r w:rsidR="00820137">
        <w:t>parties’</w:t>
      </w:r>
      <w:r w:rsidR="009C51D3">
        <w:t xml:space="preserve"> distribution businesses</w:t>
      </w:r>
      <w:r w:rsidR="00B42DA6">
        <w:t>.</w:t>
      </w:r>
    </w:p>
    <w:p w:rsidR="00744CF8" w:rsidRPr="000771B3" w:rsidRDefault="00744CF8" w:rsidP="004144CA">
      <w:pPr>
        <w:pStyle w:val="Heading3"/>
        <w:rPr>
          <w:rFonts w:eastAsia="Calibri"/>
        </w:rPr>
      </w:pPr>
      <w:r w:rsidRPr="000771B3">
        <w:rPr>
          <w:rFonts w:eastAsia="Calibri"/>
        </w:rPr>
        <w:lastRenderedPageBreak/>
        <w:t xml:space="preserve">Other industry participants </w:t>
      </w:r>
    </w:p>
    <w:p w:rsidR="004144CA" w:rsidRPr="000771B3" w:rsidRDefault="000107D7" w:rsidP="009D4887">
      <w:pPr>
        <w:pStyle w:val="Heading4"/>
      </w:pPr>
      <w:r w:rsidRPr="000771B3">
        <w:t xml:space="preserve">Pipe and tube manufacturers </w:t>
      </w:r>
    </w:p>
    <w:p w:rsidR="00C953DF" w:rsidRPr="000771B3" w:rsidRDefault="00C953DF" w:rsidP="009D4887">
      <w:pPr>
        <w:pStyle w:val="Heading5"/>
      </w:pPr>
      <w:r w:rsidRPr="000771B3">
        <w:t xml:space="preserve">Australian Tube Mills </w:t>
      </w:r>
    </w:p>
    <w:p w:rsidR="003D71C9" w:rsidRDefault="00AE16E8" w:rsidP="000107D7">
      <w:pPr>
        <w:pStyle w:val="NormalParagraph"/>
        <w:tabs>
          <w:tab w:val="clear" w:pos="786"/>
          <w:tab w:val="num" w:pos="567"/>
        </w:tabs>
        <w:ind w:left="567" w:hanging="567"/>
      </w:pPr>
      <w:r>
        <w:t>ATM is a wholly owned subsidiary of Arrium. ATM</w:t>
      </w:r>
      <w:r w:rsidR="00C953DF" w:rsidRPr="004A6053">
        <w:t xml:space="preserve"> manufactures structural pipe and tube </w:t>
      </w:r>
      <w:r>
        <w:t xml:space="preserve">products </w:t>
      </w:r>
      <w:r w:rsidR="00C953DF" w:rsidRPr="004A6053">
        <w:t>from facilities at Acacia Ridge in Queensland, Newcastle in New South Wales, and Somerton in Victoria. ATM supplies customers directly or through distributors, includ</w:t>
      </w:r>
      <w:r w:rsidR="00B00EE4">
        <w:t>ing</w:t>
      </w:r>
      <w:r w:rsidR="00C953DF" w:rsidRPr="004A6053">
        <w:t xml:space="preserve"> its related steel and tube distribution businesses OneSteel (trading under the Me</w:t>
      </w:r>
      <w:r w:rsidR="000107D7">
        <w:t>talcentre and Metaland brands).</w:t>
      </w:r>
    </w:p>
    <w:p w:rsidR="00C953DF" w:rsidRPr="000771B3" w:rsidRDefault="00C953DF" w:rsidP="009D4887">
      <w:pPr>
        <w:pStyle w:val="Heading5"/>
      </w:pPr>
      <w:r w:rsidRPr="000771B3">
        <w:t xml:space="preserve">Independent Tube Mills </w:t>
      </w:r>
    </w:p>
    <w:p w:rsidR="00C953DF" w:rsidRPr="000D0BC0" w:rsidRDefault="00C953DF" w:rsidP="000D0BC0">
      <w:pPr>
        <w:pStyle w:val="NormalParagraph"/>
        <w:tabs>
          <w:tab w:val="clear" w:pos="786"/>
          <w:tab w:val="num" w:pos="567"/>
        </w:tabs>
        <w:ind w:left="567" w:hanging="567"/>
      </w:pPr>
      <w:r w:rsidRPr="000D0BC0">
        <w:t>ITM is a privately owned Australian company. ITM commenced pipe and tube manufacturing in 2010, from a production facility in Ravenhall, Victoria. ITM distributes its structural pipe and tube products predominantly through BlueScope Distribution.</w:t>
      </w:r>
    </w:p>
    <w:p w:rsidR="00C953DF" w:rsidRPr="000771B3" w:rsidRDefault="00D8609D" w:rsidP="009D4887">
      <w:pPr>
        <w:pStyle w:val="Heading4"/>
      </w:pPr>
      <w:r w:rsidRPr="000771B3">
        <w:t>Import</w:t>
      </w:r>
      <w:r w:rsidR="00C953DF" w:rsidRPr="000771B3">
        <w:t xml:space="preserve"> traders </w:t>
      </w:r>
    </w:p>
    <w:p w:rsidR="00C953DF" w:rsidRPr="000D0BC0" w:rsidRDefault="00C953DF" w:rsidP="000D0BC0">
      <w:pPr>
        <w:pStyle w:val="NormalParagraph"/>
        <w:tabs>
          <w:tab w:val="clear" w:pos="786"/>
          <w:tab w:val="num" w:pos="567"/>
        </w:tabs>
        <w:ind w:left="567" w:hanging="567"/>
      </w:pPr>
      <w:r w:rsidRPr="000D0BC0">
        <w:t xml:space="preserve">There are a number of </w:t>
      </w:r>
      <w:r w:rsidR="00D8609D" w:rsidRPr="000D0BC0">
        <w:t>import</w:t>
      </w:r>
      <w:r w:rsidRPr="000D0BC0">
        <w:t xml:space="preserve"> traders that acquire finished pipe and tube products from overseas suppliers</w:t>
      </w:r>
      <w:r w:rsidR="00D8609D" w:rsidRPr="000D0BC0">
        <w:t>. Import traders include</w:t>
      </w:r>
      <w:r w:rsidRPr="000D0BC0">
        <w:t xml:space="preserve"> Minmetals, Toyota Tsusho Australasia, Metal One</w:t>
      </w:r>
      <w:r w:rsidR="009C7C38">
        <w:t>,</w:t>
      </w:r>
      <w:r w:rsidRPr="000D0BC0">
        <w:t xml:space="preserve"> CMC Metals, Southern Steel Group and Steelforce. </w:t>
      </w:r>
    </w:p>
    <w:p w:rsidR="00C953DF" w:rsidRPr="000771B3" w:rsidRDefault="00C953DF" w:rsidP="009D4887">
      <w:pPr>
        <w:pStyle w:val="Heading4"/>
      </w:pPr>
      <w:r w:rsidRPr="000771B3">
        <w:t xml:space="preserve">National steel and tube distributors </w:t>
      </w:r>
    </w:p>
    <w:p w:rsidR="00C953DF" w:rsidRPr="000771B3" w:rsidRDefault="00C953DF" w:rsidP="009D4887">
      <w:pPr>
        <w:pStyle w:val="Heading5"/>
      </w:pPr>
      <w:r w:rsidRPr="000771B3">
        <w:t xml:space="preserve">OneSteel </w:t>
      </w:r>
    </w:p>
    <w:p w:rsidR="00C953DF" w:rsidRPr="000D0BC0" w:rsidRDefault="00C953DF" w:rsidP="000D0BC0">
      <w:pPr>
        <w:pStyle w:val="NormalParagraph"/>
        <w:tabs>
          <w:tab w:val="clear" w:pos="786"/>
          <w:tab w:val="num" w:pos="567"/>
        </w:tabs>
        <w:ind w:left="567" w:hanging="567"/>
      </w:pPr>
      <w:r w:rsidRPr="000D0BC0">
        <w:t xml:space="preserve">OneSteel, owned by Arrium, distributes steel and tube products trading under the Metaland, Metalcentre and Midalia Steel (in Western Australia) brands. Metaland, Metalcentre and Midalia deliver a wide range of steel products and associated processing services. OneSteel has 77 distribution sites nation-wide. </w:t>
      </w:r>
    </w:p>
    <w:p w:rsidR="00C953DF" w:rsidRPr="000771B3" w:rsidRDefault="00C953DF" w:rsidP="00C953DF">
      <w:pPr>
        <w:pStyle w:val="NormalParagraph"/>
        <w:numPr>
          <w:ilvl w:val="0"/>
          <w:numId w:val="0"/>
        </w:numPr>
        <w:rPr>
          <w:b/>
        </w:rPr>
      </w:pPr>
      <w:r w:rsidRPr="000771B3">
        <w:rPr>
          <w:b/>
        </w:rPr>
        <w:t xml:space="preserve">Southern Steel Group </w:t>
      </w:r>
    </w:p>
    <w:p w:rsidR="00C953DF" w:rsidRPr="000D0BC0" w:rsidRDefault="00C953DF" w:rsidP="000D0BC0">
      <w:pPr>
        <w:pStyle w:val="NormalParagraph"/>
        <w:tabs>
          <w:tab w:val="clear" w:pos="786"/>
          <w:tab w:val="num" w:pos="567"/>
        </w:tabs>
        <w:ind w:left="567" w:hanging="567"/>
      </w:pPr>
      <w:r w:rsidRPr="000D0BC0">
        <w:t>Southern Steel Group (</w:t>
      </w:r>
      <w:r w:rsidRPr="00971B75">
        <w:rPr>
          <w:b/>
        </w:rPr>
        <w:t>Southern Steel</w:t>
      </w:r>
      <w:r w:rsidRPr="000D0BC0">
        <w:t xml:space="preserve">) is the largest privately owned </w:t>
      </w:r>
      <w:r w:rsidR="00B00EE4" w:rsidRPr="000D0BC0">
        <w:t>distributor</w:t>
      </w:r>
      <w:r w:rsidR="00B00EE4">
        <w:t xml:space="preserve"> of steel and tube products </w:t>
      </w:r>
      <w:r w:rsidRPr="000D0BC0">
        <w:t>in Australia. Southern Steel distributes and processes steel and tube (as well as sheet and coil) products throughout Australia. Southern Steel’s subsidiaries include Brice</w:t>
      </w:r>
      <w:r w:rsidR="00525C16">
        <w:t xml:space="preserve"> Metals</w:t>
      </w:r>
      <w:r w:rsidRPr="000D0BC0">
        <w:t>, Southern Steel Sheet and Coil, Southern Steel Supplies and Australian Rollforming Manufacturers.</w:t>
      </w:r>
    </w:p>
    <w:p w:rsidR="00C953DF" w:rsidRPr="000771B3" w:rsidRDefault="00C953DF" w:rsidP="009D4887">
      <w:pPr>
        <w:pStyle w:val="Heading5"/>
      </w:pPr>
      <w:r w:rsidRPr="000771B3">
        <w:t xml:space="preserve">Steelforce </w:t>
      </w:r>
    </w:p>
    <w:p w:rsidR="00C953DF" w:rsidRPr="000D0BC0" w:rsidRDefault="00C953DF" w:rsidP="000D0BC0">
      <w:pPr>
        <w:pStyle w:val="NormalParagraph"/>
        <w:tabs>
          <w:tab w:val="clear" w:pos="786"/>
          <w:tab w:val="num" w:pos="567"/>
        </w:tabs>
        <w:ind w:left="567" w:hanging="567"/>
      </w:pPr>
      <w:r w:rsidRPr="000D0BC0">
        <w:t xml:space="preserve">Steelforce manufactures pipe and tube products in China. Steelforce primarily distributes steel and tube from its Sydney, Brisbane, Melbourne and Perth </w:t>
      </w:r>
      <w:r w:rsidR="00B00EE4">
        <w:t xml:space="preserve">distribution </w:t>
      </w:r>
      <w:r w:rsidRPr="000D0BC0">
        <w:t xml:space="preserve">sites. </w:t>
      </w:r>
    </w:p>
    <w:p w:rsidR="00C953DF" w:rsidRPr="000771B3" w:rsidRDefault="00C953DF" w:rsidP="009D4887">
      <w:pPr>
        <w:pStyle w:val="Heading5"/>
      </w:pPr>
      <w:r w:rsidRPr="000771B3">
        <w:t>CMC Australia</w:t>
      </w:r>
    </w:p>
    <w:p w:rsidR="00D17B8C" w:rsidRPr="000107D7" w:rsidRDefault="00C953DF" w:rsidP="000107D7">
      <w:pPr>
        <w:pStyle w:val="NormalParagraph"/>
        <w:tabs>
          <w:tab w:val="clear" w:pos="786"/>
          <w:tab w:val="num" w:pos="567"/>
        </w:tabs>
        <w:ind w:left="567" w:hanging="567"/>
        <w:rPr>
          <w:rFonts w:cs="Arial"/>
        </w:rPr>
      </w:pPr>
      <w:r w:rsidRPr="000429DE">
        <w:rPr>
          <w:rFonts w:cs="Arial"/>
        </w:rPr>
        <w:t xml:space="preserve">CMC Australia distributes long </w:t>
      </w:r>
      <w:r w:rsidR="00B00EE4" w:rsidRPr="000429DE">
        <w:rPr>
          <w:rFonts w:cs="Arial"/>
        </w:rPr>
        <w:t xml:space="preserve">steel </w:t>
      </w:r>
      <w:r w:rsidRPr="000429DE">
        <w:rPr>
          <w:rFonts w:cs="Arial"/>
        </w:rPr>
        <w:t>products, sheet and coil products and provides processing services</w:t>
      </w:r>
      <w:r w:rsidR="000429DE" w:rsidRPr="000429DE">
        <w:rPr>
          <w:rFonts w:cs="Arial"/>
        </w:rPr>
        <w:t xml:space="preserve"> for </w:t>
      </w:r>
      <w:r w:rsidR="000429DE" w:rsidRPr="000429DE">
        <w:rPr>
          <w:rFonts w:cs="Arial"/>
          <w:color w:val="000000"/>
        </w:rPr>
        <w:t>sheet and coil</w:t>
      </w:r>
      <w:r w:rsidR="000429DE">
        <w:rPr>
          <w:rFonts w:cs="Arial"/>
          <w:color w:val="000000"/>
        </w:rPr>
        <w:t>,</w:t>
      </w:r>
      <w:r w:rsidR="000429DE" w:rsidRPr="000429DE">
        <w:rPr>
          <w:rFonts w:cs="Arial"/>
          <w:color w:val="000000"/>
        </w:rPr>
        <w:t xml:space="preserve"> </w:t>
      </w:r>
      <w:r w:rsidR="000429DE">
        <w:rPr>
          <w:rFonts w:cs="Arial"/>
          <w:color w:val="000000"/>
        </w:rPr>
        <w:t xml:space="preserve">steel </w:t>
      </w:r>
      <w:r w:rsidR="000429DE" w:rsidRPr="000429DE">
        <w:rPr>
          <w:rFonts w:cs="Arial"/>
          <w:color w:val="000000"/>
        </w:rPr>
        <w:t>plate and long products</w:t>
      </w:r>
      <w:r w:rsidRPr="000429DE">
        <w:rPr>
          <w:rFonts w:cs="Arial"/>
        </w:rPr>
        <w:t xml:space="preserve">. CMC </w:t>
      </w:r>
      <w:r w:rsidR="00B00EE4" w:rsidRPr="000429DE">
        <w:rPr>
          <w:rFonts w:cs="Arial"/>
        </w:rPr>
        <w:t xml:space="preserve">distributes </w:t>
      </w:r>
      <w:r w:rsidRPr="000429DE">
        <w:rPr>
          <w:rFonts w:cs="Arial"/>
        </w:rPr>
        <w:t xml:space="preserve">steel and tube products from its distribution sites in Sydney, </w:t>
      </w:r>
      <w:r w:rsidR="000107D7">
        <w:rPr>
          <w:rFonts w:cs="Arial"/>
        </w:rPr>
        <w:t xml:space="preserve">Melbourne, Perth and Brisbane. </w:t>
      </w:r>
    </w:p>
    <w:p w:rsidR="00C953DF" w:rsidRPr="000771B3" w:rsidRDefault="00C96EBE" w:rsidP="009D4887">
      <w:pPr>
        <w:pStyle w:val="Heading4"/>
      </w:pPr>
      <w:r w:rsidRPr="000771B3">
        <w:t>R</w:t>
      </w:r>
      <w:r w:rsidR="00C953DF" w:rsidRPr="000771B3">
        <w:t xml:space="preserve">egional distributors </w:t>
      </w:r>
    </w:p>
    <w:p w:rsidR="00C953DF" w:rsidRPr="000D0BC0" w:rsidRDefault="00C96EBE" w:rsidP="000D0BC0">
      <w:pPr>
        <w:pStyle w:val="NormalParagraph"/>
        <w:tabs>
          <w:tab w:val="clear" w:pos="786"/>
          <w:tab w:val="num" w:pos="567"/>
        </w:tabs>
        <w:ind w:left="567" w:hanging="567"/>
      </w:pPr>
      <w:r w:rsidRPr="000D0BC0">
        <w:t>R</w:t>
      </w:r>
      <w:r w:rsidR="00C953DF" w:rsidRPr="000D0BC0">
        <w:t xml:space="preserve">egional based </w:t>
      </w:r>
      <w:r w:rsidRPr="000D0BC0">
        <w:t xml:space="preserve">steel and tube </w:t>
      </w:r>
      <w:r w:rsidR="00C953DF" w:rsidRPr="000D0BC0">
        <w:t xml:space="preserve">distributors </w:t>
      </w:r>
      <w:r w:rsidR="00386A20" w:rsidRPr="000D0BC0">
        <w:t>include Vulcan</w:t>
      </w:r>
      <w:r w:rsidR="00C953DF" w:rsidRPr="000D0BC0">
        <w:t xml:space="preserve"> Steel, Apex Steel, Nubco, GAM Steel and Central Steel. </w:t>
      </w:r>
    </w:p>
    <w:p w:rsidR="00916C8F" w:rsidRPr="00194D5D" w:rsidRDefault="00916C8F" w:rsidP="00916C8F">
      <w:pPr>
        <w:pStyle w:val="Heading3"/>
      </w:pPr>
      <w:r>
        <w:lastRenderedPageBreak/>
        <w:t>Review timeline</w:t>
      </w:r>
    </w:p>
    <w:p w:rsidR="00E27E4E" w:rsidRPr="000D0BC0" w:rsidRDefault="00916C8F" w:rsidP="000D0BC0">
      <w:pPr>
        <w:pStyle w:val="NormalParagraph"/>
        <w:tabs>
          <w:tab w:val="clear" w:pos="786"/>
          <w:tab w:val="num" w:pos="567"/>
        </w:tabs>
        <w:ind w:left="567" w:hanging="567"/>
      </w:pPr>
      <w:r w:rsidRPr="000D0BC0">
        <w:t xml:space="preserve">The following table outlines the timeline of key events in this matter. </w:t>
      </w:r>
    </w:p>
    <w:tbl>
      <w:tblPr>
        <w:tblStyle w:val="TableGrid"/>
        <w:tblW w:w="0" w:type="auto"/>
        <w:tblInd w:w="786" w:type="dxa"/>
        <w:tblLook w:val="04A0" w:firstRow="1" w:lastRow="0" w:firstColumn="1" w:lastColumn="0" w:noHBand="0" w:noVBand="1"/>
        <w:tblCaption w:val="Review Timeline Table "/>
      </w:tblPr>
      <w:tblGrid>
        <w:gridCol w:w="1590"/>
        <w:gridCol w:w="6288"/>
      </w:tblGrid>
      <w:tr w:rsidR="00916C8F" w:rsidTr="00410879">
        <w:trPr>
          <w:tblHeader/>
        </w:trPr>
        <w:tc>
          <w:tcPr>
            <w:tcW w:w="1590" w:type="dxa"/>
          </w:tcPr>
          <w:p w:rsidR="00916C8F" w:rsidRPr="00916C8F" w:rsidRDefault="00916C8F" w:rsidP="00916C8F">
            <w:pPr>
              <w:pStyle w:val="NormalParagraph"/>
              <w:numPr>
                <w:ilvl w:val="0"/>
                <w:numId w:val="0"/>
              </w:numPr>
              <w:rPr>
                <w:b/>
              </w:rPr>
            </w:pPr>
            <w:r w:rsidRPr="00916C8F">
              <w:rPr>
                <w:b/>
              </w:rPr>
              <w:t xml:space="preserve">Date </w:t>
            </w:r>
          </w:p>
        </w:tc>
        <w:tc>
          <w:tcPr>
            <w:tcW w:w="6288" w:type="dxa"/>
          </w:tcPr>
          <w:p w:rsidR="00916C8F" w:rsidRPr="00916C8F" w:rsidRDefault="00916C8F" w:rsidP="00916C8F">
            <w:pPr>
              <w:pStyle w:val="NormalParagraph"/>
              <w:numPr>
                <w:ilvl w:val="0"/>
                <w:numId w:val="0"/>
              </w:numPr>
              <w:rPr>
                <w:b/>
              </w:rPr>
            </w:pPr>
            <w:r w:rsidRPr="00916C8F">
              <w:rPr>
                <w:b/>
              </w:rPr>
              <w:t xml:space="preserve">Event </w:t>
            </w:r>
          </w:p>
        </w:tc>
      </w:tr>
      <w:tr w:rsidR="00916C8F" w:rsidTr="002A5690">
        <w:tc>
          <w:tcPr>
            <w:tcW w:w="1590" w:type="dxa"/>
          </w:tcPr>
          <w:p w:rsidR="00916C8F" w:rsidRDefault="00916C8F" w:rsidP="00916C8F">
            <w:pPr>
              <w:pStyle w:val="NormalParagraph"/>
              <w:numPr>
                <w:ilvl w:val="0"/>
                <w:numId w:val="0"/>
              </w:numPr>
            </w:pPr>
            <w:r>
              <w:t>04-Sept-2013</w:t>
            </w:r>
          </w:p>
        </w:tc>
        <w:tc>
          <w:tcPr>
            <w:tcW w:w="6288" w:type="dxa"/>
          </w:tcPr>
          <w:p w:rsidR="00916C8F" w:rsidRDefault="00916C8F" w:rsidP="00916C8F">
            <w:pPr>
              <w:pStyle w:val="NormalParagraph"/>
              <w:numPr>
                <w:ilvl w:val="0"/>
                <w:numId w:val="0"/>
              </w:numPr>
            </w:pPr>
            <w:r>
              <w:t>ACCC commenced review under the Merger Process Guidelines. Market inquiries commenced.</w:t>
            </w:r>
          </w:p>
        </w:tc>
      </w:tr>
      <w:tr w:rsidR="00916C8F" w:rsidTr="002A5690">
        <w:tc>
          <w:tcPr>
            <w:tcW w:w="1590" w:type="dxa"/>
          </w:tcPr>
          <w:p w:rsidR="00916C8F" w:rsidRDefault="00916C8F" w:rsidP="00C963B6">
            <w:pPr>
              <w:pStyle w:val="NormalParagraph"/>
              <w:numPr>
                <w:ilvl w:val="0"/>
                <w:numId w:val="0"/>
              </w:numPr>
            </w:pPr>
            <w:r>
              <w:t>25-Se</w:t>
            </w:r>
            <w:r w:rsidR="00C963B6">
              <w:t>p</w:t>
            </w:r>
            <w:r>
              <w:t xml:space="preserve">t-2013 </w:t>
            </w:r>
          </w:p>
        </w:tc>
        <w:tc>
          <w:tcPr>
            <w:tcW w:w="6288" w:type="dxa"/>
          </w:tcPr>
          <w:p w:rsidR="00916C8F" w:rsidRDefault="00916C8F" w:rsidP="00916C8F">
            <w:pPr>
              <w:pStyle w:val="NormalParagraph"/>
              <w:numPr>
                <w:ilvl w:val="0"/>
                <w:numId w:val="0"/>
              </w:numPr>
            </w:pPr>
            <w:r>
              <w:t xml:space="preserve">Closing </w:t>
            </w:r>
            <w:r w:rsidR="002A5690">
              <w:t xml:space="preserve">date for submissions from interested parties. </w:t>
            </w:r>
          </w:p>
        </w:tc>
      </w:tr>
      <w:tr w:rsidR="00916C8F" w:rsidTr="002A5690">
        <w:tc>
          <w:tcPr>
            <w:tcW w:w="1590" w:type="dxa"/>
          </w:tcPr>
          <w:p w:rsidR="00916C8F" w:rsidRDefault="002A5690" w:rsidP="00916C8F">
            <w:pPr>
              <w:pStyle w:val="NormalParagraph"/>
              <w:numPr>
                <w:ilvl w:val="0"/>
                <w:numId w:val="0"/>
              </w:numPr>
            </w:pPr>
            <w:r>
              <w:t xml:space="preserve">15-Oct-2013 </w:t>
            </w:r>
          </w:p>
        </w:tc>
        <w:tc>
          <w:tcPr>
            <w:tcW w:w="6288" w:type="dxa"/>
          </w:tcPr>
          <w:p w:rsidR="00916C8F" w:rsidRDefault="002A5690" w:rsidP="00916C8F">
            <w:pPr>
              <w:pStyle w:val="NormalParagraph"/>
              <w:numPr>
                <w:ilvl w:val="0"/>
                <w:numId w:val="0"/>
              </w:numPr>
            </w:pPr>
            <w:r>
              <w:t xml:space="preserve">Former proposed decision date of 31 October 2013 delayed pending receipt of further information from the merger parties. ACCC timeline suspended. </w:t>
            </w:r>
          </w:p>
        </w:tc>
      </w:tr>
      <w:tr w:rsidR="00916C8F" w:rsidTr="002A5690">
        <w:tc>
          <w:tcPr>
            <w:tcW w:w="1590" w:type="dxa"/>
          </w:tcPr>
          <w:p w:rsidR="00916C8F" w:rsidRDefault="002A5690" w:rsidP="00916C8F">
            <w:pPr>
              <w:pStyle w:val="NormalParagraph"/>
              <w:numPr>
                <w:ilvl w:val="0"/>
                <w:numId w:val="0"/>
              </w:numPr>
            </w:pPr>
            <w:r>
              <w:t xml:space="preserve">11-Nov-2013 </w:t>
            </w:r>
          </w:p>
        </w:tc>
        <w:tc>
          <w:tcPr>
            <w:tcW w:w="6288" w:type="dxa"/>
          </w:tcPr>
          <w:p w:rsidR="00916C8F" w:rsidRDefault="002A5690" w:rsidP="00916C8F">
            <w:pPr>
              <w:pStyle w:val="NormalParagraph"/>
              <w:numPr>
                <w:ilvl w:val="0"/>
                <w:numId w:val="0"/>
              </w:numPr>
            </w:pPr>
            <w:r>
              <w:t xml:space="preserve">ACCC received further information from the merger parties. ACCC timeline recommenced. </w:t>
            </w:r>
          </w:p>
        </w:tc>
      </w:tr>
      <w:tr w:rsidR="00916C8F" w:rsidTr="002A5690">
        <w:tc>
          <w:tcPr>
            <w:tcW w:w="1590" w:type="dxa"/>
          </w:tcPr>
          <w:p w:rsidR="00916C8F" w:rsidRDefault="002A5690" w:rsidP="00916C8F">
            <w:pPr>
              <w:pStyle w:val="NormalParagraph"/>
              <w:numPr>
                <w:ilvl w:val="0"/>
                <w:numId w:val="0"/>
              </w:numPr>
            </w:pPr>
            <w:r>
              <w:t xml:space="preserve">05-Dec-2013 </w:t>
            </w:r>
          </w:p>
        </w:tc>
        <w:tc>
          <w:tcPr>
            <w:tcW w:w="6288" w:type="dxa"/>
          </w:tcPr>
          <w:p w:rsidR="00916C8F" w:rsidRDefault="002A5690" w:rsidP="00916C8F">
            <w:pPr>
              <w:pStyle w:val="NormalParagraph"/>
              <w:numPr>
                <w:ilvl w:val="0"/>
                <w:numId w:val="0"/>
              </w:numPr>
            </w:pPr>
            <w:r>
              <w:t xml:space="preserve">ACCC announced that it would not oppose the proposed acquisition. </w:t>
            </w:r>
          </w:p>
        </w:tc>
      </w:tr>
    </w:tbl>
    <w:p w:rsidR="002A5690" w:rsidRDefault="002A5690" w:rsidP="002A5690">
      <w:pPr>
        <w:pStyle w:val="Heading3"/>
      </w:pPr>
      <w:r>
        <w:t xml:space="preserve">Market inquiries </w:t>
      </w:r>
    </w:p>
    <w:p w:rsidR="00916C8F" w:rsidRPr="00CC1142" w:rsidRDefault="00C96EBE" w:rsidP="000D0BC0">
      <w:pPr>
        <w:pStyle w:val="NormalParagraph"/>
        <w:tabs>
          <w:tab w:val="clear" w:pos="786"/>
          <w:tab w:val="num" w:pos="567"/>
        </w:tabs>
        <w:ind w:left="567" w:hanging="567"/>
      </w:pPr>
      <w:r>
        <w:t xml:space="preserve">The ACCC </w:t>
      </w:r>
      <w:r w:rsidR="002A5690">
        <w:t>conducted market inquiries with a range of market participants including rival pipe</w:t>
      </w:r>
      <w:r w:rsidR="002A5690" w:rsidRPr="000D0BC0">
        <w:t xml:space="preserve"> and tube manufacturers, importers of pipe and tube inputs and pipe and tube products, rival steel and tube distributors, industry associations and government departments. </w:t>
      </w:r>
    </w:p>
    <w:p w:rsidR="008A700B" w:rsidRPr="00DE7F3C" w:rsidRDefault="008A700B" w:rsidP="008A700B">
      <w:pPr>
        <w:pStyle w:val="Heading3"/>
        <w:rPr>
          <w:rFonts w:cs="Arial"/>
        </w:rPr>
      </w:pPr>
      <w:r>
        <w:rPr>
          <w:rFonts w:cs="Arial"/>
        </w:rPr>
        <w:t>Future w</w:t>
      </w:r>
      <w:r w:rsidRPr="00DE7F3C">
        <w:rPr>
          <w:rFonts w:cs="Arial"/>
        </w:rPr>
        <w:t>ith/without</w:t>
      </w:r>
      <w:r>
        <w:rPr>
          <w:rFonts w:cs="Arial"/>
        </w:rPr>
        <w:t xml:space="preserve"> the proposed acquisition</w:t>
      </w:r>
    </w:p>
    <w:p w:rsidR="00CC1142" w:rsidRDefault="00CC1142" w:rsidP="000D0BC0">
      <w:pPr>
        <w:pStyle w:val="NormalParagraph"/>
        <w:tabs>
          <w:tab w:val="clear" w:pos="786"/>
          <w:tab w:val="num" w:pos="567"/>
        </w:tabs>
        <w:ind w:left="567" w:hanging="567"/>
      </w:pPr>
      <w:r>
        <w:t>Section 50 of the Act prohibits mergers or acquisitions that would have the effect or be likely to have the effect of substantially lessening competition in a market. In assessing a proposed acquisition pursuant to section 50 of the Act, the ACCC considers the effects of the acquisition by comparing the likely future competitive environment post-acquisition if the acquisition proceeds (the “with” position) to the likely future competitive environment if the acquisition does not proceed (the “without” position) to determine whether the proposed acquisition is likely to substantially lessen competition in any relevant market.</w:t>
      </w:r>
    </w:p>
    <w:p w:rsidR="00CC1142" w:rsidRDefault="008A700B" w:rsidP="000D0BC0">
      <w:pPr>
        <w:pStyle w:val="NormalParagraph"/>
        <w:tabs>
          <w:tab w:val="clear" w:pos="786"/>
          <w:tab w:val="num" w:pos="567"/>
        </w:tabs>
        <w:ind w:left="567" w:hanging="567"/>
      </w:pPr>
      <w:r>
        <w:t>T</w:t>
      </w:r>
      <w:r w:rsidR="00CC1142">
        <w:t>he ACCC assess</w:t>
      </w:r>
      <w:r>
        <w:t>ed</w:t>
      </w:r>
      <w:r w:rsidR="00CC1142">
        <w:t xml:space="preserve"> the proposed acquisition against the status quo. Orrcon ha</w:t>
      </w:r>
      <w:r>
        <w:t xml:space="preserve">d </w:t>
      </w:r>
      <w:r w:rsidR="00CC1142">
        <w:t xml:space="preserve">been the subject of a sale process. In the event that BlueScope </w:t>
      </w:r>
      <w:r>
        <w:t xml:space="preserve">did </w:t>
      </w:r>
      <w:r w:rsidR="00CC1142">
        <w:t xml:space="preserve">not acquire Orrcon, </w:t>
      </w:r>
      <w:r>
        <w:t>Hills</w:t>
      </w:r>
      <w:r w:rsidR="00CC1142">
        <w:t xml:space="preserve"> may </w:t>
      </w:r>
      <w:r>
        <w:t xml:space="preserve">have </w:t>
      </w:r>
      <w:r w:rsidR="00CC1142">
        <w:t>retain</w:t>
      </w:r>
      <w:r>
        <w:t>ed</w:t>
      </w:r>
      <w:r w:rsidR="00CC1142">
        <w:t xml:space="preserve"> the business or may </w:t>
      </w:r>
      <w:r>
        <w:t xml:space="preserve">have </w:t>
      </w:r>
      <w:r w:rsidR="00CC1142">
        <w:t xml:space="preserve">sold </w:t>
      </w:r>
      <w:r>
        <w:t xml:space="preserve">Orrcon </w:t>
      </w:r>
      <w:r w:rsidR="00CC1142">
        <w:t>to another party.</w:t>
      </w:r>
    </w:p>
    <w:p w:rsidR="000B36D8" w:rsidRPr="00194E49" w:rsidRDefault="00194E49" w:rsidP="00194E49">
      <w:pPr>
        <w:pStyle w:val="Heading3"/>
      </w:pPr>
      <w:r>
        <w:t xml:space="preserve">Competition Analysis </w:t>
      </w:r>
    </w:p>
    <w:p w:rsidR="00E2248A" w:rsidRPr="007B0D15" w:rsidRDefault="00E2248A" w:rsidP="009D4887">
      <w:pPr>
        <w:pStyle w:val="Heading4"/>
      </w:pPr>
      <w:r w:rsidRPr="007B0D15">
        <w:t xml:space="preserve">Market definition </w:t>
      </w:r>
    </w:p>
    <w:p w:rsidR="00741802" w:rsidRDefault="00741802" w:rsidP="00410879">
      <w:pPr>
        <w:pStyle w:val="NormalParagraph"/>
        <w:tabs>
          <w:tab w:val="clear" w:pos="786"/>
          <w:tab w:val="num" w:pos="567"/>
        </w:tabs>
        <w:ind w:left="567" w:hanging="567"/>
      </w:pPr>
      <w:r>
        <w:t xml:space="preserve">The ACCC considered the proposed acquisition in the context of </w:t>
      </w:r>
      <w:r w:rsidRPr="00EC6883">
        <w:t>the following markets</w:t>
      </w:r>
      <w:r>
        <w:t>:</w:t>
      </w:r>
    </w:p>
    <w:p w:rsidR="009D4445" w:rsidRDefault="00741802" w:rsidP="005F5693">
      <w:pPr>
        <w:pStyle w:val="ListParagraph"/>
        <w:numPr>
          <w:ilvl w:val="0"/>
          <w:numId w:val="34"/>
        </w:numPr>
        <w:tabs>
          <w:tab w:val="num" w:pos="567"/>
        </w:tabs>
        <w:ind w:left="1134" w:hanging="567"/>
      </w:pPr>
      <w:r w:rsidRPr="008E2C16">
        <w:t>the national markets for the supply of the following inputs to pipe and tube manufacturers and other users:</w:t>
      </w:r>
    </w:p>
    <w:p w:rsidR="009D4445" w:rsidRDefault="00820137" w:rsidP="00D67CD2">
      <w:pPr>
        <w:pStyle w:val="NormalParagraph"/>
        <w:numPr>
          <w:ilvl w:val="1"/>
          <w:numId w:val="34"/>
        </w:numPr>
        <w:ind w:left="1701" w:hanging="513"/>
      </w:pPr>
      <w:r>
        <w:t>HRC</w:t>
      </w:r>
      <w:r w:rsidR="009D4445">
        <w:t>;</w:t>
      </w:r>
    </w:p>
    <w:p w:rsidR="009D4445" w:rsidRDefault="00820137" w:rsidP="00D67CD2">
      <w:pPr>
        <w:pStyle w:val="NormalParagraph"/>
        <w:numPr>
          <w:ilvl w:val="1"/>
          <w:numId w:val="34"/>
        </w:numPr>
        <w:ind w:left="1701" w:hanging="513"/>
      </w:pPr>
      <w:r>
        <w:t>CRC</w:t>
      </w:r>
      <w:r w:rsidR="009D4445">
        <w:t xml:space="preserve">; </w:t>
      </w:r>
    </w:p>
    <w:p w:rsidR="00741802" w:rsidRDefault="00820137" w:rsidP="00D67CD2">
      <w:pPr>
        <w:pStyle w:val="NormalParagraph"/>
        <w:numPr>
          <w:ilvl w:val="1"/>
          <w:numId w:val="34"/>
        </w:numPr>
        <w:ind w:left="1701" w:hanging="513"/>
      </w:pPr>
      <w:r>
        <w:t>galvanised coil</w:t>
      </w:r>
      <w:r w:rsidR="009D4445">
        <w:t>;</w:t>
      </w:r>
    </w:p>
    <w:p w:rsidR="008A700B" w:rsidRDefault="008A700B" w:rsidP="005F1406">
      <w:pPr>
        <w:pStyle w:val="NormalParagraph"/>
        <w:numPr>
          <w:ilvl w:val="0"/>
          <w:numId w:val="0"/>
        </w:numPr>
        <w:ind w:left="1789"/>
      </w:pPr>
      <w:r>
        <w:lastRenderedPageBreak/>
        <w:t>(</w:t>
      </w:r>
      <w:proofErr w:type="gramStart"/>
      <w:r>
        <w:t>collectively</w:t>
      </w:r>
      <w:proofErr w:type="gramEnd"/>
      <w:r>
        <w:t xml:space="preserve"> </w:t>
      </w:r>
      <w:r w:rsidRPr="005F1406">
        <w:rPr>
          <w:b/>
        </w:rPr>
        <w:t>pipe and tube inputs</w:t>
      </w:r>
      <w:r>
        <w:t>)</w:t>
      </w:r>
    </w:p>
    <w:p w:rsidR="00741802" w:rsidRDefault="00741802" w:rsidP="005F5693">
      <w:pPr>
        <w:pStyle w:val="ListParagraph"/>
        <w:numPr>
          <w:ilvl w:val="0"/>
          <w:numId w:val="34"/>
        </w:numPr>
        <w:tabs>
          <w:tab w:val="num" w:pos="567"/>
        </w:tabs>
        <w:ind w:left="1134" w:hanging="567"/>
      </w:pPr>
      <w:r w:rsidRPr="008E2C16">
        <w:t>the national market for the supply of st</w:t>
      </w:r>
      <w:r w:rsidR="00820137">
        <w:t>ructural pipe and tube products</w:t>
      </w:r>
      <w:r w:rsidR="009D4445">
        <w:t>;</w:t>
      </w:r>
    </w:p>
    <w:p w:rsidR="00741802" w:rsidRDefault="00741802" w:rsidP="005F5693">
      <w:pPr>
        <w:pStyle w:val="ListParagraph"/>
        <w:numPr>
          <w:ilvl w:val="0"/>
          <w:numId w:val="34"/>
        </w:numPr>
        <w:tabs>
          <w:tab w:val="num" w:pos="567"/>
        </w:tabs>
        <w:ind w:left="1134" w:hanging="567"/>
      </w:pPr>
      <w:r w:rsidRPr="008E2C16">
        <w:t>the distribution of steel and tube products in the following regions:</w:t>
      </w:r>
    </w:p>
    <w:p w:rsidR="00741802" w:rsidRDefault="00741802" w:rsidP="00D67CD2">
      <w:pPr>
        <w:pStyle w:val="NormalParagraph"/>
        <w:numPr>
          <w:ilvl w:val="1"/>
          <w:numId w:val="34"/>
        </w:numPr>
        <w:ind w:left="1701" w:hanging="513"/>
      </w:pPr>
      <w:r w:rsidRPr="008E2C16">
        <w:t>northern Queensl</w:t>
      </w:r>
      <w:r w:rsidR="00820137">
        <w:t>and (centred around Townsville)</w:t>
      </w:r>
      <w:r w:rsidR="009D4445">
        <w:t>;</w:t>
      </w:r>
    </w:p>
    <w:p w:rsidR="00741802" w:rsidRDefault="00741802" w:rsidP="00D67CD2">
      <w:pPr>
        <w:pStyle w:val="NormalParagraph"/>
        <w:numPr>
          <w:ilvl w:val="1"/>
          <w:numId w:val="34"/>
        </w:numPr>
        <w:ind w:left="1701" w:hanging="513"/>
      </w:pPr>
      <w:r>
        <w:t xml:space="preserve">south-eastern </w:t>
      </w:r>
      <w:r w:rsidRPr="00CD60C0">
        <w:t>Queensland and northern New South Wales (centred around</w:t>
      </w:r>
      <w:r>
        <w:t xml:space="preserve"> </w:t>
      </w:r>
      <w:r w:rsidR="00820137">
        <w:t>Brisbane)</w:t>
      </w:r>
      <w:r w:rsidR="009D4445">
        <w:t>;</w:t>
      </w:r>
    </w:p>
    <w:p w:rsidR="00741802" w:rsidRDefault="00741802" w:rsidP="00D67CD2">
      <w:pPr>
        <w:pStyle w:val="NormalParagraph"/>
        <w:numPr>
          <w:ilvl w:val="1"/>
          <w:numId w:val="34"/>
        </w:numPr>
        <w:ind w:left="1701" w:hanging="513"/>
      </w:pPr>
      <w:r>
        <w:t xml:space="preserve">central </w:t>
      </w:r>
      <w:r w:rsidRPr="00CD60C0">
        <w:t>and southern New Sout</w:t>
      </w:r>
      <w:r w:rsidR="00820137">
        <w:t>h Wales (centred around Sydney)</w:t>
      </w:r>
      <w:r w:rsidR="009D4445">
        <w:t>;</w:t>
      </w:r>
    </w:p>
    <w:p w:rsidR="00741802" w:rsidRDefault="00741802" w:rsidP="00D67CD2">
      <w:pPr>
        <w:pStyle w:val="NormalParagraph"/>
        <w:numPr>
          <w:ilvl w:val="1"/>
          <w:numId w:val="34"/>
        </w:numPr>
        <w:ind w:left="1701" w:hanging="513"/>
      </w:pPr>
      <w:r>
        <w:t xml:space="preserve">central </w:t>
      </w:r>
      <w:r w:rsidRPr="00CD60C0">
        <w:t>and eastern Vict</w:t>
      </w:r>
      <w:r w:rsidR="00820137">
        <w:t>oria (centred around Melbourne)</w:t>
      </w:r>
      <w:r w:rsidR="003B4A5B">
        <w:t>;</w:t>
      </w:r>
    </w:p>
    <w:p w:rsidR="00741802" w:rsidRDefault="00741802" w:rsidP="00D67CD2">
      <w:pPr>
        <w:pStyle w:val="NormalParagraph"/>
        <w:numPr>
          <w:ilvl w:val="1"/>
          <w:numId w:val="34"/>
        </w:numPr>
        <w:ind w:left="1701" w:hanging="513"/>
      </w:pPr>
      <w:r>
        <w:t xml:space="preserve">South Australia </w:t>
      </w:r>
      <w:r w:rsidRPr="00CD60C0">
        <w:t>and western Vic</w:t>
      </w:r>
      <w:r w:rsidR="00820137">
        <w:t>toria (centred around Adelaide)</w:t>
      </w:r>
      <w:r w:rsidR="009D4445">
        <w:t>;</w:t>
      </w:r>
    </w:p>
    <w:p w:rsidR="00741802" w:rsidRDefault="00741802" w:rsidP="00D67CD2">
      <w:pPr>
        <w:pStyle w:val="NormalParagraph"/>
        <w:numPr>
          <w:ilvl w:val="1"/>
          <w:numId w:val="34"/>
        </w:numPr>
        <w:ind w:left="1701" w:hanging="513"/>
      </w:pPr>
      <w:r>
        <w:t>Western A</w:t>
      </w:r>
      <w:r w:rsidR="00820137">
        <w:t>ustralia (centred around Perth)</w:t>
      </w:r>
      <w:r w:rsidR="009D4445">
        <w:t xml:space="preserve">; </w:t>
      </w:r>
      <w:r w:rsidRPr="00CD60C0">
        <w:t>and</w:t>
      </w:r>
    </w:p>
    <w:p w:rsidR="00741802" w:rsidRDefault="00741802" w:rsidP="00D67CD2">
      <w:pPr>
        <w:pStyle w:val="NormalParagraph"/>
        <w:numPr>
          <w:ilvl w:val="1"/>
          <w:numId w:val="34"/>
        </w:numPr>
        <w:ind w:left="1701" w:hanging="513"/>
      </w:pPr>
      <w:r>
        <w:t xml:space="preserve">Tasmania. </w:t>
      </w:r>
    </w:p>
    <w:p w:rsidR="00E2248A" w:rsidRDefault="00E2248A" w:rsidP="00E2248A">
      <w:pPr>
        <w:rPr>
          <w:rFonts w:ascii="Arial" w:hAnsi="Arial" w:cs="Arial"/>
          <w:b/>
          <w:sz w:val="26"/>
          <w:szCs w:val="26"/>
        </w:rPr>
      </w:pPr>
    </w:p>
    <w:p w:rsidR="00971B75" w:rsidRPr="00113EA0" w:rsidRDefault="00E2248A" w:rsidP="00113EA0">
      <w:pPr>
        <w:pStyle w:val="Heading4"/>
      </w:pPr>
      <w:r w:rsidRPr="000429DE">
        <w:t>The supply of HRC, CRC and galvanised coil to pipe and tub</w:t>
      </w:r>
      <w:r w:rsidR="004A6053" w:rsidRPr="000429DE">
        <w:t>e manufacturers and other users</w:t>
      </w:r>
    </w:p>
    <w:p w:rsidR="00E2248A" w:rsidRPr="000771B3" w:rsidRDefault="00E2248A" w:rsidP="00113EA0">
      <w:pPr>
        <w:pStyle w:val="Heading5"/>
      </w:pPr>
      <w:r w:rsidRPr="000771B3">
        <w:t xml:space="preserve">Product dimension </w:t>
      </w:r>
    </w:p>
    <w:p w:rsidR="00E2248A" w:rsidRDefault="00E2248A" w:rsidP="000D0BC0">
      <w:pPr>
        <w:pStyle w:val="NormalParagraph"/>
        <w:tabs>
          <w:tab w:val="clear" w:pos="786"/>
          <w:tab w:val="num" w:pos="567"/>
        </w:tabs>
        <w:ind w:left="567" w:hanging="567"/>
      </w:pPr>
      <w:r>
        <w:t xml:space="preserve">The ACCC notes that flat steel products, including HRC, CRC and galvanised coil, are supplied to a wide range of customers, including manufacturers and distributors. Relevant to the proposed acquisition is the use of these flat steel products by pipe and tube manufacturers. </w:t>
      </w:r>
    </w:p>
    <w:p w:rsidR="00291E21" w:rsidRDefault="00291E21" w:rsidP="00291E21">
      <w:pPr>
        <w:pStyle w:val="NormalParagraph"/>
        <w:tabs>
          <w:tab w:val="clear" w:pos="786"/>
          <w:tab w:val="num" w:pos="567"/>
        </w:tabs>
        <w:ind w:left="567" w:hanging="567"/>
      </w:pPr>
      <w:r>
        <w:t>The ACCC considered the appropriate product markets for considering the supply of pipe and tube inp</w:t>
      </w:r>
      <w:r w:rsidR="00686C6D">
        <w:t>uts</w:t>
      </w:r>
      <w:r w:rsidR="007F3CC7">
        <w:t xml:space="preserve"> to be separate markets for each of</w:t>
      </w:r>
      <w:r w:rsidR="00525C16">
        <w:t xml:space="preserve"> HRC, CRC and galvanised coil</w:t>
      </w:r>
      <w:r w:rsidR="007F3CC7">
        <w:t>,</w:t>
      </w:r>
      <w:r w:rsidR="00525C16">
        <w:t xml:space="preserve"> being </w:t>
      </w:r>
      <w:r>
        <w:t xml:space="preserve">the three main flat steel products utilised by Australian pipe and tube manufacturers. </w:t>
      </w:r>
      <w:r w:rsidR="00525C16">
        <w:t>HRC constitutes</w:t>
      </w:r>
      <w:r>
        <w:t xml:space="preserve"> a significant proportion of the overall pipe and tube inputs utilised by manufacturers. </w:t>
      </w:r>
    </w:p>
    <w:p w:rsidR="00E2248A" w:rsidRDefault="00E2248A" w:rsidP="007F74FF">
      <w:pPr>
        <w:pStyle w:val="NormalParagraph"/>
        <w:tabs>
          <w:tab w:val="clear" w:pos="786"/>
          <w:tab w:val="num" w:pos="567"/>
        </w:tabs>
        <w:ind w:left="567" w:hanging="567"/>
      </w:pPr>
      <w:r>
        <w:t xml:space="preserve">The ACCC </w:t>
      </w:r>
      <w:r w:rsidR="00106017">
        <w:t xml:space="preserve">recognised </w:t>
      </w:r>
      <w:r>
        <w:t>that pipe and tube manufacturers require specific differentiated pipe and tube inputs. This differentiation is based on chemical properties</w:t>
      </w:r>
      <w:r w:rsidR="008A700B">
        <w:t xml:space="preserve"> and other factors</w:t>
      </w:r>
      <w:r>
        <w:t xml:space="preserve"> which result in specific mechanical properties or grades. Due to custome</w:t>
      </w:r>
      <w:r w:rsidR="007D0239">
        <w:t>r requirements for specific end-</w:t>
      </w:r>
      <w:r>
        <w:t>use pipe and tube products</w:t>
      </w:r>
      <w:r w:rsidR="00227218">
        <w:t>,</w:t>
      </w:r>
      <w:r>
        <w:t xml:space="preserve"> manufacturers would not substitute between</w:t>
      </w:r>
      <w:r w:rsidR="00F91BC9">
        <w:t xml:space="preserve"> different types of input (for example, </w:t>
      </w:r>
      <w:r>
        <w:t xml:space="preserve">HRC and galvanised coil) and grades and dimensions of coil. </w:t>
      </w:r>
    </w:p>
    <w:p w:rsidR="003F7F84" w:rsidRDefault="007629FF" w:rsidP="00B47DC1">
      <w:pPr>
        <w:pStyle w:val="NormalParagraph"/>
        <w:tabs>
          <w:tab w:val="clear" w:pos="786"/>
        </w:tabs>
        <w:ind w:left="567" w:hanging="567"/>
      </w:pPr>
      <w:r>
        <w:t>T</w:t>
      </w:r>
      <w:r w:rsidR="00D11356">
        <w:t>he ACCC</w:t>
      </w:r>
      <w:r w:rsidR="00E2248A">
        <w:t xml:space="preserve"> </w:t>
      </w:r>
      <w:r w:rsidR="00B60983">
        <w:t xml:space="preserve">understands </w:t>
      </w:r>
      <w:r w:rsidR="00E2248A">
        <w:t>that</w:t>
      </w:r>
      <w:r>
        <w:t xml:space="preserve"> overseas</w:t>
      </w:r>
      <w:r w:rsidR="00E2248A">
        <w:t xml:space="preserve"> manufacturers of pipe and tube inputs </w:t>
      </w:r>
      <w:r>
        <w:t xml:space="preserve">typically </w:t>
      </w:r>
      <w:r w:rsidR="00E2248A">
        <w:t xml:space="preserve">supply a large range of </w:t>
      </w:r>
      <w:r>
        <w:t xml:space="preserve">HRC, CRC and galvanised </w:t>
      </w:r>
      <w:r w:rsidR="00263219">
        <w:t xml:space="preserve">coil </w:t>
      </w:r>
      <w:r w:rsidR="00E2248A">
        <w:t>inputs in the specific grades and dimensions required by Australian pipe and tube manufacturers.</w:t>
      </w:r>
      <w:r w:rsidR="00B47DC1">
        <w:t xml:space="preserve"> </w:t>
      </w:r>
      <w:r w:rsidR="00E2248A">
        <w:t xml:space="preserve"> Information provided by market participants and other publicly available information, such as </w:t>
      </w:r>
      <w:r w:rsidR="00B60983">
        <w:t xml:space="preserve">decisions by the </w:t>
      </w:r>
      <w:r w:rsidR="00E2248A">
        <w:t>Anti-Dumping Commission</w:t>
      </w:r>
      <w:r w:rsidR="00AE16E8">
        <w:t xml:space="preserve"> (</w:t>
      </w:r>
      <w:r w:rsidR="00AE16E8" w:rsidRPr="007F74FF">
        <w:rPr>
          <w:b/>
        </w:rPr>
        <w:t>ADC</w:t>
      </w:r>
      <w:r w:rsidR="00AE16E8">
        <w:t>)</w:t>
      </w:r>
      <w:r w:rsidR="00525C16">
        <w:t>, indicated</w:t>
      </w:r>
      <w:r w:rsidR="00E2248A">
        <w:t xml:space="preserve"> that steel and tube inputs are manufactured overseas to the same or similar </w:t>
      </w:r>
      <w:r w:rsidR="00E2248A" w:rsidRPr="003F7F84">
        <w:t xml:space="preserve">grades and dimensions as </w:t>
      </w:r>
      <w:r w:rsidR="00B60983" w:rsidRPr="003F7F84">
        <w:t xml:space="preserve">supplied </w:t>
      </w:r>
      <w:r w:rsidR="00E2248A" w:rsidRPr="003F7F84">
        <w:t xml:space="preserve">by BlueScope CIPA. </w:t>
      </w:r>
      <w:r w:rsidR="00D32C72">
        <w:t xml:space="preserve">The ACCC considered that these overseas-manufactured pipe and tube inputs are substitutable with those manufactured by BlueScope CIPA. </w:t>
      </w:r>
      <w:r w:rsidR="00E2248A" w:rsidRPr="003F7F84">
        <w:t xml:space="preserve"> </w:t>
      </w:r>
    </w:p>
    <w:p w:rsidR="00512DAA" w:rsidRPr="00B47DC1" w:rsidRDefault="00512DAA" w:rsidP="004138E7">
      <w:pPr>
        <w:pStyle w:val="NormalParagraph"/>
        <w:tabs>
          <w:tab w:val="clear" w:pos="786"/>
        </w:tabs>
        <w:spacing w:after="480"/>
        <w:ind w:left="567" w:hanging="567"/>
      </w:pPr>
      <w:r w:rsidRPr="003F7F84">
        <w:t>For the purpos</w:t>
      </w:r>
      <w:r>
        <w:t xml:space="preserve">e of its competition analysis, the ACCC assessed the proposed acquisition in the context of separate markets for each of HRC, CRC, and galvanised coil. However the ACCC did not consider </w:t>
      </w:r>
      <w:r w:rsidR="00D32C72">
        <w:t xml:space="preserve">product </w:t>
      </w:r>
      <w:r>
        <w:t>market definition to be determinative of its assessment of the proposed acquisition.</w:t>
      </w:r>
    </w:p>
    <w:p w:rsidR="00E2248A" w:rsidRPr="000771B3" w:rsidRDefault="00E2248A" w:rsidP="000E2F7C">
      <w:pPr>
        <w:pStyle w:val="Heading5"/>
      </w:pPr>
      <w:r w:rsidRPr="000771B3">
        <w:lastRenderedPageBreak/>
        <w:t>Geographic dimension</w:t>
      </w:r>
    </w:p>
    <w:p w:rsidR="00E2248A" w:rsidRPr="00B46813" w:rsidRDefault="00DC4874" w:rsidP="000D0BC0">
      <w:pPr>
        <w:pStyle w:val="NormalParagraph"/>
        <w:tabs>
          <w:tab w:val="clear" w:pos="786"/>
          <w:tab w:val="num" w:pos="567"/>
        </w:tabs>
        <w:ind w:left="567" w:hanging="567"/>
      </w:pPr>
      <w:r>
        <w:t>The ACCC considered that</w:t>
      </w:r>
      <w:r w:rsidR="00E2248A">
        <w:t xml:space="preserve"> the g</w:t>
      </w:r>
      <w:r>
        <w:t>eographic scope of the market</w:t>
      </w:r>
      <w:r w:rsidR="007F3CC7">
        <w:t>s</w:t>
      </w:r>
      <w:r>
        <w:t xml:space="preserve"> </w:t>
      </w:r>
      <w:r w:rsidR="00B60983">
        <w:t xml:space="preserve">is </w:t>
      </w:r>
      <w:r w:rsidR="00E2248A">
        <w:t>national. Blue</w:t>
      </w:r>
      <w:r w:rsidR="00971B75">
        <w:t xml:space="preserve">Scope CIPA and other suppliers, </w:t>
      </w:r>
      <w:r w:rsidR="00E2248A">
        <w:t xml:space="preserve">such as import traders and overseas steel mills, supply to pipe and tube manufacturers and other users across Australia. </w:t>
      </w:r>
    </w:p>
    <w:p w:rsidR="00E2248A" w:rsidRPr="000771B3" w:rsidRDefault="00E2248A" w:rsidP="000E2F7C">
      <w:pPr>
        <w:pStyle w:val="Heading4"/>
      </w:pPr>
      <w:r w:rsidRPr="000771B3">
        <w:t xml:space="preserve">Supply of structural pipe and tube products </w:t>
      </w:r>
    </w:p>
    <w:p w:rsidR="00E2248A" w:rsidRPr="00222B21" w:rsidRDefault="00E2248A" w:rsidP="00113EA0">
      <w:pPr>
        <w:pStyle w:val="Heading5"/>
      </w:pPr>
      <w:r w:rsidRPr="00222B21">
        <w:t>Product dimension</w:t>
      </w:r>
    </w:p>
    <w:p w:rsidR="00E2248A" w:rsidRDefault="00E2248A" w:rsidP="000D0BC0">
      <w:pPr>
        <w:pStyle w:val="NormalParagraph"/>
        <w:tabs>
          <w:tab w:val="clear" w:pos="786"/>
          <w:tab w:val="num" w:pos="567"/>
        </w:tabs>
        <w:ind w:left="567" w:hanging="567"/>
      </w:pPr>
      <w:r>
        <w:t>The steel industry generally classifies steel and tube products into the following four categories: structural pipe and tube; precision p</w:t>
      </w:r>
      <w:r w:rsidR="00C562D6">
        <w:t>ipe and tube;</w:t>
      </w:r>
      <w:r>
        <w:t xml:space="preserve"> water pipe</w:t>
      </w:r>
      <w:r w:rsidR="00C562D6">
        <w:t>;</w:t>
      </w:r>
      <w:r>
        <w:t xml:space="preserve"> and oil a</w:t>
      </w:r>
      <w:r w:rsidR="00DC4874">
        <w:t xml:space="preserve">nd gas pipes. The ACCC’s view </w:t>
      </w:r>
      <w:r w:rsidR="00B60983">
        <w:t xml:space="preserve">is </w:t>
      </w:r>
      <w:r>
        <w:t xml:space="preserve">that only the </w:t>
      </w:r>
      <w:r w:rsidR="00AE16E8">
        <w:t xml:space="preserve">supply of structural pipe and tube products </w:t>
      </w:r>
      <w:r w:rsidR="00B60983">
        <w:t xml:space="preserve">is </w:t>
      </w:r>
      <w:r>
        <w:t xml:space="preserve">relevant to the proposed acquisition. </w:t>
      </w:r>
    </w:p>
    <w:p w:rsidR="00E2248A" w:rsidRDefault="00E2248A" w:rsidP="000D0BC0">
      <w:pPr>
        <w:pStyle w:val="NormalParagraph"/>
        <w:tabs>
          <w:tab w:val="clear" w:pos="786"/>
          <w:tab w:val="num" w:pos="567"/>
        </w:tabs>
        <w:ind w:left="567" w:hanging="567"/>
      </w:pPr>
      <w:r>
        <w:t xml:space="preserve">Oil and gas pipe products are not manufactured in Australia. Water pipe and tube products are only manufactured by Pentair and it is not possible to manufacture structural or precision pipe and tube products </w:t>
      </w:r>
      <w:r w:rsidR="00714788">
        <w:t xml:space="preserve">using </w:t>
      </w:r>
      <w:r>
        <w:t xml:space="preserve">water pipe and tube machinery. </w:t>
      </w:r>
    </w:p>
    <w:p w:rsidR="00E2248A" w:rsidRDefault="00E2248A" w:rsidP="000D0BC0">
      <w:pPr>
        <w:pStyle w:val="NormalParagraph"/>
        <w:tabs>
          <w:tab w:val="clear" w:pos="786"/>
          <w:tab w:val="num" w:pos="567"/>
        </w:tabs>
        <w:ind w:left="567" w:hanging="567"/>
      </w:pPr>
      <w:r>
        <w:t xml:space="preserve">Orrcon </w:t>
      </w:r>
      <w:r w:rsidR="00525C16">
        <w:t>wa</w:t>
      </w:r>
      <w:r w:rsidR="00B60983">
        <w:t xml:space="preserve">s </w:t>
      </w:r>
      <w:r>
        <w:t>the only manufacturer of precision pipe and tube products</w:t>
      </w:r>
      <w:r w:rsidR="00B60983">
        <w:t xml:space="preserve"> and </w:t>
      </w:r>
      <w:r w:rsidR="00856648">
        <w:t>manufacture</w:t>
      </w:r>
      <w:r w:rsidR="00525C16">
        <w:t>d</w:t>
      </w:r>
      <w:r w:rsidR="00856648">
        <w:t xml:space="preserve"> </w:t>
      </w:r>
      <w:r>
        <w:t xml:space="preserve">relatively small volumes of </w:t>
      </w:r>
      <w:r w:rsidR="00B60983">
        <w:t>these</w:t>
      </w:r>
      <w:r>
        <w:t xml:space="preserve"> products. Due to the</w:t>
      </w:r>
      <w:r w:rsidR="00525C16">
        <w:t>ir</w:t>
      </w:r>
      <w:r>
        <w:t xml:space="preserve"> smaller diameters and thinner walls</w:t>
      </w:r>
      <w:r w:rsidR="00525C16">
        <w:t>,</w:t>
      </w:r>
      <w:r>
        <w:t xml:space="preserve"> precision pipe and tube products are not substitutable with structural pipe and tube products from a customer perspective. Market feedback also </w:t>
      </w:r>
      <w:r w:rsidR="00856648">
        <w:t xml:space="preserve">indicated </w:t>
      </w:r>
      <w:r>
        <w:t xml:space="preserve">that precision pipe and tube products are imported in significant volumes. No market participants raised concerns in respect of the potential impact </w:t>
      </w:r>
      <w:r w:rsidR="00856648">
        <w:t xml:space="preserve">of the proposed acquisition </w:t>
      </w:r>
      <w:r>
        <w:t xml:space="preserve">on the supply of precision pipe and tube products. </w:t>
      </w:r>
    </w:p>
    <w:p w:rsidR="00E2248A" w:rsidRDefault="00E2248A" w:rsidP="000D0BC0">
      <w:pPr>
        <w:pStyle w:val="NormalParagraph"/>
        <w:tabs>
          <w:tab w:val="clear" w:pos="786"/>
          <w:tab w:val="num" w:pos="567"/>
        </w:tabs>
        <w:ind w:left="567" w:hanging="567"/>
      </w:pPr>
      <w:r>
        <w:t>Structural pipe and tube suppliers, such as Orrcon, offer a wide range of structural pipe and tube products intended for numerous end</w:t>
      </w:r>
      <w:r w:rsidR="00525C16">
        <w:t>-</w:t>
      </w:r>
      <w:r>
        <w:t>use applications. Broadly these products are differentiated by whether they are square hollow, circular hollow, or rectangular hollow</w:t>
      </w:r>
      <w:r w:rsidR="00525C16">
        <w:t>,</w:t>
      </w:r>
      <w:r>
        <w:t xml:space="preserve"> and the coating or finish on the product. Within each category a supplier would offer a wide range of gauges and diameters to suit the specifications of customers</w:t>
      </w:r>
      <w:r w:rsidR="00856648">
        <w:t>. P</w:t>
      </w:r>
      <w:r>
        <w:t>roducts are</w:t>
      </w:r>
      <w:r w:rsidR="00856648">
        <w:t xml:space="preserve"> often</w:t>
      </w:r>
      <w:r>
        <w:t xml:space="preserve"> supplied by reference to relevant Australian Standards. The ACCC understands that generally customers would not consider one form of structural pipe and tube product </w:t>
      </w:r>
      <w:r w:rsidR="00714788">
        <w:t xml:space="preserve">to be a close </w:t>
      </w:r>
      <w:r>
        <w:t>substitu</w:t>
      </w:r>
      <w:r w:rsidR="00714788">
        <w:t>te</w:t>
      </w:r>
      <w:r>
        <w:t xml:space="preserve"> with another due to their specific end</w:t>
      </w:r>
      <w:r w:rsidR="00525C16">
        <w:t>-</w:t>
      </w:r>
      <w:r>
        <w:t xml:space="preserve">use requirements.  </w:t>
      </w:r>
    </w:p>
    <w:p w:rsidR="003A3903" w:rsidRDefault="00E2248A" w:rsidP="00515371">
      <w:pPr>
        <w:pStyle w:val="NormalParagraph"/>
        <w:tabs>
          <w:tab w:val="clear" w:pos="786"/>
          <w:tab w:val="num" w:pos="567"/>
        </w:tabs>
        <w:ind w:left="567" w:hanging="567"/>
      </w:pPr>
      <w:r>
        <w:t xml:space="preserve">Structural pipe and tube suppliers, including manufacturers, are able to supply a wide range of structural pipe and tube products without the requirement for </w:t>
      </w:r>
      <w:r w:rsidR="00B60983">
        <w:t xml:space="preserve">additional or </w:t>
      </w:r>
      <w:r>
        <w:t>specialty machinery. Manufacturing equipment can be adjusted to produce structural pipe and tube products in various shapes and measuremen</w:t>
      </w:r>
      <w:r w:rsidR="007F74FF">
        <w:t>ts.</w:t>
      </w:r>
    </w:p>
    <w:p w:rsidR="007F74FF" w:rsidRDefault="003A3903" w:rsidP="00515371">
      <w:pPr>
        <w:pStyle w:val="NormalParagraph"/>
        <w:tabs>
          <w:tab w:val="clear" w:pos="786"/>
          <w:tab w:val="num" w:pos="567"/>
        </w:tabs>
        <w:ind w:left="567" w:hanging="567"/>
      </w:pPr>
      <w:r>
        <w:t>Based on the ease of supply side substitution, the ACCC formed the view that the appropriate product dimension is the supply of structural pipe and tube products. Market inquiries indicate that imports of structural pipe and tube products are substitutable with Australian manufactured structural pipe and tube products.</w:t>
      </w:r>
    </w:p>
    <w:p w:rsidR="000566AB" w:rsidRDefault="007A5CA5" w:rsidP="00113EA0">
      <w:pPr>
        <w:pStyle w:val="Heading5"/>
      </w:pPr>
      <w:r>
        <w:t>Geographic</w:t>
      </w:r>
      <w:r w:rsidR="00E2248A">
        <w:t xml:space="preserve"> </w:t>
      </w:r>
      <w:r w:rsidR="00E2248A" w:rsidRPr="00270E57">
        <w:t>dimension</w:t>
      </w:r>
    </w:p>
    <w:p w:rsidR="00BF5B39" w:rsidRPr="00BF5B39" w:rsidRDefault="00DC4874" w:rsidP="004138E7">
      <w:pPr>
        <w:pStyle w:val="NormalParagraph"/>
        <w:tabs>
          <w:tab w:val="clear" w:pos="786"/>
          <w:tab w:val="num" w:pos="567"/>
        </w:tabs>
        <w:spacing w:after="480"/>
        <w:ind w:left="567" w:hanging="567"/>
      </w:pPr>
      <w:r>
        <w:t>The ACCC considered that</w:t>
      </w:r>
      <w:r w:rsidR="00E2248A">
        <w:t xml:space="preserve"> the </w:t>
      </w:r>
      <w:r w:rsidR="000566AB">
        <w:t>geographic scope of the market wa</w:t>
      </w:r>
      <w:r w:rsidR="00E2248A">
        <w:t xml:space="preserve">s national. Orrcon, ATM and other suppliers, such as import traders and overseas steel mills, supply structural pipe and tube products </w:t>
      </w:r>
      <w:r w:rsidR="00942A7C">
        <w:t xml:space="preserve">to </w:t>
      </w:r>
      <w:r w:rsidR="00E2248A">
        <w:t xml:space="preserve">users across Australia. </w:t>
      </w:r>
    </w:p>
    <w:p w:rsidR="00E2248A" w:rsidRPr="000771B3" w:rsidRDefault="00E2248A" w:rsidP="00113EA0">
      <w:pPr>
        <w:pStyle w:val="Heading4"/>
      </w:pPr>
      <w:r w:rsidRPr="000771B3">
        <w:lastRenderedPageBreak/>
        <w:t xml:space="preserve">Distribution of steel and tube products </w:t>
      </w:r>
    </w:p>
    <w:p w:rsidR="00E2248A" w:rsidRPr="00222B21" w:rsidRDefault="00E2248A" w:rsidP="000E2F7C">
      <w:pPr>
        <w:pStyle w:val="Heading5"/>
      </w:pPr>
      <w:r w:rsidRPr="00222B21">
        <w:t>Product dimension</w:t>
      </w:r>
    </w:p>
    <w:p w:rsidR="00E2248A" w:rsidRDefault="00E2248A" w:rsidP="000D0BC0">
      <w:pPr>
        <w:pStyle w:val="NormalParagraph"/>
        <w:tabs>
          <w:tab w:val="clear" w:pos="786"/>
          <w:tab w:val="num" w:pos="567"/>
        </w:tabs>
        <w:ind w:left="567" w:hanging="567"/>
      </w:pPr>
      <w:r>
        <w:t>Steel and tube distributors supply a range of long steel products, including structural pipe and tube products, merchant bar, reinforcing steels and steel plate. Distributors also</w:t>
      </w:r>
      <w:r w:rsidR="00DC4874">
        <w:t xml:space="preserve"> offer processing services (for example, cutting) to provide</w:t>
      </w:r>
      <w:r>
        <w:t xml:space="preserve"> steel products to the specifications of the customer. Customers have </w:t>
      </w:r>
      <w:r w:rsidR="00B60983">
        <w:t xml:space="preserve">no incentive </w:t>
      </w:r>
      <w:r>
        <w:t>to substitute between the different products offered by distributors due to specific end</w:t>
      </w:r>
      <w:r w:rsidR="000566AB">
        <w:t>-</w:t>
      </w:r>
      <w:r>
        <w:t xml:space="preserve">use requirements. </w:t>
      </w:r>
    </w:p>
    <w:p w:rsidR="00E2248A" w:rsidRDefault="000566AB" w:rsidP="000D0BC0">
      <w:pPr>
        <w:pStyle w:val="NormalParagraph"/>
        <w:tabs>
          <w:tab w:val="clear" w:pos="786"/>
          <w:tab w:val="num" w:pos="567"/>
        </w:tabs>
        <w:ind w:left="567" w:hanging="567"/>
      </w:pPr>
      <w:r>
        <w:t>T</w:t>
      </w:r>
      <w:r w:rsidR="00E2248A">
        <w:t xml:space="preserve">o the extent that distributors do not offer certain steel and tube products, it appears they can readily expand utilising established warehousing and processing equipment to offer a wider range. </w:t>
      </w:r>
      <w:r>
        <w:t>T</w:t>
      </w:r>
      <w:r w:rsidR="00E2248A">
        <w:t xml:space="preserve">he ACCC’s </w:t>
      </w:r>
      <w:r w:rsidR="00DC4874">
        <w:t xml:space="preserve">view was </w:t>
      </w:r>
      <w:r>
        <w:t xml:space="preserve">therefore </w:t>
      </w:r>
      <w:r w:rsidR="00DC4874">
        <w:t>that the relevant market was</w:t>
      </w:r>
      <w:r w:rsidR="00E2248A">
        <w:t xml:space="preserve"> the </w:t>
      </w:r>
      <w:r w:rsidR="00B20284">
        <w:t xml:space="preserve">market for </w:t>
      </w:r>
      <w:r w:rsidR="00E2248A">
        <w:t xml:space="preserve">distribution of steel and tube products. </w:t>
      </w:r>
    </w:p>
    <w:p w:rsidR="000D0BC0" w:rsidRDefault="00E2248A" w:rsidP="00D17B8C">
      <w:pPr>
        <w:pStyle w:val="NormalParagraph"/>
        <w:tabs>
          <w:tab w:val="clear" w:pos="786"/>
          <w:tab w:val="num" w:pos="567"/>
        </w:tabs>
        <w:ind w:left="567" w:hanging="567"/>
      </w:pPr>
      <w:r w:rsidRPr="00B844F9">
        <w:t xml:space="preserve">As noted above, distributors also offer a range </w:t>
      </w:r>
      <w:r w:rsidR="00714788" w:rsidRPr="00B844F9">
        <w:t xml:space="preserve">of </w:t>
      </w:r>
      <w:r w:rsidR="007D0239">
        <w:t>processing services to tailor</w:t>
      </w:r>
      <w:r w:rsidRPr="00B844F9">
        <w:t xml:space="preserve"> steel product to specific customer requirements. Processing services include length cutting, plate profiling and beam processing. The ACCC </w:t>
      </w:r>
      <w:r w:rsidR="003D594F">
        <w:t>considered the</w:t>
      </w:r>
      <w:r w:rsidRPr="00B844F9">
        <w:t xml:space="preserve"> </w:t>
      </w:r>
      <w:r w:rsidR="003D594F">
        <w:t xml:space="preserve">ease with which </w:t>
      </w:r>
      <w:r w:rsidR="00856648">
        <w:t>steel and tube distributors without processing capa</w:t>
      </w:r>
      <w:r w:rsidR="003D594F">
        <w:t xml:space="preserve">bility could acquire processing equipment and thereby expand to offer </w:t>
      </w:r>
      <w:r w:rsidR="00856648">
        <w:t xml:space="preserve">processing services. </w:t>
      </w:r>
      <w:r w:rsidR="000D5EE5">
        <w:t>The ACCC concluded that</w:t>
      </w:r>
      <w:r w:rsidR="003D594F">
        <w:t xml:space="preserve"> </w:t>
      </w:r>
      <w:r w:rsidR="00B844F9">
        <w:t xml:space="preserve">the </w:t>
      </w:r>
      <w:r w:rsidR="00AE16E8">
        <w:t xml:space="preserve">investment </w:t>
      </w:r>
      <w:r w:rsidR="00B844F9">
        <w:t xml:space="preserve">and time required to commence </w:t>
      </w:r>
      <w:r w:rsidR="00AE16E8">
        <w:t>the</w:t>
      </w:r>
      <w:r w:rsidR="00B844F9">
        <w:t xml:space="preserve"> processing </w:t>
      </w:r>
      <w:r w:rsidR="00AE16E8">
        <w:t xml:space="preserve">of steel and tube products </w:t>
      </w:r>
      <w:r w:rsidR="003D594F">
        <w:t xml:space="preserve">was </w:t>
      </w:r>
      <w:r w:rsidR="00B844F9">
        <w:t xml:space="preserve">not substantial. </w:t>
      </w:r>
    </w:p>
    <w:p w:rsidR="00E2248A" w:rsidRPr="000771B3" w:rsidRDefault="00E2248A" w:rsidP="00113EA0">
      <w:pPr>
        <w:pStyle w:val="Heading5"/>
      </w:pPr>
      <w:r w:rsidRPr="000771B3">
        <w:t>Geographic dimension</w:t>
      </w:r>
    </w:p>
    <w:p w:rsidR="00E2248A" w:rsidRDefault="00B20284" w:rsidP="000D0BC0">
      <w:pPr>
        <w:pStyle w:val="NormalParagraph"/>
        <w:tabs>
          <w:tab w:val="clear" w:pos="786"/>
          <w:tab w:val="num" w:pos="567"/>
        </w:tabs>
        <w:ind w:left="567" w:hanging="567"/>
      </w:pPr>
      <w:r>
        <w:t>Market feedback indicated</w:t>
      </w:r>
      <w:r w:rsidR="00E2248A">
        <w:t xml:space="preserve"> that</w:t>
      </w:r>
      <w:r w:rsidR="00C562D6">
        <w:t>,</w:t>
      </w:r>
      <w:r w:rsidR="00E2248A">
        <w:t xml:space="preserve"> due to customers’ </w:t>
      </w:r>
      <w:r w:rsidR="00AE16E8">
        <w:t>‘</w:t>
      </w:r>
      <w:r w:rsidR="00E2248A">
        <w:t>just in time</w:t>
      </w:r>
      <w:r w:rsidR="00AE16E8">
        <w:t xml:space="preserve">’ </w:t>
      </w:r>
      <w:r w:rsidR="00E2248A">
        <w:t>delivery requirements and the cost associated with transporti</w:t>
      </w:r>
      <w:r w:rsidR="00C562D6">
        <w:t xml:space="preserve">ng steel and tube products, </w:t>
      </w:r>
      <w:r w:rsidR="00E2248A">
        <w:t xml:space="preserve">steel and tube distributors are generally located within 2 – 3 </w:t>
      </w:r>
      <w:proofErr w:type="spellStart"/>
      <w:r w:rsidR="00E2248A">
        <w:t>hours</w:t>
      </w:r>
      <w:proofErr w:type="spellEnd"/>
      <w:r w:rsidR="00E2248A">
        <w:t xml:space="preserve"> drive of customers. As a</w:t>
      </w:r>
      <w:r>
        <w:t xml:space="preserve"> consequence, the ACCC considered</w:t>
      </w:r>
      <w:r w:rsidR="00E2248A">
        <w:t xml:space="preserve"> that the markets for steel and tube distribution are </w:t>
      </w:r>
      <w:r w:rsidR="00C35F56">
        <w:t>regionally based</w:t>
      </w:r>
      <w:r w:rsidR="00E2248A">
        <w:t xml:space="preserve">. As noted above in the </w:t>
      </w:r>
      <w:r w:rsidR="00E2248A" w:rsidRPr="00464104">
        <w:rPr>
          <w:b/>
        </w:rPr>
        <w:t>Areas of Overlap</w:t>
      </w:r>
      <w:r w:rsidR="00E2248A">
        <w:t xml:space="preserve"> section</w:t>
      </w:r>
      <w:r w:rsidR="00464104">
        <w:t>,</w:t>
      </w:r>
      <w:r w:rsidR="00E2248A">
        <w:t xml:space="preserve"> BlueScope and Orrcon overlap</w:t>
      </w:r>
      <w:r w:rsidR="003D594F">
        <w:t>ped</w:t>
      </w:r>
      <w:r w:rsidR="00D17B8C">
        <w:t xml:space="preserve"> in five</w:t>
      </w:r>
      <w:r w:rsidR="00E2248A">
        <w:t xml:space="preserve"> </w:t>
      </w:r>
      <w:r w:rsidR="00464104">
        <w:t>geographical</w:t>
      </w:r>
      <w:r>
        <w:t xml:space="preserve"> </w:t>
      </w:r>
      <w:r w:rsidR="00E2248A">
        <w:t xml:space="preserve">areas. The ACCC’s </w:t>
      </w:r>
      <w:r>
        <w:t>view was</w:t>
      </w:r>
      <w:r w:rsidR="00E2248A">
        <w:t xml:space="preserve"> that these regions constitute</w:t>
      </w:r>
      <w:r w:rsidR="00AE16E8">
        <w:t>d</w:t>
      </w:r>
      <w:r w:rsidR="00E2248A">
        <w:t xml:space="preserve"> relevant geographic markets for considering the proposed acquisition. </w:t>
      </w:r>
    </w:p>
    <w:p w:rsidR="008B33C2" w:rsidRDefault="00B20284" w:rsidP="00E83B00">
      <w:pPr>
        <w:pStyle w:val="NormalParagraph"/>
        <w:tabs>
          <w:tab w:val="clear" w:pos="786"/>
          <w:tab w:val="num" w:pos="567"/>
        </w:tabs>
        <w:ind w:left="567" w:hanging="567"/>
        <w:rPr>
          <w:rFonts w:cs="Arial"/>
          <w:b/>
          <w:sz w:val="30"/>
          <w:szCs w:val="30"/>
        </w:rPr>
      </w:pPr>
      <w:r>
        <w:t>The ACCC also considered that Tasmania wa</w:t>
      </w:r>
      <w:r w:rsidR="00E2248A">
        <w:t>s likely to be a relevant geographic market due to the p</w:t>
      </w:r>
      <w:r>
        <w:t xml:space="preserve">otential </w:t>
      </w:r>
      <w:r w:rsidR="00E2248A">
        <w:t xml:space="preserve">for </w:t>
      </w:r>
      <w:r w:rsidR="00313044">
        <w:t xml:space="preserve">Tasmanian </w:t>
      </w:r>
      <w:r w:rsidR="00E2248A">
        <w:t xml:space="preserve">distributors to be </w:t>
      </w:r>
      <w:r w:rsidR="00313044">
        <w:t>impacted by the proposed acquisition</w:t>
      </w:r>
      <w:r w:rsidR="00E2248A">
        <w:t>. Market inquiries indicate</w:t>
      </w:r>
      <w:r>
        <w:t>d</w:t>
      </w:r>
      <w:r w:rsidR="00E2248A">
        <w:t xml:space="preserve"> that steel and tube distributors based in Victoria distribute products in Tasmania </w:t>
      </w:r>
      <w:r w:rsidR="00B60983">
        <w:t xml:space="preserve">only </w:t>
      </w:r>
      <w:r w:rsidR="00E2248A">
        <w:t>to a limited extent.</w:t>
      </w:r>
    </w:p>
    <w:p w:rsidR="00194E49" w:rsidRPr="008F4AEC" w:rsidRDefault="008F4AEC" w:rsidP="000E2F7C">
      <w:pPr>
        <w:pStyle w:val="Heading3"/>
      </w:pPr>
      <w:r w:rsidRPr="008F4AEC">
        <w:t xml:space="preserve">Competition Assessment </w:t>
      </w:r>
    </w:p>
    <w:p w:rsidR="005F0CAA" w:rsidRDefault="00B60983" w:rsidP="000D0BC0">
      <w:pPr>
        <w:pStyle w:val="NormalParagraph"/>
        <w:tabs>
          <w:tab w:val="clear" w:pos="786"/>
          <w:tab w:val="num" w:pos="567"/>
        </w:tabs>
        <w:ind w:left="567" w:hanging="567"/>
      </w:pPr>
      <w:r>
        <w:t>T</w:t>
      </w:r>
      <w:r w:rsidR="00EA3F04">
        <w:t xml:space="preserve">he ACCC’s assessment focussed on </w:t>
      </w:r>
      <w:r w:rsidR="00664357">
        <w:t xml:space="preserve">whether BlueScope’s increased vertical integration </w:t>
      </w:r>
      <w:r w:rsidR="005F0CAA">
        <w:t xml:space="preserve">as a result of </w:t>
      </w:r>
      <w:r w:rsidR="00664357">
        <w:t xml:space="preserve">the proposed acquisition </w:t>
      </w:r>
      <w:r>
        <w:t xml:space="preserve">would </w:t>
      </w:r>
      <w:r w:rsidR="00D413B9">
        <w:t xml:space="preserve">provide it with the ability and incentive to </w:t>
      </w:r>
      <w:r w:rsidR="005F0CAA">
        <w:t>foreclose competition in the relevant markets</w:t>
      </w:r>
      <w:r w:rsidR="00D5456F">
        <w:t xml:space="preserve"> leading to higher prices or reduce</w:t>
      </w:r>
      <w:r w:rsidR="00AE16E8">
        <w:t>d</w:t>
      </w:r>
      <w:r w:rsidR="00D5456F">
        <w:t xml:space="preserve"> quality</w:t>
      </w:r>
      <w:r w:rsidR="005F0CAA">
        <w:t xml:space="preserve">.  </w:t>
      </w:r>
    </w:p>
    <w:p w:rsidR="00664357" w:rsidRDefault="00D5456F" w:rsidP="000D0BC0">
      <w:pPr>
        <w:pStyle w:val="NormalParagraph"/>
        <w:tabs>
          <w:tab w:val="clear" w:pos="786"/>
          <w:tab w:val="num" w:pos="567"/>
        </w:tabs>
        <w:ind w:left="567" w:hanging="567"/>
      </w:pPr>
      <w:r>
        <w:t>In particular, t</w:t>
      </w:r>
      <w:r w:rsidR="005F0CAA">
        <w:t xml:space="preserve">he ACCC considered whether </w:t>
      </w:r>
      <w:r w:rsidR="00883565">
        <w:t xml:space="preserve">the acquisition </w:t>
      </w:r>
      <w:r w:rsidR="00B60983">
        <w:t xml:space="preserve">would </w:t>
      </w:r>
      <w:r w:rsidR="00883565">
        <w:t>enable BlueS</w:t>
      </w:r>
      <w:r w:rsidR="005F0CAA">
        <w:t>cope to raise its rivals’ costs (input foreclosure) by</w:t>
      </w:r>
      <w:r w:rsidR="00D413B9">
        <w:t>:</w:t>
      </w:r>
    </w:p>
    <w:p w:rsidR="002034F4" w:rsidRDefault="002034F4" w:rsidP="00971251">
      <w:pPr>
        <w:pStyle w:val="ListParagraph"/>
        <w:numPr>
          <w:ilvl w:val="0"/>
          <w:numId w:val="34"/>
        </w:numPr>
        <w:tabs>
          <w:tab w:val="num" w:pos="567"/>
        </w:tabs>
        <w:ind w:left="1134" w:hanging="567"/>
      </w:pPr>
      <w:r>
        <w:t>no longer supplying, or supplying at higher prices or lower quality, pipe and tube inputs to riv</w:t>
      </w:r>
      <w:r w:rsidR="00820137">
        <w:t>al pipe and tube manufacturers</w:t>
      </w:r>
      <w:r w:rsidR="004138E7">
        <w:t>;</w:t>
      </w:r>
      <w:r w:rsidR="00820137">
        <w:t xml:space="preserve"> </w:t>
      </w:r>
      <w:r>
        <w:t>and/or</w:t>
      </w:r>
    </w:p>
    <w:p w:rsidR="00664357" w:rsidRDefault="007F1853" w:rsidP="00971251">
      <w:pPr>
        <w:pStyle w:val="ListParagraph"/>
        <w:numPr>
          <w:ilvl w:val="0"/>
          <w:numId w:val="34"/>
        </w:numPr>
        <w:tabs>
          <w:tab w:val="num" w:pos="567"/>
        </w:tabs>
        <w:ind w:left="1134" w:hanging="567"/>
      </w:pPr>
      <w:proofErr w:type="gramStart"/>
      <w:r>
        <w:t>n</w:t>
      </w:r>
      <w:r w:rsidR="00D5456F">
        <w:t>o</w:t>
      </w:r>
      <w:proofErr w:type="gramEnd"/>
      <w:r w:rsidR="00D5456F">
        <w:t xml:space="preserve"> longer selling to</w:t>
      </w:r>
      <w:r w:rsidR="00D413B9">
        <w:t xml:space="preserve">, </w:t>
      </w:r>
      <w:r w:rsidR="00D5456F">
        <w:t xml:space="preserve">or </w:t>
      </w:r>
      <w:r w:rsidR="00D413B9">
        <w:t>increasing the price or reducing the quality of structural pipe and tube products supplied to</w:t>
      </w:r>
      <w:r w:rsidR="00D5456F">
        <w:t>,</w:t>
      </w:r>
      <w:r w:rsidR="00D413B9">
        <w:t xml:space="preserve"> rival </w:t>
      </w:r>
      <w:r w:rsidR="002034F4">
        <w:t xml:space="preserve">steel and tube distributors. </w:t>
      </w:r>
    </w:p>
    <w:p w:rsidR="009D4445" w:rsidRDefault="005F0CAA" w:rsidP="009D4445">
      <w:pPr>
        <w:pStyle w:val="NormalParagraph"/>
        <w:tabs>
          <w:tab w:val="clear" w:pos="786"/>
          <w:tab w:val="num" w:pos="567"/>
        </w:tabs>
        <w:ind w:left="567" w:hanging="567"/>
      </w:pPr>
      <w:r>
        <w:lastRenderedPageBreak/>
        <w:t xml:space="preserve">The ACCC also considered whether the </w:t>
      </w:r>
      <w:r w:rsidR="00AE16E8">
        <w:t xml:space="preserve">proposed </w:t>
      </w:r>
      <w:r>
        <w:t xml:space="preserve">acquisition </w:t>
      </w:r>
      <w:r w:rsidR="00B60983">
        <w:t xml:space="preserve">would </w:t>
      </w:r>
      <w:r w:rsidR="002034F4">
        <w:t>enable BlueS</w:t>
      </w:r>
      <w:r>
        <w:t>cope to foreclose its upstream rivals’ access to customers (customer foreclosure)</w:t>
      </w:r>
      <w:r w:rsidR="003D594F">
        <w:t>,</w:t>
      </w:r>
      <w:r>
        <w:t xml:space="preserve"> thus reducing rivals’ expected revenues by:</w:t>
      </w:r>
    </w:p>
    <w:p w:rsidR="009D4445" w:rsidRDefault="00E80CBA" w:rsidP="00971251">
      <w:pPr>
        <w:pStyle w:val="ListParagraph"/>
        <w:numPr>
          <w:ilvl w:val="0"/>
          <w:numId w:val="34"/>
        </w:numPr>
        <w:tabs>
          <w:tab w:val="num" w:pos="567"/>
        </w:tabs>
        <w:ind w:left="1134" w:hanging="567"/>
      </w:pPr>
      <w:r>
        <w:t>c</w:t>
      </w:r>
      <w:r w:rsidR="00D413B9">
        <w:t>easing to source pipe and tube inputs from rival upstream suppliers</w:t>
      </w:r>
      <w:r w:rsidR="009D4445">
        <w:t>;</w:t>
      </w:r>
      <w:r>
        <w:t xml:space="preserve"> and/or </w:t>
      </w:r>
    </w:p>
    <w:p w:rsidR="00E80CBA" w:rsidRDefault="00E80CBA" w:rsidP="00971251">
      <w:pPr>
        <w:pStyle w:val="ListParagraph"/>
        <w:numPr>
          <w:ilvl w:val="0"/>
          <w:numId w:val="34"/>
        </w:numPr>
        <w:tabs>
          <w:tab w:val="num" w:pos="567"/>
        </w:tabs>
        <w:ind w:left="1134" w:hanging="567"/>
      </w:pPr>
      <w:proofErr w:type="gramStart"/>
      <w:r>
        <w:t>ceasing</w:t>
      </w:r>
      <w:proofErr w:type="gramEnd"/>
      <w:r>
        <w:t xml:space="preserve"> to distribute structural pipe and tube products manufactured by rival manufacturers. </w:t>
      </w:r>
    </w:p>
    <w:p w:rsidR="00EA3F04" w:rsidRDefault="00EE3F5E" w:rsidP="005F0CAA">
      <w:pPr>
        <w:pStyle w:val="NormalParagraph"/>
        <w:tabs>
          <w:tab w:val="clear" w:pos="786"/>
          <w:tab w:val="num" w:pos="567"/>
        </w:tabs>
        <w:ind w:left="567" w:hanging="567"/>
      </w:pPr>
      <w:r>
        <w:t xml:space="preserve">The ACCC also considered the potential competitive impact of horizontal aggregation of the BlueScope and Orrcon steel and tube distribution businesses in the relevant steel and tube distribution markets listed above. </w:t>
      </w:r>
    </w:p>
    <w:p w:rsidR="009156E7" w:rsidRPr="004A6053" w:rsidRDefault="007A5CA5" w:rsidP="00E83B00">
      <w:pPr>
        <w:pStyle w:val="Heading4"/>
      </w:pPr>
      <w:r w:rsidRPr="004A6053">
        <w:t>Foreclos</w:t>
      </w:r>
      <w:r>
        <w:t>ure of</w:t>
      </w:r>
      <w:r w:rsidRPr="004A6053">
        <w:t xml:space="preserve"> </w:t>
      </w:r>
      <w:r w:rsidR="00FB594E" w:rsidRPr="004A6053">
        <w:t xml:space="preserve">rival pipe and tube manufacturers’ access to pipe and tube inputs </w:t>
      </w:r>
    </w:p>
    <w:p w:rsidR="009417A2" w:rsidRDefault="00794865" w:rsidP="000D0BC0">
      <w:pPr>
        <w:pStyle w:val="NormalParagraph"/>
        <w:tabs>
          <w:tab w:val="clear" w:pos="786"/>
          <w:tab w:val="num" w:pos="567"/>
        </w:tabs>
        <w:ind w:left="567" w:hanging="567"/>
      </w:pPr>
      <w:r>
        <w:t>BlueScope is the only domestic manufacturer of the pipe and tube input</w:t>
      </w:r>
      <w:r w:rsidR="00B94BC0">
        <w:t>s supplied to ATM and ITM</w:t>
      </w:r>
      <w:r>
        <w:t xml:space="preserve">. </w:t>
      </w:r>
      <w:r w:rsidRPr="000D0BC0">
        <w:t xml:space="preserve">The acquisition of </w:t>
      </w:r>
      <w:r>
        <w:t xml:space="preserve">the </w:t>
      </w:r>
      <w:r w:rsidRPr="000D0BC0">
        <w:t xml:space="preserve">Orrcon pipe and tube manufacturing business </w:t>
      </w:r>
      <w:r w:rsidR="003D594F">
        <w:t>will mean that BlueScope will be</w:t>
      </w:r>
      <w:r w:rsidRPr="000D0BC0">
        <w:t xml:space="preserve"> both the main supplier of inputs to, and a competitor of, </w:t>
      </w:r>
      <w:r w:rsidR="00D35000">
        <w:t xml:space="preserve">the </w:t>
      </w:r>
      <w:r w:rsidRPr="000D0BC0">
        <w:t>other pipe and tube manufacturers.</w:t>
      </w:r>
      <w:r>
        <w:t xml:space="preserve">  </w:t>
      </w:r>
    </w:p>
    <w:p w:rsidR="00DB7F0D" w:rsidRDefault="00D35000" w:rsidP="000D0BC0">
      <w:pPr>
        <w:pStyle w:val="NormalParagraph"/>
        <w:tabs>
          <w:tab w:val="clear" w:pos="786"/>
          <w:tab w:val="num" w:pos="567"/>
        </w:tabs>
        <w:ind w:left="567" w:hanging="567"/>
      </w:pPr>
      <w:r>
        <w:t>As a consequence</w:t>
      </w:r>
      <w:r w:rsidR="00794865">
        <w:t>, t</w:t>
      </w:r>
      <w:r w:rsidR="002034F4">
        <w:t>he ACCC</w:t>
      </w:r>
      <w:r w:rsidR="0024013F">
        <w:t xml:space="preserve"> considered whether</w:t>
      </w:r>
      <w:r w:rsidR="00B56467">
        <w:t>,</w:t>
      </w:r>
      <w:r w:rsidR="0024013F">
        <w:t xml:space="preserve"> as a result of acquiring the Orrcon pipe and tube manufacturing assets, BlueScope would have </w:t>
      </w:r>
      <w:r w:rsidR="0024013F" w:rsidRPr="00EF77F0">
        <w:t xml:space="preserve">the ability </w:t>
      </w:r>
      <w:r w:rsidR="0024013F">
        <w:t xml:space="preserve">and incentive </w:t>
      </w:r>
      <w:r w:rsidR="0024013F" w:rsidRPr="00EF77F0">
        <w:t xml:space="preserve">to </w:t>
      </w:r>
      <w:r w:rsidR="0024013F">
        <w:t xml:space="preserve">use </w:t>
      </w:r>
      <w:r>
        <w:t xml:space="preserve">any </w:t>
      </w:r>
      <w:r w:rsidR="0024013F">
        <w:t xml:space="preserve">upstream </w:t>
      </w:r>
      <w:r w:rsidR="0024013F" w:rsidRPr="00EF77F0">
        <w:t xml:space="preserve">market power in the manufacture of </w:t>
      </w:r>
      <w:r w:rsidR="0024013F">
        <w:t xml:space="preserve">structural </w:t>
      </w:r>
      <w:r w:rsidR="0024013F" w:rsidRPr="00EF77F0">
        <w:t xml:space="preserve">pipe and tube </w:t>
      </w:r>
      <w:r w:rsidR="0024013F">
        <w:t xml:space="preserve">input </w:t>
      </w:r>
      <w:r w:rsidR="0024013F" w:rsidRPr="00EF77F0">
        <w:t xml:space="preserve">products to raise </w:t>
      </w:r>
      <w:r w:rsidR="0024013F">
        <w:t xml:space="preserve">downstream </w:t>
      </w:r>
      <w:r w:rsidR="0024013F" w:rsidRPr="00EF77F0">
        <w:t xml:space="preserve">rival </w:t>
      </w:r>
      <w:r w:rsidR="0024013F">
        <w:t>pipe and tube manufacturers’</w:t>
      </w:r>
      <w:r w:rsidR="0024013F" w:rsidRPr="00EF77F0">
        <w:t xml:space="preserve"> costs</w:t>
      </w:r>
      <w:r w:rsidR="00C7108B">
        <w:t xml:space="preserve">. </w:t>
      </w:r>
      <w:r w:rsidR="003D594F">
        <w:t>Post-acquisition, BlueScope</w:t>
      </w:r>
      <w:r w:rsidR="0024013F">
        <w:t xml:space="preserve"> may have the ability and incentive to foreclose the downstream manufacturing markets by, for example, ceasing to supply inputs to rival manufacturers, or raising the price or reducing the quality of inputs supplied. This may have the effect of reducing the competitive constraint that rival manufacturers place on the merged </w:t>
      </w:r>
      <w:r>
        <w:t>firm</w:t>
      </w:r>
      <w:r w:rsidR="0024013F">
        <w:t xml:space="preserve">, potentially resulting in a substantial lessening of competition in the market(s) for the </w:t>
      </w:r>
      <w:r w:rsidR="001F235D">
        <w:t xml:space="preserve">supply </w:t>
      </w:r>
      <w:r w:rsidR="0024013F">
        <w:t xml:space="preserve">of </w:t>
      </w:r>
      <w:r>
        <w:t xml:space="preserve">structural </w:t>
      </w:r>
      <w:r w:rsidR="0024013F">
        <w:t xml:space="preserve">steel and tube products, leading to higher </w:t>
      </w:r>
      <w:r w:rsidR="00E83B00">
        <w:t>prices and/or reduced quality.</w:t>
      </w:r>
    </w:p>
    <w:p w:rsidR="009156E7" w:rsidRDefault="00F06C6A" w:rsidP="000D0BC0">
      <w:pPr>
        <w:pStyle w:val="NormalParagraph"/>
        <w:tabs>
          <w:tab w:val="clear" w:pos="786"/>
          <w:tab w:val="num" w:pos="567"/>
        </w:tabs>
        <w:ind w:left="567" w:hanging="567"/>
      </w:pPr>
      <w:r w:rsidRPr="000D0BC0">
        <w:t xml:space="preserve">In assessing this </w:t>
      </w:r>
      <w:r w:rsidR="00DB7F0D" w:rsidRPr="000D0BC0">
        <w:t>potential competition concern</w:t>
      </w:r>
      <w:r w:rsidR="00B53755">
        <w:t>,</w:t>
      </w:r>
      <w:r w:rsidR="00DB7F0D" w:rsidRPr="000D0BC0">
        <w:t xml:space="preserve"> </w:t>
      </w:r>
      <w:r w:rsidRPr="000D0BC0">
        <w:t xml:space="preserve">the ACCC focussed on the role of imports in constraining any attempted </w:t>
      </w:r>
      <w:r w:rsidR="00794865">
        <w:t xml:space="preserve">input </w:t>
      </w:r>
      <w:r w:rsidRPr="000D0BC0">
        <w:t>fore</w:t>
      </w:r>
      <w:r w:rsidR="00094950" w:rsidRPr="000D0BC0">
        <w:t xml:space="preserve">closure strategy by BlueScope. </w:t>
      </w:r>
    </w:p>
    <w:p w:rsidR="000D5EE5" w:rsidRPr="000D0BC0" w:rsidRDefault="000D5EE5" w:rsidP="000D0BC0">
      <w:pPr>
        <w:pStyle w:val="NormalParagraph"/>
        <w:tabs>
          <w:tab w:val="clear" w:pos="786"/>
          <w:tab w:val="num" w:pos="567"/>
        </w:tabs>
        <w:ind w:left="567" w:hanging="567"/>
      </w:pPr>
      <w:r>
        <w:t xml:space="preserve">The ACCC received information that indicated that the volume of imports of pipe and tube inputs is significant. Both ATM and ITM have utilised imports of pipe and tube inputs as a substitute to supply from BlueScope CIPA. Further, the price that BlueScope CIPA sets for pipe and tube inputs is related to the price of imports. </w:t>
      </w:r>
    </w:p>
    <w:p w:rsidR="003A3903" w:rsidRDefault="000D5EE5" w:rsidP="00F30D5F">
      <w:pPr>
        <w:pStyle w:val="NormalParagraph"/>
        <w:tabs>
          <w:tab w:val="clear" w:pos="786"/>
          <w:tab w:val="num" w:pos="567"/>
        </w:tabs>
        <w:ind w:left="567" w:hanging="567"/>
      </w:pPr>
      <w:r>
        <w:t>Nevertheless, i</w:t>
      </w:r>
      <w:r w:rsidR="002034F4">
        <w:t>n</w:t>
      </w:r>
      <w:r w:rsidR="00BC4FA8" w:rsidRPr="000D0BC0">
        <w:t xml:space="preserve"> the course </w:t>
      </w:r>
      <w:r w:rsidR="00094950" w:rsidRPr="000D0BC0">
        <w:t>of the ACCC’s market inquiries</w:t>
      </w:r>
      <w:r w:rsidR="00D0235F">
        <w:t>,</w:t>
      </w:r>
      <w:r w:rsidR="00F06C6A" w:rsidRPr="000D0BC0">
        <w:t xml:space="preserve"> </w:t>
      </w:r>
      <w:r w:rsidR="009156E7" w:rsidRPr="000D0BC0">
        <w:t xml:space="preserve">competing </w:t>
      </w:r>
      <w:r w:rsidR="00BC4FA8" w:rsidRPr="000D0BC0">
        <w:t>manufacturers</w:t>
      </w:r>
      <w:r w:rsidR="00F06C6A" w:rsidRPr="000D0BC0">
        <w:t xml:space="preserve"> </w:t>
      </w:r>
      <w:r w:rsidR="00BC4FA8" w:rsidRPr="000D0BC0">
        <w:t xml:space="preserve">stated that </w:t>
      </w:r>
      <w:r w:rsidR="009156E7" w:rsidRPr="000D0BC0">
        <w:t>issues around a</w:t>
      </w:r>
      <w:r w:rsidR="00094950" w:rsidRPr="000D0BC0">
        <w:t>nti-dumping applications/duties</w:t>
      </w:r>
      <w:r w:rsidR="004C6237" w:rsidRPr="000D0BC0">
        <w:t xml:space="preserve"> </w:t>
      </w:r>
      <w:r w:rsidR="009156E7" w:rsidRPr="000D0BC0">
        <w:t xml:space="preserve">and logistical challenges impact the </w:t>
      </w:r>
      <w:r w:rsidR="00794865">
        <w:t>competitive constraint that</w:t>
      </w:r>
      <w:r w:rsidR="009156E7" w:rsidRPr="000D0BC0">
        <w:t xml:space="preserve"> imports</w:t>
      </w:r>
      <w:r w:rsidR="00094950" w:rsidRPr="000D0BC0">
        <w:t xml:space="preserve"> of pipe and tube inputs</w:t>
      </w:r>
      <w:r w:rsidR="009156E7" w:rsidRPr="000D0BC0">
        <w:t xml:space="preserve"> </w:t>
      </w:r>
      <w:r w:rsidR="00794865">
        <w:t>place on</w:t>
      </w:r>
      <w:r w:rsidR="009156E7" w:rsidRPr="000D0BC0">
        <w:t xml:space="preserve"> BlueScope</w:t>
      </w:r>
      <w:r w:rsidR="007D0239">
        <w:t>. T</w:t>
      </w:r>
      <w:r w:rsidR="00794865">
        <w:t>hus</w:t>
      </w:r>
      <w:r w:rsidR="007D0239">
        <w:t>, competing manufacturers argued that they only had a limited</w:t>
      </w:r>
      <w:r w:rsidR="00794865">
        <w:t xml:space="preserve"> ability to defeat an input foreclosure strategy by switching to imports</w:t>
      </w:r>
      <w:r w:rsidR="00F30D5F">
        <w:t>.</w:t>
      </w:r>
    </w:p>
    <w:p w:rsidR="00F06C6A" w:rsidRPr="00113EA0" w:rsidRDefault="00F06C6A" w:rsidP="00113EA0">
      <w:pPr>
        <w:pStyle w:val="Heading5"/>
      </w:pPr>
      <w:r w:rsidRPr="00113EA0">
        <w:t xml:space="preserve">Anti-dumping applications and </w:t>
      </w:r>
      <w:r w:rsidR="0074652A" w:rsidRPr="00113EA0">
        <w:t>duties</w:t>
      </w:r>
    </w:p>
    <w:p w:rsidR="0054616F" w:rsidRPr="000D0BC0" w:rsidRDefault="008766ED" w:rsidP="000D0BC0">
      <w:pPr>
        <w:pStyle w:val="NormalParagraph"/>
        <w:tabs>
          <w:tab w:val="clear" w:pos="786"/>
          <w:tab w:val="num" w:pos="567"/>
        </w:tabs>
        <w:ind w:left="567" w:hanging="567"/>
      </w:pPr>
      <w:r w:rsidRPr="000D0BC0">
        <w:t xml:space="preserve">Based on </w:t>
      </w:r>
      <w:r w:rsidR="0054616F" w:rsidRPr="000D0BC0">
        <w:t xml:space="preserve">publicly available data and </w:t>
      </w:r>
      <w:r w:rsidR="00D35000">
        <w:t xml:space="preserve">information </w:t>
      </w:r>
      <w:r w:rsidRPr="000D0BC0">
        <w:t xml:space="preserve">provided by the merger parties, </w:t>
      </w:r>
      <w:r w:rsidR="004D02F8" w:rsidRPr="000D0BC0">
        <w:t>s</w:t>
      </w:r>
      <w:r w:rsidR="00BC4FA8" w:rsidRPr="000D0BC0">
        <w:t xml:space="preserve">uccessful anti-dumping </w:t>
      </w:r>
      <w:r w:rsidR="00D35000" w:rsidRPr="000D0BC0">
        <w:t>a</w:t>
      </w:r>
      <w:r w:rsidR="00D35000">
        <w:t>pplications</w:t>
      </w:r>
      <w:r w:rsidR="00D35000" w:rsidRPr="000D0BC0">
        <w:t xml:space="preserve"> </w:t>
      </w:r>
      <w:r w:rsidR="00BC4FA8" w:rsidRPr="000D0BC0">
        <w:t>have</w:t>
      </w:r>
      <w:r w:rsidR="004D02F8" w:rsidRPr="000D0BC0">
        <w:t xml:space="preserve"> had</w:t>
      </w:r>
      <w:r w:rsidR="00BC4FA8" w:rsidRPr="000D0BC0">
        <w:t xml:space="preserve"> the effect of increasing the price </w:t>
      </w:r>
      <w:r w:rsidR="00D35000">
        <w:t>and reducing the volume</w:t>
      </w:r>
      <w:r w:rsidR="00D35000" w:rsidRPr="000D0BC0">
        <w:t xml:space="preserve"> </w:t>
      </w:r>
      <w:r w:rsidR="003D594F">
        <w:t xml:space="preserve">of </w:t>
      </w:r>
      <w:r w:rsidR="00BC4FA8" w:rsidRPr="000D0BC0">
        <w:t xml:space="preserve">imports </w:t>
      </w:r>
      <w:r w:rsidR="00D35000">
        <w:t>from steel mills and countries subject to the imposed duties</w:t>
      </w:r>
      <w:r w:rsidR="00BC4FA8" w:rsidRPr="000D0BC0">
        <w:t xml:space="preserve">. </w:t>
      </w:r>
    </w:p>
    <w:p w:rsidR="0054616F" w:rsidRDefault="0054616F" w:rsidP="000D0BC0">
      <w:pPr>
        <w:pStyle w:val="NormalParagraph"/>
        <w:tabs>
          <w:tab w:val="clear" w:pos="786"/>
          <w:tab w:val="num" w:pos="567"/>
        </w:tabs>
        <w:ind w:left="567" w:hanging="567"/>
      </w:pPr>
      <w:r>
        <w:lastRenderedPageBreak/>
        <w:t>Market inquiries indicated that anti-dumping applications have had some impact on</w:t>
      </w:r>
      <w:r w:rsidR="0069025B">
        <w:t xml:space="preserve"> pipe and tube manufacturers’ </w:t>
      </w:r>
      <w:r>
        <w:t xml:space="preserve">ability to source HRC and galvanised coil from overseas sources at competitive prices. Consistent with the ACCC’s review of the </w:t>
      </w:r>
      <w:proofErr w:type="spellStart"/>
      <w:r>
        <w:t>Smorgon</w:t>
      </w:r>
      <w:proofErr w:type="spellEnd"/>
      <w:r>
        <w:t xml:space="preserve"> Steel acquisitions in 2008, it appear</w:t>
      </w:r>
      <w:r w:rsidR="001F235D">
        <w:t>s</w:t>
      </w:r>
      <w:r>
        <w:t xml:space="preserve"> that the lodging of applications has some ‘chilling effect’</w:t>
      </w:r>
      <w:r w:rsidR="00071D22">
        <w:t xml:space="preserve"> on the competitive constraint of imports</w:t>
      </w:r>
      <w:r>
        <w:t xml:space="preserve">. Namely, it is not just the imposition of duties that have an impact but </w:t>
      </w:r>
      <w:r w:rsidR="00C22A6E">
        <w:t xml:space="preserve">also </w:t>
      </w:r>
      <w:r>
        <w:t>the lodging of the application and the commencement of the investigation</w:t>
      </w:r>
      <w:r w:rsidR="00080D94">
        <w:t xml:space="preserve"> by the A</w:t>
      </w:r>
      <w:r w:rsidR="00D35000">
        <w:t>DC</w:t>
      </w:r>
      <w:r>
        <w:t xml:space="preserve">. </w:t>
      </w:r>
    </w:p>
    <w:p w:rsidR="0054616F" w:rsidRDefault="0054616F" w:rsidP="000D0BC0">
      <w:pPr>
        <w:pStyle w:val="NormalParagraph"/>
        <w:tabs>
          <w:tab w:val="clear" w:pos="786"/>
          <w:tab w:val="num" w:pos="567"/>
        </w:tabs>
        <w:ind w:left="567" w:hanging="567"/>
      </w:pPr>
      <w:r w:rsidRPr="000D0BC0">
        <w:t xml:space="preserve">It appears that once an </w:t>
      </w:r>
      <w:r w:rsidR="005A3BCA">
        <w:t xml:space="preserve">anti-dumping </w:t>
      </w:r>
      <w:r w:rsidRPr="000D0BC0">
        <w:t>investigation commences</w:t>
      </w:r>
      <w:r w:rsidR="009417A2">
        <w:t xml:space="preserve">, </w:t>
      </w:r>
      <w:r w:rsidRPr="000D0BC0">
        <w:t>overseas mills, import traders</w:t>
      </w:r>
      <w:r w:rsidR="0034237B">
        <w:t>,</w:t>
      </w:r>
      <w:r w:rsidRPr="000D0BC0">
        <w:t xml:space="preserve"> and importers become reluctant to engage in transactions due to the potential for duties to be levied. For example, a trader may agree to supply a customer but the terms of supply are that the price is exclusive of any duty that is imposed and to the extent duty is imposed the customer agrees to bear this. The result is that import</w:t>
      </w:r>
      <w:r w:rsidR="005A3BCA">
        <w:t xml:space="preserve">ers become reluctant to source supply from </w:t>
      </w:r>
      <w:r w:rsidRPr="000D0BC0">
        <w:t xml:space="preserve">a country/mill that is under investigation due to the uncertainty of the final pricing outcome. </w:t>
      </w:r>
    </w:p>
    <w:p w:rsidR="0054616F" w:rsidRDefault="0054616F" w:rsidP="000D0BC0">
      <w:pPr>
        <w:pStyle w:val="NormalParagraph"/>
        <w:tabs>
          <w:tab w:val="clear" w:pos="786"/>
          <w:tab w:val="num" w:pos="567"/>
        </w:tabs>
        <w:ind w:left="567" w:hanging="567"/>
      </w:pPr>
      <w:r>
        <w:t>However, some market participants noted that in a number of instances the quantum of the duties imposed on particular mill</w:t>
      </w:r>
      <w:r w:rsidR="00D17A88">
        <w:t>s</w:t>
      </w:r>
      <w:r>
        <w:t xml:space="preserve"> </w:t>
      </w:r>
      <w:r w:rsidR="00D17A88">
        <w:t xml:space="preserve">was </w:t>
      </w:r>
      <w:r>
        <w:t xml:space="preserve">not large enough to significantly impact their competitiveness. For example, </w:t>
      </w:r>
      <w:r w:rsidR="00080D94">
        <w:t>it was</w:t>
      </w:r>
      <w:r>
        <w:t xml:space="preserve"> noted that </w:t>
      </w:r>
      <w:r w:rsidR="0074652A">
        <w:t>in the case of HRC</w:t>
      </w:r>
      <w:r w:rsidR="00C22A6E">
        <w:t>,</w:t>
      </w:r>
      <w:r w:rsidR="0074652A">
        <w:t xml:space="preserve"> </w:t>
      </w:r>
      <w:r>
        <w:t xml:space="preserve">South Korean mills had minimal duties (two to five per cent) imposed and at </w:t>
      </w:r>
      <w:r w:rsidR="00BF2749">
        <w:t xml:space="preserve">that </w:t>
      </w:r>
      <w:r>
        <w:t xml:space="preserve">level supply from those mills was still price competitive. </w:t>
      </w:r>
    </w:p>
    <w:p w:rsidR="00515371" w:rsidRPr="004546B6" w:rsidRDefault="00A72C5F" w:rsidP="004546B6">
      <w:pPr>
        <w:pStyle w:val="NormalParagraph"/>
        <w:tabs>
          <w:tab w:val="clear" w:pos="786"/>
          <w:tab w:val="num" w:pos="567"/>
        </w:tabs>
        <w:ind w:left="567" w:hanging="567"/>
      </w:pPr>
      <w:r w:rsidRPr="000D0BC0">
        <w:t>The ACCC considered that anti-dumping applications by BlueScope do reduce the strength of imports as an alternative to supply from BlueScope CIPA. However, based on market feedback and information obtained by the ACCC, the ACCC considered that imports of pipe and tube inputs would continue to be a significant source of supply</w:t>
      </w:r>
      <w:r w:rsidR="00C64C97">
        <w:t>,</w:t>
      </w:r>
      <w:r w:rsidRPr="000D0BC0">
        <w:t xml:space="preserve"> with pipe and tube manufacturers demonstrating sophistication in obtaining imported supply even when anti-dumping measures have been imposed.</w:t>
      </w:r>
    </w:p>
    <w:p w:rsidR="00FB594E" w:rsidRPr="005F1406" w:rsidRDefault="00FB594E" w:rsidP="00113EA0">
      <w:pPr>
        <w:pStyle w:val="Heading5"/>
      </w:pPr>
      <w:r w:rsidRPr="005F1406">
        <w:t xml:space="preserve">Inventory and logistical issues </w:t>
      </w:r>
    </w:p>
    <w:p w:rsidR="00FB594E" w:rsidRPr="000D0BC0" w:rsidRDefault="00FB594E" w:rsidP="000D0BC0">
      <w:pPr>
        <w:pStyle w:val="NormalParagraph"/>
        <w:tabs>
          <w:tab w:val="clear" w:pos="786"/>
          <w:tab w:val="num" w:pos="567"/>
        </w:tabs>
        <w:ind w:left="567" w:hanging="567"/>
      </w:pPr>
      <w:r w:rsidRPr="000D0BC0">
        <w:t xml:space="preserve">Some industry participants submitted to the ACCC that it would not be feasible for pipe and tube manufacturers to significantly expand import volumes due to the need for greater storage, additional capital tied up in inventory and increased complexity in attempting to align import volumes with customer demand. </w:t>
      </w:r>
    </w:p>
    <w:p w:rsidR="00FB594E" w:rsidRPr="000D0BC0" w:rsidRDefault="00F06C6A" w:rsidP="000D0BC0">
      <w:pPr>
        <w:pStyle w:val="NormalParagraph"/>
        <w:tabs>
          <w:tab w:val="clear" w:pos="786"/>
          <w:tab w:val="num" w:pos="567"/>
        </w:tabs>
        <w:ind w:left="567" w:hanging="567"/>
      </w:pPr>
      <w:r w:rsidRPr="000D0BC0">
        <w:t>Some m</w:t>
      </w:r>
      <w:r w:rsidR="00FB594E" w:rsidRPr="000D0BC0">
        <w:t xml:space="preserve">arket </w:t>
      </w:r>
      <w:r w:rsidRPr="000D0BC0">
        <w:t xml:space="preserve">participants </w:t>
      </w:r>
      <w:r w:rsidR="00FB594E" w:rsidRPr="000D0BC0">
        <w:t>suggest</w:t>
      </w:r>
      <w:r w:rsidRPr="000D0BC0">
        <w:t>ed</w:t>
      </w:r>
      <w:r w:rsidR="00FB594E" w:rsidRPr="000D0BC0">
        <w:t xml:space="preserve"> that managing the long lead times of imports of pipe and tube inputs, often three to four months, are e</w:t>
      </w:r>
      <w:r w:rsidR="00C33AE0">
        <w:t xml:space="preserve">xacerbated by the </w:t>
      </w:r>
      <w:r w:rsidR="00FB594E" w:rsidRPr="000D0BC0">
        <w:t>delivery requirements of downstream pipe and tube customers. Customers of pipe and tube manufacturers generally expect short delivery times from the time of order, depending on the quantity and the specificity of the structural pipe and tube products required. Market partici</w:t>
      </w:r>
      <w:r w:rsidR="005A3BCA">
        <w:t>pants indicated that BlueScope</w:t>
      </w:r>
      <w:r w:rsidR="00FB594E" w:rsidRPr="000D0BC0">
        <w:t xml:space="preserve"> CIPA’s competitive advantage lies with shorter delivery times compared to imports. T</w:t>
      </w:r>
      <w:r w:rsidR="00396A90">
        <w:t>hese shorter lead times assist</w:t>
      </w:r>
      <w:r w:rsidR="00FB594E" w:rsidRPr="000D0BC0">
        <w:t xml:space="preserve"> </w:t>
      </w:r>
      <w:r w:rsidR="00D35000">
        <w:t xml:space="preserve">manufacturers </w:t>
      </w:r>
      <w:r w:rsidR="00FB594E" w:rsidRPr="000D0BC0">
        <w:t>in more accurately matching pipe and tube input requirements with demand for structural pipe and</w:t>
      </w:r>
      <w:r w:rsidR="00094950" w:rsidRPr="000D0BC0">
        <w:t xml:space="preserve"> tube products from customers. </w:t>
      </w:r>
      <w:r w:rsidR="00FB594E" w:rsidRPr="000D0BC0">
        <w:t xml:space="preserve"> </w:t>
      </w:r>
    </w:p>
    <w:p w:rsidR="00A0274E" w:rsidRPr="00120022" w:rsidRDefault="00A0274E" w:rsidP="00120022">
      <w:pPr>
        <w:pStyle w:val="NormalParagraph"/>
        <w:tabs>
          <w:tab w:val="clear" w:pos="786"/>
          <w:tab w:val="num" w:pos="567"/>
        </w:tabs>
        <w:ind w:left="567" w:hanging="567"/>
      </w:pPr>
      <w:r w:rsidRPr="00120022">
        <w:t xml:space="preserve">The ACCC noted the complexities associated with imports, including </w:t>
      </w:r>
      <w:r w:rsidR="00A72C5F" w:rsidRPr="00120022">
        <w:t xml:space="preserve">additional storage and inventory management issues. </w:t>
      </w:r>
      <w:r w:rsidRPr="00120022">
        <w:t>However, based on publicly available data, market feedback and information provided by the merger parties, the ACCC considered that</w:t>
      </w:r>
      <w:r w:rsidR="007A0571">
        <w:t xml:space="preserve"> these challenge</w:t>
      </w:r>
      <w:r w:rsidR="00A72C5F" w:rsidRPr="00120022">
        <w:t xml:space="preserve">s can be </w:t>
      </w:r>
      <w:r w:rsidR="001F235D">
        <w:t xml:space="preserve">and have been </w:t>
      </w:r>
      <w:r w:rsidR="00A72C5F" w:rsidRPr="00120022">
        <w:t>overcome by pipe and tube manufacturers and</w:t>
      </w:r>
      <w:r w:rsidR="005A3BCA">
        <w:t>,</w:t>
      </w:r>
      <w:r w:rsidR="00A72C5F" w:rsidRPr="00120022">
        <w:t xml:space="preserve"> post-acquisition</w:t>
      </w:r>
      <w:r w:rsidR="005A3BCA">
        <w:t>,</w:t>
      </w:r>
      <w:r w:rsidRPr="00120022">
        <w:t xml:space="preserve"> imports would continue to represent a significant alternative </w:t>
      </w:r>
      <w:r w:rsidR="00794865">
        <w:t xml:space="preserve">to </w:t>
      </w:r>
      <w:r w:rsidR="00D35000">
        <w:t xml:space="preserve">BlueScope </w:t>
      </w:r>
      <w:r w:rsidRPr="00120022">
        <w:t>for the supply of pipe and tube inputs.</w:t>
      </w:r>
      <w:r w:rsidR="00794865">
        <w:t xml:space="preserve"> This would reduce </w:t>
      </w:r>
      <w:r w:rsidR="00F618BC">
        <w:t>BlueScope’s</w:t>
      </w:r>
      <w:r w:rsidR="00794865">
        <w:t xml:space="preserve"> ability and incentive to pursue an input foreclosure strategy that sought to raise rival manufacturers’ costs.</w:t>
      </w:r>
    </w:p>
    <w:p w:rsidR="00A0274E" w:rsidRDefault="00A72C5F" w:rsidP="005F1406">
      <w:pPr>
        <w:pStyle w:val="NormalParagraph"/>
        <w:tabs>
          <w:tab w:val="clear" w:pos="786"/>
          <w:tab w:val="num" w:pos="567"/>
        </w:tabs>
        <w:ind w:left="567" w:hanging="567"/>
      </w:pPr>
      <w:r w:rsidRPr="005F1406">
        <w:lastRenderedPageBreak/>
        <w:t xml:space="preserve">Additionally, </w:t>
      </w:r>
      <w:r>
        <w:t>t</w:t>
      </w:r>
      <w:r w:rsidRPr="005F1406">
        <w:t xml:space="preserve">he </w:t>
      </w:r>
      <w:r w:rsidR="00A0274E" w:rsidRPr="005F1406">
        <w:t xml:space="preserve">ACCC considered that BlueScope would continue to have an incentive to supply </w:t>
      </w:r>
      <w:r w:rsidR="00794865">
        <w:t xml:space="preserve">inputs to </w:t>
      </w:r>
      <w:r w:rsidR="00A0274E" w:rsidRPr="005F1406">
        <w:t xml:space="preserve">rival manufacturers of pipe and tube products </w:t>
      </w:r>
      <w:r w:rsidR="00D35000">
        <w:t>due to</w:t>
      </w:r>
      <w:r w:rsidR="00794865" w:rsidRPr="005F1406">
        <w:t xml:space="preserve"> </w:t>
      </w:r>
      <w:r w:rsidR="00A0274E" w:rsidRPr="005F1406">
        <w:t>the need to operate the blast furnace at BlueScope’s Port Kembla steelworks at full capacity and the greater profits it earns on</w:t>
      </w:r>
      <w:r w:rsidR="00D35000">
        <w:t xml:space="preserve"> downstream</w:t>
      </w:r>
      <w:r w:rsidR="00A0274E" w:rsidRPr="005F1406">
        <w:t xml:space="preserve"> domestic sales over exporting excess production. </w:t>
      </w:r>
    </w:p>
    <w:p w:rsidR="00560E77" w:rsidRDefault="00560E77" w:rsidP="00113EA0">
      <w:pPr>
        <w:pStyle w:val="Heading5"/>
      </w:pPr>
      <w:r w:rsidRPr="00560E77">
        <w:t>Conclusion</w:t>
      </w:r>
    </w:p>
    <w:p w:rsidR="00560E77" w:rsidRDefault="00560E77" w:rsidP="00560E77">
      <w:pPr>
        <w:pStyle w:val="NormalParagraph"/>
        <w:tabs>
          <w:tab w:val="clear" w:pos="786"/>
          <w:tab w:val="num" w:pos="567"/>
        </w:tabs>
        <w:ind w:left="567" w:hanging="567"/>
        <w:rPr>
          <w:rFonts w:cs="Arial"/>
        </w:rPr>
      </w:pPr>
      <w:r>
        <w:rPr>
          <w:rFonts w:cs="Arial"/>
        </w:rPr>
        <w:t xml:space="preserve">The ACCC considered that anti-dumping applications and associated duties and logistical issues reduce to some extent the competitive constraint provided by imports. However, the ACCC concluded </w:t>
      </w:r>
      <w:r w:rsidRPr="00560E77">
        <w:rPr>
          <w:rFonts w:cs="Arial"/>
        </w:rPr>
        <w:t>that</w:t>
      </w:r>
      <w:r>
        <w:rPr>
          <w:rFonts w:cs="Arial"/>
        </w:rPr>
        <w:t xml:space="preserve"> despite these issues</w:t>
      </w:r>
      <w:r w:rsidRPr="00560E77">
        <w:rPr>
          <w:rFonts w:cs="Arial"/>
        </w:rPr>
        <w:t xml:space="preserve"> imports are a viable alternative source of supply of inputs for pipe and tube manufacturers. </w:t>
      </w:r>
    </w:p>
    <w:p w:rsidR="00560E77" w:rsidRPr="00560E77" w:rsidRDefault="00560E77" w:rsidP="00560E77">
      <w:pPr>
        <w:pStyle w:val="NormalParagraph"/>
        <w:tabs>
          <w:tab w:val="clear" w:pos="786"/>
          <w:tab w:val="num" w:pos="567"/>
        </w:tabs>
        <w:ind w:left="567" w:hanging="567"/>
        <w:rPr>
          <w:rFonts w:cs="Arial"/>
        </w:rPr>
      </w:pPr>
      <w:r w:rsidRPr="00560E77">
        <w:rPr>
          <w:rFonts w:cs="Arial"/>
        </w:rPr>
        <w:t xml:space="preserve">The strength of imports is reflected in the significant volumes over a number of years and BlueScope’s pricing and its correlation to import prices. </w:t>
      </w:r>
      <w:r>
        <w:rPr>
          <w:rFonts w:cs="Arial"/>
        </w:rPr>
        <w:t>A</w:t>
      </w:r>
      <w:r w:rsidRPr="00560E77">
        <w:rPr>
          <w:rFonts w:cs="Arial"/>
        </w:rPr>
        <w:t>ny attempt by BlueScope to engage in a foreclosure strategy (either by refusing to supply coil inputs or by increasing prices for these inputs above the current premium over import parity) would be</w:t>
      </w:r>
      <w:r w:rsidR="00BF5B39">
        <w:rPr>
          <w:rFonts w:cs="Arial"/>
        </w:rPr>
        <w:t xml:space="preserve"> expected to be</w:t>
      </w:r>
      <w:r w:rsidRPr="00560E77">
        <w:rPr>
          <w:rFonts w:cs="Arial"/>
        </w:rPr>
        <w:t xml:space="preserve"> defeated by an increase in the volume of imports. </w:t>
      </w:r>
    </w:p>
    <w:p w:rsidR="002034F4" w:rsidRPr="009D4887" w:rsidRDefault="007A5CA5" w:rsidP="009D4887">
      <w:pPr>
        <w:pStyle w:val="Heading4"/>
      </w:pPr>
      <w:r w:rsidRPr="009D4887">
        <w:t xml:space="preserve">Foreclosure of </w:t>
      </w:r>
      <w:r w:rsidR="002034F4" w:rsidRPr="009D4887">
        <w:t>rival distributors’ access to structural pipe and tube products</w:t>
      </w:r>
    </w:p>
    <w:p w:rsidR="00F30D5F" w:rsidRDefault="001F235D" w:rsidP="00F30D5F">
      <w:pPr>
        <w:pStyle w:val="NormalParagraph"/>
        <w:tabs>
          <w:tab w:val="clear" w:pos="786"/>
          <w:tab w:val="num" w:pos="567"/>
        </w:tabs>
        <w:ind w:left="567" w:hanging="567"/>
      </w:pPr>
      <w:r>
        <w:t>T</w:t>
      </w:r>
      <w:r w:rsidR="00F30D5F">
        <w:t xml:space="preserve">he ACCC concluded that BlueScope </w:t>
      </w:r>
      <w:r w:rsidR="00B47DC1">
        <w:t xml:space="preserve">is </w:t>
      </w:r>
      <w:r w:rsidR="00F30D5F">
        <w:t xml:space="preserve">not </w:t>
      </w:r>
      <w:r w:rsidR="00B47DC1">
        <w:t xml:space="preserve">likely to </w:t>
      </w:r>
      <w:r>
        <w:t>have significant</w:t>
      </w:r>
      <w:r w:rsidR="00F30D5F">
        <w:t xml:space="preserve"> market power in the </w:t>
      </w:r>
      <w:r>
        <w:t xml:space="preserve">supply </w:t>
      </w:r>
      <w:r w:rsidR="00F30D5F">
        <w:t>of structural pipe and tube products</w:t>
      </w:r>
      <w:r>
        <w:t xml:space="preserve">.  </w:t>
      </w:r>
      <w:r w:rsidR="00B47DC1">
        <w:t>Nevertheless</w:t>
      </w:r>
      <w:r w:rsidR="00F30D5F">
        <w:t>, due to concerns raised by distributors of structural pipe and tube products, particularly in Tasmania, t</w:t>
      </w:r>
      <w:r w:rsidR="002034F4" w:rsidRPr="006B5419">
        <w:t>he ACCC considered whether, through acquiring the Orrcon pipe and tube manufacturing assets, BlueScope</w:t>
      </w:r>
      <w:r w:rsidR="00560E77">
        <w:t xml:space="preserve"> </w:t>
      </w:r>
      <w:r w:rsidR="002034F4" w:rsidRPr="006B5419">
        <w:t xml:space="preserve">would </w:t>
      </w:r>
      <w:r w:rsidR="00F30D5F">
        <w:t>have the ability and incentive</w:t>
      </w:r>
      <w:r w:rsidR="002034F4" w:rsidRPr="006B5419">
        <w:t xml:space="preserve"> to raise rival steel and </w:t>
      </w:r>
      <w:r w:rsidR="00F30D5F">
        <w:t xml:space="preserve">tube </w:t>
      </w:r>
      <w:r w:rsidR="002034F4" w:rsidRPr="006B5419">
        <w:t xml:space="preserve">distributors’ costs. </w:t>
      </w:r>
    </w:p>
    <w:p w:rsidR="002034F4" w:rsidRPr="006B5419" w:rsidRDefault="001F235D" w:rsidP="00F30D5F">
      <w:pPr>
        <w:pStyle w:val="NormalParagraph"/>
        <w:tabs>
          <w:tab w:val="clear" w:pos="786"/>
          <w:tab w:val="num" w:pos="567"/>
        </w:tabs>
        <w:ind w:left="567" w:hanging="567"/>
      </w:pPr>
      <w:r>
        <w:t>Such foreclosure could involve</w:t>
      </w:r>
      <w:r w:rsidR="006C4EE8">
        <w:t xml:space="preserve"> </w:t>
      </w:r>
      <w:r w:rsidR="002034F4" w:rsidRPr="006B5419">
        <w:t xml:space="preserve">ceasing to supply its </w:t>
      </w:r>
      <w:r w:rsidR="002034F4">
        <w:t xml:space="preserve">structural </w:t>
      </w:r>
      <w:r w:rsidR="002034F4" w:rsidRPr="006B5419">
        <w:t xml:space="preserve">pipe and tube products to rival distributors, or raising the price or reducing the quality of </w:t>
      </w:r>
      <w:r w:rsidR="002034F4">
        <w:t xml:space="preserve">structural </w:t>
      </w:r>
      <w:r w:rsidR="002034F4" w:rsidRPr="006B5419">
        <w:t xml:space="preserve">pipe and tube products supplied. This may have the effect of reducing the competitive constraint that rival distributors place on the merged </w:t>
      </w:r>
      <w:r w:rsidR="002034F4">
        <w:t>firm</w:t>
      </w:r>
      <w:r w:rsidR="002034F4" w:rsidRPr="006B5419">
        <w:t xml:space="preserve">, potentially resulting in a substantial lessening of competition in the markets for the distribution of steel and tube products, leading to higher prices and/or reduced quality. </w:t>
      </w:r>
    </w:p>
    <w:p w:rsidR="002034F4" w:rsidRPr="004510BD" w:rsidRDefault="002034F4" w:rsidP="002034F4">
      <w:pPr>
        <w:pStyle w:val="NormalParagraph"/>
        <w:tabs>
          <w:tab w:val="clear" w:pos="786"/>
          <w:tab w:val="num" w:pos="567"/>
        </w:tabs>
        <w:ind w:left="567" w:hanging="567"/>
      </w:pPr>
      <w:r>
        <w:t>Market inquiries confirmed that steel and tube distributors obtain supply of structural pipe and tube products from either domestic manufacturers (Orrcon, ATM or ITM) or via imports. Steel and tube distributors</w:t>
      </w:r>
      <w:r w:rsidRPr="004510BD">
        <w:t xml:space="preserve"> </w:t>
      </w:r>
      <w:r>
        <w:t>often</w:t>
      </w:r>
      <w:r w:rsidRPr="004510BD">
        <w:t xml:space="preserve"> operate a dual sourcing strategy where </w:t>
      </w:r>
      <w:r>
        <w:t xml:space="preserve">the majority of </w:t>
      </w:r>
      <w:r w:rsidRPr="004510BD">
        <w:t>structural pipe and tube is sourced from one domestic manufacturer</w:t>
      </w:r>
      <w:r>
        <w:t xml:space="preserve"> with the remainder sourced from either an alternative domestic manufacturer or</w:t>
      </w:r>
      <w:r w:rsidRPr="004510BD">
        <w:t xml:space="preserve"> via imports. </w:t>
      </w:r>
      <w:r>
        <w:t>Industry feedback indicated that t</w:t>
      </w:r>
      <w:r w:rsidRPr="004510BD">
        <w:t xml:space="preserve">he source of supply fluctuates based on product availability and price. </w:t>
      </w:r>
      <w:r>
        <w:t>I</w:t>
      </w:r>
      <w:r w:rsidRPr="004510BD">
        <w:t xml:space="preserve">t is rare for distributors to have formal supply agreements. </w:t>
      </w:r>
    </w:p>
    <w:p w:rsidR="002034F4" w:rsidRDefault="002034F4" w:rsidP="002034F4">
      <w:pPr>
        <w:pStyle w:val="NormalParagraph"/>
        <w:tabs>
          <w:tab w:val="clear" w:pos="786"/>
          <w:tab w:val="num" w:pos="567"/>
        </w:tabs>
        <w:ind w:left="567" w:hanging="567"/>
      </w:pPr>
      <w:r>
        <w:t>The ACCC noted that the proposed acquisition would not alter the number of potential alternative sources of supply of structural pipe and tube products for steel and tube distributors. Further, it is likely that rival distributors would be able to bypass BlueScope and thus defeat an input foreclosure strategy if BlueScope sought to use the Orrcon assets to raise rival distributors’ costs by foreclosing their access to structural pipe and tube products. BlueScope could be bypassed by rival distributors obtaining supply from:</w:t>
      </w:r>
    </w:p>
    <w:p w:rsidR="002034F4" w:rsidRPr="004138E7" w:rsidRDefault="002034F4" w:rsidP="00971251">
      <w:pPr>
        <w:pStyle w:val="ListParagraph"/>
        <w:numPr>
          <w:ilvl w:val="0"/>
          <w:numId w:val="34"/>
        </w:numPr>
        <w:tabs>
          <w:tab w:val="num" w:pos="567"/>
        </w:tabs>
        <w:ind w:left="1134" w:hanging="567"/>
      </w:pPr>
      <w:r w:rsidRPr="004138E7">
        <w:t>other domestic structural pipe and tube manufacturers – principally ATM and to a lesser extent ITM; and/or</w:t>
      </w:r>
    </w:p>
    <w:p w:rsidR="002034F4" w:rsidRPr="004138E7" w:rsidRDefault="002034F4" w:rsidP="00D67CD2">
      <w:pPr>
        <w:pStyle w:val="ListParagraph"/>
        <w:numPr>
          <w:ilvl w:val="0"/>
          <w:numId w:val="34"/>
        </w:numPr>
        <w:tabs>
          <w:tab w:val="num" w:pos="567"/>
        </w:tabs>
        <w:spacing w:after="360"/>
        <w:ind w:left="1134" w:hanging="567"/>
      </w:pPr>
      <w:proofErr w:type="gramStart"/>
      <w:r w:rsidRPr="004138E7">
        <w:t>imports</w:t>
      </w:r>
      <w:proofErr w:type="gramEnd"/>
      <w:r w:rsidRPr="004138E7">
        <w:t xml:space="preserve">, either via import traders or direct from overseas steel mills. </w:t>
      </w:r>
    </w:p>
    <w:p w:rsidR="00560E77" w:rsidRPr="00560E77" w:rsidRDefault="00560E77" w:rsidP="009D4887">
      <w:pPr>
        <w:pStyle w:val="Heading5"/>
      </w:pPr>
      <w:r w:rsidRPr="00560E77">
        <w:lastRenderedPageBreak/>
        <w:t>Domestic sources of supply</w:t>
      </w:r>
    </w:p>
    <w:p w:rsidR="002034F4" w:rsidRDefault="002034F4" w:rsidP="002034F4">
      <w:pPr>
        <w:pStyle w:val="NormalParagraph"/>
        <w:tabs>
          <w:tab w:val="clear" w:pos="786"/>
          <w:tab w:val="num" w:pos="567"/>
        </w:tabs>
        <w:ind w:left="567" w:hanging="567"/>
      </w:pPr>
      <w:r w:rsidRPr="007F2448">
        <w:t>The ACCC concluded that ATM represented the strongest alternative for the supply of structural pipe and tube products were BlueScope to pursue a</w:t>
      </w:r>
      <w:r>
        <w:t>n input</w:t>
      </w:r>
      <w:r w:rsidRPr="007F2448">
        <w:t xml:space="preserve"> foreclosure strategy</w:t>
      </w:r>
      <w:r>
        <w:t>. Market inquiries indicated that ATM had a comparable range of structural pipe and tube products to Orrcon</w:t>
      </w:r>
      <w:r w:rsidR="005A3BCA">
        <w:t xml:space="preserve"> and offered competitive pricing and service support</w:t>
      </w:r>
      <w:r>
        <w:t xml:space="preserve">. </w:t>
      </w:r>
    </w:p>
    <w:p w:rsidR="002034F4" w:rsidRDefault="002034F4" w:rsidP="002034F4">
      <w:pPr>
        <w:pStyle w:val="NormalParagraph"/>
        <w:tabs>
          <w:tab w:val="clear" w:pos="786"/>
          <w:tab w:val="num" w:pos="567"/>
        </w:tabs>
        <w:ind w:left="567" w:hanging="567"/>
      </w:pPr>
      <w:r>
        <w:t>The ACCC considered that in some cases ITM may represent an alternative source of supply for steel and tube distributors. Market feedback indicated that ITM’s competitive advantage is its location in Victoria</w:t>
      </w:r>
      <w:r w:rsidR="005A3BCA">
        <w:t>,</w:t>
      </w:r>
      <w:r>
        <w:t xml:space="preserve"> close to a number of steel and tube distributors and the corresponding lower transport costs it incurred compared to the other manufacturers. </w:t>
      </w:r>
    </w:p>
    <w:p w:rsidR="00111710" w:rsidRDefault="00111710" w:rsidP="00111710">
      <w:pPr>
        <w:pStyle w:val="NormalParagraph"/>
        <w:tabs>
          <w:tab w:val="clear" w:pos="786"/>
          <w:tab w:val="num" w:pos="567"/>
        </w:tabs>
        <w:ind w:left="567" w:hanging="567"/>
      </w:pPr>
      <w:r>
        <w:t>The ACCC considered that the ability of rival distributors to source structural pipe and tube products from alternative domestic manufacturers</w:t>
      </w:r>
      <w:r w:rsidRPr="000D0BC0">
        <w:t xml:space="preserve">, particularly ATM, would likely </w:t>
      </w:r>
      <w:r>
        <w:t xml:space="preserve">reduce BlueScope’s </w:t>
      </w:r>
      <w:r w:rsidR="001F235D">
        <w:t xml:space="preserve">ability and </w:t>
      </w:r>
      <w:r>
        <w:t xml:space="preserve">incentive to pursue an input foreclosure strategy and instead </w:t>
      </w:r>
      <w:r w:rsidRPr="000D0BC0">
        <w:t>provide a competitive discipline on BlueScope such that it will have an incentive to maintain supply of structural pipe and tube products to rival distributors at competitive prices and terms.</w:t>
      </w:r>
      <w:r>
        <w:t xml:space="preserve"> </w:t>
      </w:r>
    </w:p>
    <w:p w:rsidR="00560E77" w:rsidRPr="00560E77" w:rsidRDefault="00560E77" w:rsidP="009D4887">
      <w:pPr>
        <w:pStyle w:val="Heading5"/>
      </w:pPr>
      <w:r w:rsidRPr="00560E77">
        <w:t>Imports as a source of supply</w:t>
      </w:r>
    </w:p>
    <w:p w:rsidR="002034F4" w:rsidRDefault="002034F4" w:rsidP="002034F4">
      <w:pPr>
        <w:pStyle w:val="NormalParagraph"/>
        <w:tabs>
          <w:tab w:val="clear" w:pos="786"/>
          <w:tab w:val="num" w:pos="567"/>
        </w:tabs>
        <w:ind w:left="567" w:hanging="567"/>
      </w:pPr>
      <w:r>
        <w:t xml:space="preserve">The ACCC also recognised that for a number of steel and tube distributors, imports are also a viable alternative to domestic supply. However, the ACCC noted market feedback that </w:t>
      </w:r>
      <w:r w:rsidRPr="00A87563">
        <w:t xml:space="preserve">issues </w:t>
      </w:r>
      <w:r>
        <w:t>associated with</w:t>
      </w:r>
      <w:r w:rsidRPr="00A87563">
        <w:t xml:space="preserve"> anti-dumping applications/duties, Australian Standards and logistical challenges impact the strength of imported structural pipe and tube products as an alternative to</w:t>
      </w:r>
      <w:r>
        <w:t xml:space="preserve"> supply from Orrcon, ATM or ITM. </w:t>
      </w:r>
    </w:p>
    <w:p w:rsidR="002034F4" w:rsidRPr="00DA7A8A" w:rsidRDefault="002034F4" w:rsidP="002034F4">
      <w:pPr>
        <w:pStyle w:val="NormalParagraph"/>
        <w:tabs>
          <w:tab w:val="clear" w:pos="786"/>
          <w:tab w:val="num" w:pos="567"/>
        </w:tabs>
        <w:ind w:left="567" w:hanging="567"/>
      </w:pPr>
      <w:r>
        <w:t>T</w:t>
      </w:r>
      <w:r w:rsidRPr="00DA7A8A">
        <w:t>he ACCC considered that anti-dumping applications and the imposition of duties have a 'chilling effect'</w:t>
      </w:r>
      <w:r>
        <w:t xml:space="preserve"> on imports’ competitive constraint</w:t>
      </w:r>
      <w:r w:rsidR="005A3BCA">
        <w:t xml:space="preserve"> in the short-term</w:t>
      </w:r>
      <w:r w:rsidRPr="00DA7A8A">
        <w:t>. Overseas</w:t>
      </w:r>
      <w:r>
        <w:t xml:space="preserve"> manufacturers and </w:t>
      </w:r>
      <w:r w:rsidRPr="00DA7A8A">
        <w:t xml:space="preserve">mills become reluctant to supply to Australia when an </w:t>
      </w:r>
      <w:r>
        <w:t xml:space="preserve">ADC </w:t>
      </w:r>
      <w:r w:rsidRPr="00DA7A8A">
        <w:t>investigation is initiated and terms of supply often come with clauses that make the end customer liable for any duty that may</w:t>
      </w:r>
      <w:r>
        <w:t xml:space="preserve"> be applied. Further, for manufacturers </w:t>
      </w:r>
      <w:r w:rsidRPr="00DA7A8A">
        <w:t>that have had a significant duty imposed</w:t>
      </w:r>
      <w:r w:rsidR="001F235D">
        <w:t>,</w:t>
      </w:r>
      <w:r w:rsidRPr="00DA7A8A">
        <w:t xml:space="preserve"> their ability to offer competitively priced supply</w:t>
      </w:r>
      <w:r>
        <w:t xml:space="preserve"> to Australian customers</w:t>
      </w:r>
      <w:r w:rsidRPr="00DA7A8A">
        <w:t xml:space="preserve"> is</w:t>
      </w:r>
      <w:r>
        <w:t xml:space="preserve"> severely</w:t>
      </w:r>
      <w:r w:rsidRPr="00DA7A8A">
        <w:t xml:space="preserve"> impacted. </w:t>
      </w:r>
    </w:p>
    <w:p w:rsidR="002034F4" w:rsidRDefault="005A3BCA" w:rsidP="002034F4">
      <w:pPr>
        <w:pStyle w:val="NormalParagraph"/>
        <w:tabs>
          <w:tab w:val="clear" w:pos="786"/>
          <w:tab w:val="num" w:pos="567"/>
        </w:tabs>
        <w:ind w:left="567" w:hanging="567"/>
      </w:pPr>
      <w:r>
        <w:t xml:space="preserve">It appears, </w:t>
      </w:r>
      <w:r w:rsidR="002034F4">
        <w:t>therefore</w:t>
      </w:r>
      <w:r>
        <w:t>,</w:t>
      </w:r>
      <w:r w:rsidR="002034F4">
        <w:t xml:space="preserve"> that there is an initial period of disruption while importers find alternative sources of structural pipe and tube products. </w:t>
      </w:r>
      <w:r w:rsidR="002034F4" w:rsidRPr="000D0BC0">
        <w:t>Nevertheless, based on information provided by market participants and data collected by the ACCC</w:t>
      </w:r>
      <w:r w:rsidR="002034F4">
        <w:t>,</w:t>
      </w:r>
      <w:r w:rsidR="002034F4" w:rsidRPr="000D0BC0">
        <w:t xml:space="preserve"> </w:t>
      </w:r>
      <w:r w:rsidR="002034F4">
        <w:t xml:space="preserve">in the medium term it appears that </w:t>
      </w:r>
      <w:r w:rsidR="002034F4" w:rsidRPr="000D0BC0">
        <w:t xml:space="preserve">anti-dumping applications </w:t>
      </w:r>
      <w:r w:rsidR="002034F4">
        <w:t>may</w:t>
      </w:r>
      <w:r w:rsidR="002034F4" w:rsidRPr="000D0BC0">
        <w:t xml:space="preserve"> not significantly reduce the competitive constraint provided by imports.</w:t>
      </w:r>
    </w:p>
    <w:p w:rsidR="002034F4" w:rsidRPr="000D0BC0" w:rsidRDefault="002034F4" w:rsidP="002034F4">
      <w:pPr>
        <w:pStyle w:val="NormalParagraph"/>
        <w:tabs>
          <w:tab w:val="clear" w:pos="786"/>
          <w:tab w:val="num" w:pos="567"/>
        </w:tabs>
        <w:ind w:left="567" w:hanging="567"/>
      </w:pPr>
      <w:r w:rsidRPr="000D0BC0">
        <w:t xml:space="preserve">Some market participants raised concerns about BlueScope and Arrium using the Australian Standards process to impose additional barriers </w:t>
      </w:r>
      <w:r w:rsidR="001F235D">
        <w:t>to</w:t>
      </w:r>
      <w:r w:rsidRPr="000D0BC0">
        <w:t xml:space="preserve"> imports. </w:t>
      </w:r>
      <w:r w:rsidRPr="000D5870">
        <w:t xml:space="preserve">The ACCC considered that adhering to Australian Standards adds additional </w:t>
      </w:r>
      <w:r>
        <w:t>complexity</w:t>
      </w:r>
      <w:r w:rsidRPr="000D5870">
        <w:t xml:space="preserve"> to importing structural pipe and tube products. Further, these standards may change from time to time which would add to the complexity. </w:t>
      </w:r>
    </w:p>
    <w:p w:rsidR="002034F4" w:rsidRPr="000D0BC0" w:rsidRDefault="002034F4" w:rsidP="002034F4">
      <w:pPr>
        <w:pStyle w:val="NormalParagraph"/>
        <w:tabs>
          <w:tab w:val="clear" w:pos="786"/>
          <w:tab w:val="num" w:pos="567"/>
        </w:tabs>
        <w:ind w:left="567" w:hanging="567"/>
      </w:pPr>
      <w:r w:rsidRPr="000D0BC0">
        <w:t>The ACCC understood that the Australian Standards’ amendment process, which is managed by Standards</w:t>
      </w:r>
      <w:r>
        <w:t xml:space="preserve"> Australia</w:t>
      </w:r>
      <w:r w:rsidRPr="000D0BC0">
        <w:t xml:space="preserve">, is a lengthy and transparent process and that comment is sought from all potential </w:t>
      </w:r>
      <w:r w:rsidR="001F235D">
        <w:t>a</w:t>
      </w:r>
      <w:r w:rsidRPr="000D0BC0">
        <w:t xml:space="preserve">ffected stakeholders, including importers, in respect of any proposed changes </w:t>
      </w:r>
      <w:r>
        <w:t xml:space="preserve">to an industry standard. </w:t>
      </w:r>
      <w:r w:rsidRPr="000D0BC0">
        <w:t xml:space="preserve">For an existing Australian Standard to be changed, a party must demonstrate </w:t>
      </w:r>
      <w:r>
        <w:t xml:space="preserve">a </w:t>
      </w:r>
      <w:r w:rsidRPr="000D0BC0">
        <w:t>benefit to the community as a whole</w:t>
      </w:r>
      <w:r>
        <w:t xml:space="preserve"> </w:t>
      </w:r>
      <w:r w:rsidRPr="000D0BC0">
        <w:t xml:space="preserve">that exceeds the costs likely to be imposed from its development and implementation. </w:t>
      </w:r>
    </w:p>
    <w:p w:rsidR="002034F4" w:rsidRPr="000D0BC0" w:rsidRDefault="002034F4" w:rsidP="002034F4">
      <w:pPr>
        <w:pStyle w:val="NormalParagraph"/>
        <w:tabs>
          <w:tab w:val="clear" w:pos="786"/>
          <w:tab w:val="num" w:pos="567"/>
        </w:tabs>
        <w:ind w:left="567" w:hanging="567"/>
      </w:pPr>
      <w:r w:rsidRPr="000D0BC0">
        <w:lastRenderedPageBreak/>
        <w:t xml:space="preserve">The ACCC was satisfied that in the case of steel standards the process undertaken by Standards Australia should ensure that BlueScope and Arrium are not able to influence the amendment of relevant structural pipe and tube standards as a means of reducing the strength of imports as a potential alternative to domestic supply. </w:t>
      </w:r>
    </w:p>
    <w:p w:rsidR="002034F4" w:rsidRPr="000D0BC0" w:rsidRDefault="002034F4" w:rsidP="002034F4">
      <w:pPr>
        <w:pStyle w:val="NormalParagraph"/>
        <w:tabs>
          <w:tab w:val="clear" w:pos="786"/>
          <w:tab w:val="num" w:pos="567"/>
        </w:tabs>
        <w:ind w:left="567" w:hanging="567"/>
      </w:pPr>
      <w:r w:rsidRPr="000D0BC0">
        <w:t>Market inquiries indicated that managing the importation of structural pipe and tube products does add a degree of complexity to the supply ch</w:t>
      </w:r>
      <w:r w:rsidR="00635B76">
        <w:t xml:space="preserve">ain. Lead times can be long (three to four </w:t>
      </w:r>
      <w:r w:rsidRPr="000D0BC0">
        <w:t>months) with resulting issues in matching supply with demand and potential cash flow implications. However, despite these logistics challenges the volume of structural</w:t>
      </w:r>
      <w:r w:rsidR="001D584D">
        <w:t xml:space="preserve"> pipe and tube imports indicated</w:t>
      </w:r>
      <w:r>
        <w:t xml:space="preserve"> that they can be overcome by some</w:t>
      </w:r>
      <w:r w:rsidRPr="000D0BC0">
        <w:t xml:space="preserve"> distributors and direct customers. </w:t>
      </w:r>
    </w:p>
    <w:p w:rsidR="002034F4" w:rsidRPr="004C6237" w:rsidRDefault="002034F4" w:rsidP="009D4887">
      <w:pPr>
        <w:pStyle w:val="Heading5"/>
      </w:pPr>
      <w:r>
        <w:t>Tasmanian distributors’ access to structural pipe and tube products</w:t>
      </w:r>
    </w:p>
    <w:p w:rsidR="002034F4" w:rsidRDefault="002034F4" w:rsidP="002034F4">
      <w:pPr>
        <w:pStyle w:val="NormalParagraph"/>
        <w:tabs>
          <w:tab w:val="clear" w:pos="786"/>
          <w:tab w:val="num" w:pos="567"/>
        </w:tabs>
        <w:ind w:left="567" w:hanging="567"/>
      </w:pPr>
      <w:r>
        <w:t xml:space="preserve">A number of market participants raised concerns about the potential impact of the proposed acquisition on Tasmanian distributors’ access to structural pipe and tube products. In particular, some market participants considered that BlueScope would have the </w:t>
      </w:r>
      <w:r w:rsidR="00820B21">
        <w:t>ability</w:t>
      </w:r>
      <w:r>
        <w:t xml:space="preserve"> and </w:t>
      </w:r>
      <w:r w:rsidR="00820B21">
        <w:t>incentive</w:t>
      </w:r>
      <w:r>
        <w:t xml:space="preserve"> to foreclose rival Tasmanian distributors’ access to structural pipe and tube products</w:t>
      </w:r>
      <w:r w:rsidR="001D584D">
        <w:t>,</w:t>
      </w:r>
      <w:r>
        <w:t xml:space="preserve"> potentially leading to a substantial lessening of competition in that regional distribution market. </w:t>
      </w:r>
    </w:p>
    <w:p w:rsidR="002034F4" w:rsidRDefault="002034F4" w:rsidP="002034F4">
      <w:pPr>
        <w:pStyle w:val="NormalParagraph"/>
        <w:tabs>
          <w:tab w:val="clear" w:pos="786"/>
          <w:tab w:val="num" w:pos="567"/>
        </w:tabs>
        <w:ind w:left="567" w:hanging="567"/>
      </w:pPr>
      <w:r>
        <w:t xml:space="preserve">Unlike elsewhere in Australia, the number of steel and tube distributors in Tasmania is limited with BlueScope, OneSteel (through the Metaland and Metalcentre brands) and Nubco being the major distributors. With the exception of GAM Steel, Victorian based steel and tube distributors generally do not supply into Tasmania. </w:t>
      </w:r>
    </w:p>
    <w:p w:rsidR="002034F4" w:rsidRDefault="002034F4" w:rsidP="002034F4">
      <w:pPr>
        <w:pStyle w:val="NormalParagraph"/>
        <w:tabs>
          <w:tab w:val="clear" w:pos="786"/>
          <w:tab w:val="num" w:pos="567"/>
        </w:tabs>
        <w:ind w:left="567" w:hanging="567"/>
      </w:pPr>
      <w:r>
        <w:t xml:space="preserve">The ACCC gave </w:t>
      </w:r>
      <w:r w:rsidR="00820B21">
        <w:t xml:space="preserve">particular </w:t>
      </w:r>
      <w:r>
        <w:t xml:space="preserve">consideration to the potential impact of the proposed acquisition on </w:t>
      </w:r>
      <w:r w:rsidR="008B715B">
        <w:t xml:space="preserve">the Tasmanian distribution market </w:t>
      </w:r>
      <w:r w:rsidR="009E1879">
        <w:t>due to Nubco obtaining significant volumes of structural pipe and tube products from Orrcon</w:t>
      </w:r>
      <w:r>
        <w:t>.</w:t>
      </w:r>
      <w:r w:rsidR="008B715B">
        <w:t xml:space="preserve"> </w:t>
      </w:r>
      <w:r w:rsidR="009E1879">
        <w:t xml:space="preserve">In particular, post-acquisition </w:t>
      </w:r>
      <w:r w:rsidR="008B715B">
        <w:t>Nubco</w:t>
      </w:r>
      <w:r w:rsidR="009E1879">
        <w:t xml:space="preserve"> would be</w:t>
      </w:r>
      <w:r w:rsidR="008B715B">
        <w:t xml:space="preserve"> the only significant non-integrated distributor in Tasmania.</w:t>
      </w:r>
      <w:r>
        <w:t xml:space="preserve"> </w:t>
      </w:r>
      <w:r w:rsidR="008B715B">
        <w:t>M</w:t>
      </w:r>
      <w:r>
        <w:t>arket inquiries suggested that Nubco’s ability to bypass BlueScope to obtain supply from alternative sources of structural pipe and tube products may be more limited than steel and tube distributors located in the other markets due to the role of the Tasmanian Freight Equalisation Scheme (</w:t>
      </w:r>
      <w:r w:rsidRPr="00BF0881">
        <w:rPr>
          <w:b/>
        </w:rPr>
        <w:t>TFES</w:t>
      </w:r>
      <w:r>
        <w:t xml:space="preserve">). </w:t>
      </w:r>
    </w:p>
    <w:p w:rsidR="002034F4" w:rsidRDefault="002034F4" w:rsidP="002034F4">
      <w:pPr>
        <w:pStyle w:val="NormalParagraph"/>
        <w:tabs>
          <w:tab w:val="clear" w:pos="786"/>
          <w:tab w:val="num" w:pos="567"/>
        </w:tabs>
        <w:ind w:left="567" w:hanging="567"/>
      </w:pPr>
      <w:r>
        <w:t xml:space="preserve">The TFES is intended to compensate Tasmanian manufacturing and mining businesses for the cost of shipping raw materials, machinery and equipment from mainland Australia to Tasmania. To be eligible for compensation, the goods must be a raw material or equipment to be used in a production or manufacturing process, be produced or manufactured in mainland Australia (or if imported undergone a manufacturing process in mainland Australia), have a sea freight cost disadvantage and be transported across the Bass Strait as ‘non-bulk’ cargo. </w:t>
      </w:r>
    </w:p>
    <w:p w:rsidR="002034F4" w:rsidRDefault="002034F4" w:rsidP="002034F4">
      <w:pPr>
        <w:pStyle w:val="NormalParagraph"/>
        <w:tabs>
          <w:tab w:val="clear" w:pos="786"/>
          <w:tab w:val="num" w:pos="567"/>
        </w:tabs>
        <w:ind w:left="567" w:hanging="567"/>
      </w:pPr>
      <w:r>
        <w:t xml:space="preserve">Some Tasmanian steel and tube distributors submitted that the TFES limited the extent to which they could source structural pipe and tube products from import traders or via overseas steel mills because imported products are not eligible for subsidy under the TFES and therefore distribution customers could not claim a rebate. </w:t>
      </w:r>
    </w:p>
    <w:p w:rsidR="002034F4" w:rsidRDefault="002034F4" w:rsidP="002034F4">
      <w:pPr>
        <w:pStyle w:val="NormalParagraph"/>
        <w:tabs>
          <w:tab w:val="clear" w:pos="786"/>
          <w:tab w:val="num" w:pos="567"/>
        </w:tabs>
        <w:ind w:left="567" w:hanging="567"/>
      </w:pPr>
      <w:r>
        <w:t xml:space="preserve">In market inquiries, downstream customers indicated that the TFES only has limited influence in their decision making process when deciding which distributor to acquire structural pipe and tube from. In particular, customers of structural pipe and tube products in Tasmania indicated that the time and complexity associated with applying for subsidies under the TFES and the </w:t>
      </w:r>
      <w:r>
        <w:lastRenderedPageBreak/>
        <w:t xml:space="preserve">limited financial benefits available meant that it had minimal bearing over decision making in sourcing structural pipe and tube products.  </w:t>
      </w:r>
    </w:p>
    <w:p w:rsidR="00B64A1C" w:rsidRPr="00B64A1C" w:rsidRDefault="00560E77" w:rsidP="009D4887">
      <w:pPr>
        <w:pStyle w:val="Heading5"/>
      </w:pPr>
      <w:r w:rsidRPr="00560E77">
        <w:t>Conclusion</w:t>
      </w:r>
    </w:p>
    <w:p w:rsidR="00B64A1C" w:rsidRDefault="00B64A1C" w:rsidP="00B64A1C">
      <w:pPr>
        <w:pStyle w:val="NormalParagraph"/>
        <w:tabs>
          <w:tab w:val="clear" w:pos="786"/>
          <w:tab w:val="num" w:pos="567"/>
        </w:tabs>
        <w:ind w:left="567" w:hanging="567"/>
        <w:rPr>
          <w:rFonts w:cs="Arial"/>
        </w:rPr>
      </w:pPr>
      <w:r>
        <w:rPr>
          <w:rFonts w:cs="Arial"/>
        </w:rPr>
        <w:t xml:space="preserve">The ACCC concluded that were BlueScope to attempt to foreclose rival steel and tube distributors’ access to structural pipe and tube products then rival distributors would likely be able to bypass it and defeat </w:t>
      </w:r>
      <w:r w:rsidR="00820B21">
        <w:rPr>
          <w:rFonts w:cs="Arial"/>
        </w:rPr>
        <w:t>the attempted foreclosure</w:t>
      </w:r>
      <w:r>
        <w:rPr>
          <w:rFonts w:cs="Arial"/>
        </w:rPr>
        <w:t xml:space="preserve"> through obtaining supply from:</w:t>
      </w:r>
    </w:p>
    <w:p w:rsidR="00B64A1C" w:rsidRPr="008B715B" w:rsidRDefault="00820B21" w:rsidP="00971251">
      <w:pPr>
        <w:pStyle w:val="ListParagraph"/>
        <w:numPr>
          <w:ilvl w:val="0"/>
          <w:numId w:val="34"/>
        </w:numPr>
        <w:tabs>
          <w:tab w:val="num" w:pos="567"/>
        </w:tabs>
        <w:ind w:left="1134" w:hanging="567"/>
      </w:pPr>
      <w:r>
        <w:t xml:space="preserve">alternative </w:t>
      </w:r>
      <w:r w:rsidR="00B64A1C" w:rsidRPr="008B715B">
        <w:t>domestic structural pipe and tube manufactures – principally ATM and to a lesser extent ITM; and/or</w:t>
      </w:r>
    </w:p>
    <w:p w:rsidR="00B64A1C" w:rsidRDefault="00B64A1C" w:rsidP="00971251">
      <w:pPr>
        <w:pStyle w:val="ListParagraph"/>
        <w:numPr>
          <w:ilvl w:val="0"/>
          <w:numId w:val="34"/>
        </w:numPr>
        <w:tabs>
          <w:tab w:val="num" w:pos="567"/>
        </w:tabs>
        <w:ind w:left="1134" w:hanging="567"/>
      </w:pPr>
      <w:proofErr w:type="gramStart"/>
      <w:r>
        <w:t>imports</w:t>
      </w:r>
      <w:proofErr w:type="gramEnd"/>
      <w:r>
        <w:t xml:space="preserve">, either via import traders or direct with overseas steel mills. </w:t>
      </w:r>
    </w:p>
    <w:p w:rsidR="00B64A1C" w:rsidRPr="008E6277" w:rsidRDefault="00B64A1C" w:rsidP="00B64A1C">
      <w:pPr>
        <w:pStyle w:val="NormalParagraph"/>
        <w:tabs>
          <w:tab w:val="clear" w:pos="786"/>
          <w:tab w:val="num" w:pos="567"/>
        </w:tabs>
        <w:ind w:left="567" w:hanging="567"/>
      </w:pPr>
      <w:r>
        <w:rPr>
          <w:rFonts w:cs="Arial"/>
        </w:rPr>
        <w:t xml:space="preserve">In respect of </w:t>
      </w:r>
      <w:r w:rsidR="00111710">
        <w:rPr>
          <w:rFonts w:cs="Arial"/>
        </w:rPr>
        <w:t xml:space="preserve">steel and tube </w:t>
      </w:r>
      <w:r>
        <w:rPr>
          <w:rFonts w:cs="Arial"/>
        </w:rPr>
        <w:t xml:space="preserve">distribution in Tasmania, </w:t>
      </w:r>
      <w:r>
        <w:t>after careful consideration and extensive consultation with rival distributors and customers in Tasmania,</w:t>
      </w:r>
      <w:r w:rsidRPr="00120022">
        <w:t xml:space="preserve"> the ACCC concluded that were BlueScope to pursue a foreclosure strategy</w:t>
      </w:r>
      <w:r w:rsidR="00820B21">
        <w:t>,</w:t>
      </w:r>
      <w:r w:rsidRPr="00120022">
        <w:t xml:space="preserve"> then rival steel and tube distributors in Tasmania would likely be able to </w:t>
      </w:r>
      <w:r>
        <w:t xml:space="preserve">defeat the strategy by </w:t>
      </w:r>
      <w:r w:rsidRPr="00120022">
        <w:t>bypass</w:t>
      </w:r>
      <w:r>
        <w:t>ing BlueScope and</w:t>
      </w:r>
      <w:r w:rsidRPr="00120022">
        <w:t xml:space="preserve"> obtaining supply from either:</w:t>
      </w:r>
    </w:p>
    <w:p w:rsidR="00B64A1C" w:rsidRPr="008E6277" w:rsidRDefault="00B64A1C" w:rsidP="00971251">
      <w:pPr>
        <w:pStyle w:val="ListParagraph"/>
        <w:numPr>
          <w:ilvl w:val="0"/>
          <w:numId w:val="34"/>
        </w:numPr>
        <w:tabs>
          <w:tab w:val="num" w:pos="567"/>
        </w:tabs>
        <w:ind w:left="1134" w:hanging="567"/>
      </w:pPr>
      <w:r w:rsidRPr="004A6053">
        <w:t>import traders or distributors based in other states, such as Steelforce, which supply st</w:t>
      </w:r>
      <w:r w:rsidR="009D4445">
        <w:t>ructural pipe and tube products</w:t>
      </w:r>
      <w:r w:rsidR="004138E7">
        <w:t xml:space="preserve">; </w:t>
      </w:r>
      <w:r w:rsidRPr="004A6053">
        <w:t>and/or</w:t>
      </w:r>
    </w:p>
    <w:p w:rsidR="00B64A1C" w:rsidRDefault="00B64A1C" w:rsidP="00971251">
      <w:pPr>
        <w:pStyle w:val="ListParagraph"/>
        <w:numPr>
          <w:ilvl w:val="0"/>
          <w:numId w:val="34"/>
        </w:numPr>
        <w:tabs>
          <w:tab w:val="num" w:pos="567"/>
        </w:tabs>
        <w:ind w:left="1134" w:hanging="567"/>
      </w:pPr>
      <w:proofErr w:type="gramStart"/>
      <w:r w:rsidRPr="004A6053">
        <w:t>to</w:t>
      </w:r>
      <w:proofErr w:type="gramEnd"/>
      <w:r w:rsidRPr="004A6053">
        <w:t xml:space="preserve"> some extent the structural pipe and tube manufa</w:t>
      </w:r>
      <w:r>
        <w:t>cturer, ITM</w:t>
      </w:r>
      <w:r w:rsidRPr="004A6053">
        <w:t>.</w:t>
      </w:r>
    </w:p>
    <w:p w:rsidR="00B64A1C" w:rsidRPr="002034F4" w:rsidRDefault="00B64A1C" w:rsidP="00B64A1C">
      <w:pPr>
        <w:pStyle w:val="NormalParagraph"/>
        <w:tabs>
          <w:tab w:val="clear" w:pos="786"/>
          <w:tab w:val="num" w:pos="567"/>
        </w:tabs>
        <w:ind w:left="567" w:hanging="567"/>
      </w:pPr>
      <w:r w:rsidRPr="009D79F5">
        <w:t>Further,</w:t>
      </w:r>
      <w:r>
        <w:t xml:space="preserve"> the ACCC was of the view that</w:t>
      </w:r>
      <w:r w:rsidRPr="009D79F5">
        <w:t xml:space="preserve"> to the extent </w:t>
      </w:r>
      <w:r>
        <w:t>rival Tasmanian distributors, such as Nubco,</w:t>
      </w:r>
      <w:r w:rsidRPr="009D79F5">
        <w:t xml:space="preserve"> may be impacted in obtaining competitive supply of structural pipe and tube products</w:t>
      </w:r>
      <w:r w:rsidR="00B42DA6">
        <w:t xml:space="preserve">, </w:t>
      </w:r>
      <w:r w:rsidRPr="009D79F5">
        <w:t xml:space="preserve">the effect </w:t>
      </w:r>
      <w:r>
        <w:t>would be</w:t>
      </w:r>
      <w:r w:rsidRPr="009D79F5">
        <w:t xml:space="preserve"> unlikely to represent a substantial lessening of competition</w:t>
      </w:r>
      <w:r>
        <w:t xml:space="preserve"> in that distribution market</w:t>
      </w:r>
      <w:r w:rsidRPr="009D79F5">
        <w:t xml:space="preserve">. Nubco's customers would have competitive alternatives, principally in the form of GAM Steel and other smaller distributors. </w:t>
      </w:r>
    </w:p>
    <w:p w:rsidR="00D35000" w:rsidRPr="00B42DA6" w:rsidRDefault="00B42DA6" w:rsidP="009D4887">
      <w:pPr>
        <w:pStyle w:val="Heading4"/>
      </w:pPr>
      <w:r>
        <w:t>Foreclos</w:t>
      </w:r>
      <w:r w:rsidR="006C1D47">
        <w:t>ure of</w:t>
      </w:r>
      <w:r>
        <w:t xml:space="preserve"> r</w:t>
      </w:r>
      <w:r w:rsidR="00D35000" w:rsidRPr="00B42DA6">
        <w:t>ival pipe and tube inpu</w:t>
      </w:r>
      <w:r>
        <w:t xml:space="preserve">t suppliers’ access to customers </w:t>
      </w:r>
    </w:p>
    <w:p w:rsidR="00A7747A" w:rsidRDefault="00D35000" w:rsidP="004C6237">
      <w:pPr>
        <w:pStyle w:val="NormalParagraph"/>
        <w:tabs>
          <w:tab w:val="clear" w:pos="786"/>
          <w:tab w:val="num" w:pos="567"/>
        </w:tabs>
        <w:ind w:left="567" w:hanging="567"/>
      </w:pPr>
      <w:r>
        <w:t>T</w:t>
      </w:r>
      <w:r w:rsidR="00794865">
        <w:t>he ACCC</w:t>
      </w:r>
      <w:r w:rsidR="00B42DA6">
        <w:t xml:space="preserve"> also</w:t>
      </w:r>
      <w:r w:rsidR="00794865">
        <w:t xml:space="preserve"> considered </w:t>
      </w:r>
      <w:r w:rsidR="00F1027B">
        <w:t xml:space="preserve">whether </w:t>
      </w:r>
      <w:r w:rsidR="009156E7" w:rsidRPr="00166C4A">
        <w:t xml:space="preserve">the loss of Orrcon </w:t>
      </w:r>
      <w:r w:rsidR="00EA05A6" w:rsidRPr="00EA05A6">
        <w:t xml:space="preserve">as an independent customer or potential customer for </w:t>
      </w:r>
      <w:r w:rsidR="00EA05A6">
        <w:t>pipe and tube inputs</w:t>
      </w:r>
      <w:r w:rsidR="00EA05A6" w:rsidRPr="00EA05A6">
        <w:t xml:space="preserve"> may </w:t>
      </w:r>
      <w:r w:rsidR="00794865">
        <w:t xml:space="preserve">reduce the </w:t>
      </w:r>
      <w:r w:rsidR="00B42DA6">
        <w:t xml:space="preserve">distribution opportunities for </w:t>
      </w:r>
      <w:r w:rsidR="00EA05A6" w:rsidRPr="00EA05A6">
        <w:t>BlueScope's rivals</w:t>
      </w:r>
      <w:r w:rsidR="00EA05A6">
        <w:t>, such as import traders,</w:t>
      </w:r>
      <w:r w:rsidR="00EA05A6" w:rsidRPr="00EA05A6">
        <w:t xml:space="preserve"> </w:t>
      </w:r>
      <w:r w:rsidR="00794865">
        <w:t>to such an extent that the</w:t>
      </w:r>
      <w:r w:rsidR="000570DC">
        <w:t xml:space="preserve">ir </w:t>
      </w:r>
      <w:r w:rsidR="00820B21">
        <w:t>unit</w:t>
      </w:r>
      <w:r w:rsidR="00AD23F9">
        <w:t xml:space="preserve"> costs increased. </w:t>
      </w:r>
      <w:r w:rsidR="000570DC">
        <w:t xml:space="preserve">This would place them at a cost disadvantage </w:t>
      </w:r>
      <w:r w:rsidR="00AD23F9">
        <w:t>and reduce</w:t>
      </w:r>
      <w:r w:rsidR="004C6237">
        <w:t xml:space="preserve"> </w:t>
      </w:r>
      <w:r w:rsidR="000570DC">
        <w:t xml:space="preserve">the competitive constraint on </w:t>
      </w:r>
      <w:r w:rsidR="004C6237">
        <w:t>BlueScope.</w:t>
      </w:r>
    </w:p>
    <w:p w:rsidR="00D35000" w:rsidRDefault="00D35000" w:rsidP="00D35000">
      <w:pPr>
        <w:pStyle w:val="NormalParagraph"/>
        <w:tabs>
          <w:tab w:val="clear" w:pos="786"/>
          <w:tab w:val="num" w:pos="567"/>
        </w:tabs>
        <w:ind w:left="567" w:hanging="567"/>
      </w:pPr>
      <w:r w:rsidRPr="00166C4A">
        <w:t>The ACCC con</w:t>
      </w:r>
      <w:r>
        <w:t xml:space="preserve">cluded, in respect of pipe and tube inputs, that rival suppliers (import traders) </w:t>
      </w:r>
      <w:r w:rsidRPr="00166C4A">
        <w:t xml:space="preserve">would continue to have access to a large pool of alternative customers in the relevant markets and in other steel industry markets. </w:t>
      </w:r>
      <w:r>
        <w:t xml:space="preserve">In addition, Orrcon currently acquires a </w:t>
      </w:r>
      <w:r w:rsidR="00820B21">
        <w:t xml:space="preserve">substantial </w:t>
      </w:r>
      <w:r>
        <w:t xml:space="preserve">majority of its pipe and tube inputs from BlueScope CIPA. </w:t>
      </w:r>
    </w:p>
    <w:p w:rsidR="00D35000" w:rsidRDefault="00D35000" w:rsidP="00D35000">
      <w:pPr>
        <w:pStyle w:val="NormalParagraph"/>
        <w:tabs>
          <w:tab w:val="clear" w:pos="786"/>
          <w:tab w:val="num" w:pos="567"/>
        </w:tabs>
        <w:ind w:left="567" w:hanging="567"/>
      </w:pPr>
      <w:r>
        <w:t>To the extent suppliers are impacted they would continue to have a large range of users of pipe and tube inputs, such as galvanised coil, other than just pipe and tube manufacturers</w:t>
      </w:r>
      <w:r w:rsidR="00B42DA6">
        <w:t>,</w:t>
      </w:r>
      <w:r>
        <w:t xml:space="preserve"> to which BlueScope’s rivals could seek to supply directly.</w:t>
      </w:r>
    </w:p>
    <w:p w:rsidR="00D35000" w:rsidRPr="00B42DA6" w:rsidRDefault="006C1D47" w:rsidP="009D4887">
      <w:pPr>
        <w:pStyle w:val="Heading4"/>
      </w:pPr>
      <w:r>
        <w:t xml:space="preserve">Foreclosure of </w:t>
      </w:r>
      <w:r w:rsidR="00B42DA6">
        <w:t>r</w:t>
      </w:r>
      <w:r w:rsidR="00D35000" w:rsidRPr="00B42DA6">
        <w:t xml:space="preserve">ival structural pipe and tube </w:t>
      </w:r>
      <w:r w:rsidR="009E1879">
        <w:t>suppliers</w:t>
      </w:r>
      <w:r w:rsidR="009E1879" w:rsidRPr="00B42DA6">
        <w:t xml:space="preserve">’ </w:t>
      </w:r>
      <w:r w:rsidR="00D35000" w:rsidRPr="00B42DA6">
        <w:t>access to customers</w:t>
      </w:r>
    </w:p>
    <w:p w:rsidR="004C11DA" w:rsidRDefault="00D35000" w:rsidP="004C11DA">
      <w:pPr>
        <w:pStyle w:val="NormalParagraph"/>
        <w:tabs>
          <w:tab w:val="clear" w:pos="786"/>
          <w:tab w:val="num" w:pos="567"/>
        </w:tabs>
        <w:ind w:left="567" w:hanging="567"/>
      </w:pPr>
      <w:r>
        <w:t>Th</w:t>
      </w:r>
      <w:r w:rsidR="00A7747A">
        <w:t>e ACCC anticipated</w:t>
      </w:r>
      <w:r w:rsidR="001905BE">
        <w:t xml:space="preserve"> that</w:t>
      </w:r>
      <w:r w:rsidR="00A7747A">
        <w:t xml:space="preserve"> post-acquisition BlueSco</w:t>
      </w:r>
      <w:r w:rsidR="001905BE">
        <w:t xml:space="preserve">pe Distribution would obtain </w:t>
      </w:r>
      <w:r w:rsidR="00A7747A">
        <w:t xml:space="preserve">a significant </w:t>
      </w:r>
      <w:r w:rsidR="000570DC">
        <w:t>volume of its</w:t>
      </w:r>
      <w:r w:rsidR="00A7747A">
        <w:t xml:space="preserve"> structural pipe and tube products from </w:t>
      </w:r>
      <w:r w:rsidR="00491E51">
        <w:t xml:space="preserve">the Orrcon manufacturing assets. </w:t>
      </w:r>
      <w:r w:rsidR="00A72C5F">
        <w:t xml:space="preserve">As a consequence, the ACCC also considered whether the potential loss of BlueScope Distribution as a customer of structural pipe and </w:t>
      </w:r>
      <w:r w:rsidR="00A72C5F">
        <w:lastRenderedPageBreak/>
        <w:t xml:space="preserve">product suppliers would </w:t>
      </w:r>
      <w:r w:rsidR="00386A20">
        <w:t>significantly</w:t>
      </w:r>
      <w:r w:rsidR="001905BE">
        <w:t xml:space="preserve"> impact</w:t>
      </w:r>
      <w:r w:rsidR="00C36DC1">
        <w:t xml:space="preserve"> the competitiveness of rival suppliers. </w:t>
      </w:r>
    </w:p>
    <w:p w:rsidR="00226EA2" w:rsidRDefault="008E368A" w:rsidP="00166C4A">
      <w:pPr>
        <w:pStyle w:val="NormalParagraph"/>
        <w:tabs>
          <w:tab w:val="clear" w:pos="786"/>
          <w:tab w:val="num" w:pos="567"/>
        </w:tabs>
        <w:ind w:left="567" w:hanging="567"/>
      </w:pPr>
      <w:r>
        <w:t>In considering</w:t>
      </w:r>
      <w:r w:rsidR="00C36DC1">
        <w:t xml:space="preserve"> the impact on structural pipe and tube manufacturers the ACCC </w:t>
      </w:r>
      <w:r w:rsidR="00820B21">
        <w:t>particularly focussed on</w:t>
      </w:r>
      <w:r w:rsidR="00C36DC1">
        <w:t xml:space="preserve"> the potential</w:t>
      </w:r>
      <w:r>
        <w:t xml:space="preserve"> effect</w:t>
      </w:r>
      <w:r w:rsidR="00C36DC1">
        <w:t xml:space="preserve"> on ITM</w:t>
      </w:r>
      <w:r w:rsidR="001169E8">
        <w:t xml:space="preserve">. </w:t>
      </w:r>
      <w:r w:rsidR="00562100">
        <w:t xml:space="preserve">The ACCC </w:t>
      </w:r>
      <w:r w:rsidR="001169E8">
        <w:t xml:space="preserve">understood </w:t>
      </w:r>
      <w:r w:rsidR="00562100">
        <w:t xml:space="preserve">that BlueScope Distribution </w:t>
      </w:r>
      <w:r w:rsidR="001169E8">
        <w:t xml:space="preserve">was </w:t>
      </w:r>
      <w:r w:rsidR="00562100">
        <w:t xml:space="preserve">a large customer of ITM </w:t>
      </w:r>
      <w:r w:rsidR="001169E8">
        <w:t xml:space="preserve">for the supply </w:t>
      </w:r>
      <w:r w:rsidR="00820B21">
        <w:t xml:space="preserve">of </w:t>
      </w:r>
      <w:r w:rsidR="001169E8">
        <w:t>structural pipe and tube products. The ACCC considered that po</w:t>
      </w:r>
      <w:r w:rsidR="00562100">
        <w:t xml:space="preserve">st-acquisition BlueScope Distribution </w:t>
      </w:r>
      <w:r w:rsidR="00226EA2">
        <w:t xml:space="preserve">would likely </w:t>
      </w:r>
      <w:r w:rsidR="001169E8">
        <w:t xml:space="preserve">reduce or cease </w:t>
      </w:r>
      <w:r w:rsidR="00562100">
        <w:t>obtain</w:t>
      </w:r>
      <w:r w:rsidR="001169E8">
        <w:t>ing supply from ITM and instead utilise the</w:t>
      </w:r>
      <w:r w:rsidR="00562100">
        <w:t xml:space="preserve"> Orrcon manufacturing assets. </w:t>
      </w:r>
    </w:p>
    <w:p w:rsidR="0076633E" w:rsidRDefault="00226EA2" w:rsidP="00560EAC">
      <w:pPr>
        <w:pStyle w:val="NormalParagraph"/>
        <w:tabs>
          <w:tab w:val="clear" w:pos="786"/>
          <w:tab w:val="num" w:pos="567"/>
        </w:tabs>
        <w:ind w:left="567" w:hanging="567"/>
      </w:pPr>
      <w:r>
        <w:t xml:space="preserve">However, the ACCC </w:t>
      </w:r>
      <w:r w:rsidR="008E368A">
        <w:t xml:space="preserve">considered </w:t>
      </w:r>
      <w:r>
        <w:t>that</w:t>
      </w:r>
      <w:r w:rsidR="00562100">
        <w:t xml:space="preserve"> ITM would</w:t>
      </w:r>
      <w:r>
        <w:t xml:space="preserve"> continue</w:t>
      </w:r>
      <w:r w:rsidR="009D6D5C">
        <w:t xml:space="preserve"> to</w:t>
      </w:r>
      <w:r w:rsidR="00562100">
        <w:t xml:space="preserve"> have a </w:t>
      </w:r>
      <w:r w:rsidR="00820B21">
        <w:t>large</w:t>
      </w:r>
      <w:r w:rsidR="00562100">
        <w:t xml:space="preserve"> number of potential alternative customers, including other steel and tube distributors and end </w:t>
      </w:r>
      <w:r w:rsidR="009D6D5C">
        <w:t>customers of structural pipe and tube products</w:t>
      </w:r>
      <w:r w:rsidR="00562100">
        <w:t>.</w:t>
      </w:r>
      <w:r>
        <w:t xml:space="preserve"> </w:t>
      </w:r>
      <w:r w:rsidR="001169E8">
        <w:t xml:space="preserve">The ACCC considered that the availability of </w:t>
      </w:r>
      <w:r w:rsidR="0076633E">
        <w:t xml:space="preserve">a large number of </w:t>
      </w:r>
      <w:r w:rsidR="001169E8">
        <w:t>alternative customers would also be applicable</w:t>
      </w:r>
      <w:r w:rsidR="009E1879">
        <w:t xml:space="preserve"> to other structura</w:t>
      </w:r>
      <w:r w:rsidR="001F4A18">
        <w:t xml:space="preserve">l pipe and tube suppliers (for example, </w:t>
      </w:r>
      <w:r w:rsidR="009E1879">
        <w:t xml:space="preserve">ATM and importers). </w:t>
      </w:r>
      <w:r w:rsidR="001169E8">
        <w:t xml:space="preserve"> </w:t>
      </w:r>
    </w:p>
    <w:p w:rsidR="002034F4" w:rsidRPr="004144CA" w:rsidRDefault="009E1879" w:rsidP="004144CA">
      <w:pPr>
        <w:pStyle w:val="NormalParagraph"/>
        <w:tabs>
          <w:tab w:val="clear" w:pos="786"/>
          <w:tab w:val="num" w:pos="567"/>
        </w:tabs>
        <w:ind w:left="567" w:hanging="567"/>
      </w:pPr>
      <w:r>
        <w:t>T</w:t>
      </w:r>
      <w:r w:rsidR="00166C4A" w:rsidRPr="00EA3F04">
        <w:t>he ACCC concluded</w:t>
      </w:r>
      <w:r w:rsidR="00346866" w:rsidRPr="00EA3F04">
        <w:t xml:space="preserve"> that it would be unlikely that post-acquisition BlueScope would have the </w:t>
      </w:r>
      <w:r w:rsidR="00881CF9" w:rsidRPr="00EA3F04">
        <w:t>ability and incentive to significantly foreclose rival structural pipe and tube suppliers’ a</w:t>
      </w:r>
      <w:r w:rsidR="00480B27">
        <w:t xml:space="preserve">ccess to downstream </w:t>
      </w:r>
      <w:r w:rsidR="001169E8">
        <w:t>customers</w:t>
      </w:r>
      <w:r w:rsidR="00881CF9" w:rsidRPr="00EA3F04">
        <w:t xml:space="preserve">. </w:t>
      </w:r>
    </w:p>
    <w:p w:rsidR="00562100" w:rsidRPr="00562100" w:rsidRDefault="00B42DA6" w:rsidP="009D4887">
      <w:pPr>
        <w:pStyle w:val="Heading4"/>
      </w:pPr>
      <w:r>
        <w:t>Horizontal aggregation in</w:t>
      </w:r>
      <w:r w:rsidR="00562100" w:rsidRPr="00562100">
        <w:t xml:space="preserve"> steel and tube distribution</w:t>
      </w:r>
    </w:p>
    <w:p w:rsidR="009156E7" w:rsidRDefault="009156E7" w:rsidP="000D5870">
      <w:pPr>
        <w:pStyle w:val="NormalParagraph"/>
        <w:tabs>
          <w:tab w:val="clear" w:pos="786"/>
          <w:tab w:val="num" w:pos="567"/>
        </w:tabs>
        <w:ind w:left="567" w:hanging="567"/>
      </w:pPr>
      <w:r w:rsidRPr="00562100">
        <w:t xml:space="preserve">BlueScope Distribution and Orrcon overlap in </w:t>
      </w:r>
      <w:r w:rsidR="000B661A">
        <w:t>six</w:t>
      </w:r>
      <w:r w:rsidR="00F264F0">
        <w:t xml:space="preserve"> </w:t>
      </w:r>
      <w:r w:rsidR="000B661A">
        <w:t xml:space="preserve">geographically </w:t>
      </w:r>
      <w:r w:rsidRPr="00562100">
        <w:t xml:space="preserve">separate steel and tube distribution markets. While </w:t>
      </w:r>
      <w:r w:rsidR="00562100">
        <w:t>barriers to entry are high, the ACCC</w:t>
      </w:r>
      <w:r w:rsidRPr="00562100">
        <w:t xml:space="preserve"> conclude</w:t>
      </w:r>
      <w:r w:rsidR="00562100">
        <w:t>d</w:t>
      </w:r>
      <w:r w:rsidRPr="00562100">
        <w:t xml:space="preserve"> that the merged firm would be constrained in the relevant steel and tube distribution markets by the presence of numerous alternatives with excess capacity and the ability of customers to switch </w:t>
      </w:r>
      <w:r w:rsidR="008E368A">
        <w:t xml:space="preserve">easily </w:t>
      </w:r>
      <w:r w:rsidRPr="00562100">
        <w:t xml:space="preserve">between </w:t>
      </w:r>
      <w:r w:rsidR="0076633E">
        <w:t xml:space="preserve">these </w:t>
      </w:r>
      <w:r w:rsidRPr="00562100">
        <w:t xml:space="preserve">alternatives. </w:t>
      </w:r>
    </w:p>
    <w:p w:rsidR="00166C4A" w:rsidRDefault="00B42DA6" w:rsidP="000D5870">
      <w:pPr>
        <w:pStyle w:val="NormalParagraph"/>
        <w:tabs>
          <w:tab w:val="clear" w:pos="786"/>
          <w:tab w:val="num" w:pos="567"/>
        </w:tabs>
        <w:ind w:left="567" w:hanging="567"/>
      </w:pPr>
      <w:r>
        <w:t>In all five markets</w:t>
      </w:r>
      <w:r w:rsidR="00797F80">
        <w:t>,</w:t>
      </w:r>
      <w:r w:rsidR="00166C4A">
        <w:t xml:space="preserve"> the merged firm would be co</w:t>
      </w:r>
      <w:r w:rsidR="00797F80">
        <w:t>nstrained by Southern Steel</w:t>
      </w:r>
      <w:r w:rsidR="00B64A1C">
        <w:t xml:space="preserve"> and One</w:t>
      </w:r>
      <w:r w:rsidR="00166C4A">
        <w:t>Steel and numerous smaller distributors. These rival distributors offer comparable product ranges and</w:t>
      </w:r>
      <w:r w:rsidR="00797F80">
        <w:t>,</w:t>
      </w:r>
      <w:r w:rsidR="00166C4A">
        <w:t xml:space="preserve"> importantly</w:t>
      </w:r>
      <w:r w:rsidR="00797F80">
        <w:t>,</w:t>
      </w:r>
      <w:r w:rsidR="00166C4A">
        <w:t xml:space="preserve"> in most cases also </w:t>
      </w:r>
      <w:r w:rsidR="008E368A">
        <w:t xml:space="preserve">have </w:t>
      </w:r>
      <w:r w:rsidR="00166C4A">
        <w:t xml:space="preserve">processing </w:t>
      </w:r>
      <w:r w:rsidR="008E368A">
        <w:t>capability</w:t>
      </w:r>
      <w:r w:rsidR="00166C4A">
        <w:t xml:space="preserve">. Smaller distributors, in particular Vulcan Steel, CMC Coil Steels and Steelforce, </w:t>
      </w:r>
      <w:r w:rsidR="00111710">
        <w:t>use</w:t>
      </w:r>
      <w:r>
        <w:t xml:space="preserve"> imports</w:t>
      </w:r>
      <w:r w:rsidR="00797F80">
        <w:t>,</w:t>
      </w:r>
      <w:r w:rsidR="009D79F5">
        <w:t xml:space="preserve"> to some extent</w:t>
      </w:r>
      <w:r w:rsidR="00797F80">
        <w:t>,</w:t>
      </w:r>
      <w:r w:rsidR="009D79F5">
        <w:t xml:space="preserve"> </w:t>
      </w:r>
      <w:r w:rsidR="00797F80">
        <w:t>as</w:t>
      </w:r>
      <w:r w:rsidR="00166C4A">
        <w:t xml:space="preserve"> a means to offer lower prices and differentiate themselves from larger distributors. </w:t>
      </w:r>
    </w:p>
    <w:p w:rsidR="00166C4A" w:rsidRPr="00F97960" w:rsidRDefault="00166C4A" w:rsidP="00166C4A">
      <w:pPr>
        <w:pStyle w:val="NormalParagraph"/>
        <w:tabs>
          <w:tab w:val="clear" w:pos="786"/>
          <w:tab w:val="num" w:pos="567"/>
        </w:tabs>
        <w:ind w:left="567" w:hanging="567"/>
      </w:pPr>
      <w:r>
        <w:t xml:space="preserve">The ACCC concluded that there are low switching costs with a strong market dynamic of customers making orders on a spot or quote basis. Market participants noted that customers </w:t>
      </w:r>
      <w:r w:rsidR="00797F80">
        <w:t xml:space="preserve">generally </w:t>
      </w:r>
      <w:r>
        <w:t xml:space="preserve">contact different distributors seeking quotes for a particular order with the expectation of short delivery </w:t>
      </w:r>
      <w:r w:rsidR="00B42DA6">
        <w:t>times. While some customers had</w:t>
      </w:r>
      <w:r>
        <w:t xml:space="preserve"> a ‘preferred’ supplier arrangement</w:t>
      </w:r>
      <w:r w:rsidR="00797F80">
        <w:t>,</w:t>
      </w:r>
      <w:r w:rsidR="00B42DA6">
        <w:t xml:space="preserve"> market inquiries indicated that it was</w:t>
      </w:r>
      <w:r>
        <w:t xml:space="preserve"> rare for there to be formal supply agreements between customers and distributors. </w:t>
      </w:r>
    </w:p>
    <w:p w:rsidR="00797F80" w:rsidRPr="000D5870" w:rsidRDefault="009D79F5" w:rsidP="00F618BC">
      <w:pPr>
        <w:pStyle w:val="NormalParagraph"/>
        <w:tabs>
          <w:tab w:val="clear" w:pos="786"/>
          <w:tab w:val="num" w:pos="567"/>
        </w:tabs>
        <w:ind w:left="567" w:hanging="567"/>
      </w:pPr>
      <w:r>
        <w:t xml:space="preserve">For these reasons </w:t>
      </w:r>
      <w:r w:rsidR="00480B27">
        <w:t xml:space="preserve">the ACCC concluded that the horizontal aggregation of the BlueScope and Orrcon distribution businesses </w:t>
      </w:r>
      <w:r w:rsidR="00166C4A">
        <w:t>would be unlikely to result in a substantial lessening of competition</w:t>
      </w:r>
      <w:r w:rsidR="00480B27">
        <w:t>.</w:t>
      </w:r>
      <w:r w:rsidR="00166C4A">
        <w:t xml:space="preserve"> </w:t>
      </w:r>
    </w:p>
    <w:p w:rsidR="00916C8F" w:rsidRPr="00120022" w:rsidRDefault="004E6EF1" w:rsidP="009D4887">
      <w:pPr>
        <w:pStyle w:val="Heading3"/>
      </w:pPr>
      <w:r w:rsidRPr="00120022">
        <w:t xml:space="preserve">Conclusion </w:t>
      </w:r>
    </w:p>
    <w:p w:rsidR="00EB062E" w:rsidRPr="00770309" w:rsidRDefault="004E6EF1" w:rsidP="00111710">
      <w:pPr>
        <w:pStyle w:val="NormalParagraph"/>
        <w:tabs>
          <w:tab w:val="clear" w:pos="786"/>
          <w:tab w:val="num" w:pos="567"/>
        </w:tabs>
        <w:ind w:left="567" w:hanging="567"/>
      </w:pPr>
      <w:r w:rsidRPr="00120022">
        <w:t xml:space="preserve">On the basis of the above the ACCC formed the view that </w:t>
      </w:r>
      <w:r w:rsidR="00571B69">
        <w:t>BlueScope’s</w:t>
      </w:r>
      <w:r w:rsidR="00571B69" w:rsidRPr="00120022">
        <w:t xml:space="preserve"> </w:t>
      </w:r>
      <w:r w:rsidRPr="00120022">
        <w:t>proposed acquisition of</w:t>
      </w:r>
      <w:bookmarkStart w:id="6" w:name="Target4"/>
      <w:bookmarkEnd w:id="6"/>
      <w:r w:rsidRPr="00120022">
        <w:t xml:space="preserve"> Orrcon </w:t>
      </w:r>
      <w:r w:rsidR="00571B69">
        <w:t>from Hills</w:t>
      </w:r>
      <w:r w:rsidRPr="00120022">
        <w:t xml:space="preserve"> would not be likely to result in a substantial lessening of competition in any market in contravention of section 50 of the Act.</w:t>
      </w:r>
    </w:p>
    <w:sectPr w:rsidR="00EB062E" w:rsidRPr="00770309">
      <w:headerReference w:type="default" r:id="rId12"/>
      <w:footerReference w:type="even" r:id="rId13"/>
      <w:footerReference w:type="default" r:id="rId14"/>
      <w:footerReference w:type="first" r:id="rId15"/>
      <w:pgSz w:w="11906" w:h="16838" w:code="9"/>
      <w:pgMar w:top="1440" w:right="1729" w:bottom="1582" w:left="1729" w:header="720" w:footer="10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879" w:rsidRDefault="009E1879" w:rsidP="000A1131">
      <w:r>
        <w:separator/>
      </w:r>
    </w:p>
  </w:endnote>
  <w:endnote w:type="continuationSeparator" w:id="0">
    <w:p w:rsidR="009E1879" w:rsidRDefault="009E1879" w:rsidP="000A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79" w:rsidRDefault="009E187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9E1879" w:rsidRDefault="009E187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902306"/>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rPr>
            <w:rFonts w:ascii="Times New Roman" w:hAnsi="Times New Roman" w:cs="Times New Roman"/>
          </w:rPr>
        </w:sdtEndPr>
        <w:sdtContent>
          <w:p w:rsidR="009E1879" w:rsidRDefault="009E1879">
            <w:pPr>
              <w:pStyle w:val="Footer"/>
              <w:jc w:val="right"/>
            </w:pPr>
            <w:r w:rsidRPr="000A1131">
              <w:rPr>
                <w:rFonts w:ascii="Arial" w:hAnsi="Arial" w:cs="Arial"/>
              </w:rPr>
              <w:t xml:space="preserve">Page </w:t>
            </w:r>
            <w:r w:rsidRPr="000A1131">
              <w:rPr>
                <w:rFonts w:ascii="Arial" w:hAnsi="Arial" w:cs="Arial"/>
                <w:b/>
                <w:bCs/>
              </w:rPr>
              <w:fldChar w:fldCharType="begin"/>
            </w:r>
            <w:r w:rsidRPr="000A1131">
              <w:rPr>
                <w:rFonts w:ascii="Arial" w:hAnsi="Arial" w:cs="Arial"/>
                <w:b/>
                <w:bCs/>
              </w:rPr>
              <w:instrText xml:space="preserve"> PAGE </w:instrText>
            </w:r>
            <w:r w:rsidRPr="000A1131">
              <w:rPr>
                <w:rFonts w:ascii="Arial" w:hAnsi="Arial" w:cs="Arial"/>
                <w:b/>
                <w:bCs/>
              </w:rPr>
              <w:fldChar w:fldCharType="separate"/>
            </w:r>
            <w:r w:rsidR="00C32307">
              <w:rPr>
                <w:rFonts w:ascii="Arial" w:hAnsi="Arial" w:cs="Arial"/>
                <w:b/>
                <w:bCs/>
                <w:noProof/>
              </w:rPr>
              <w:t>17</w:t>
            </w:r>
            <w:r w:rsidRPr="000A1131">
              <w:rPr>
                <w:rFonts w:ascii="Arial" w:hAnsi="Arial" w:cs="Arial"/>
                <w:b/>
                <w:bCs/>
              </w:rPr>
              <w:fldChar w:fldCharType="end"/>
            </w:r>
            <w:r w:rsidRPr="000A1131">
              <w:rPr>
                <w:rFonts w:ascii="Arial" w:hAnsi="Arial" w:cs="Arial"/>
              </w:rPr>
              <w:t xml:space="preserve"> of </w:t>
            </w:r>
            <w:r w:rsidRPr="000A1131">
              <w:rPr>
                <w:rFonts w:ascii="Arial" w:hAnsi="Arial" w:cs="Arial"/>
                <w:b/>
                <w:bCs/>
              </w:rPr>
              <w:fldChar w:fldCharType="begin"/>
            </w:r>
            <w:r w:rsidRPr="000A1131">
              <w:rPr>
                <w:rFonts w:ascii="Arial" w:hAnsi="Arial" w:cs="Arial"/>
                <w:b/>
                <w:bCs/>
              </w:rPr>
              <w:instrText xml:space="preserve"> NUMPAGES  </w:instrText>
            </w:r>
            <w:r w:rsidRPr="000A1131">
              <w:rPr>
                <w:rFonts w:ascii="Arial" w:hAnsi="Arial" w:cs="Arial"/>
                <w:b/>
                <w:bCs/>
              </w:rPr>
              <w:fldChar w:fldCharType="separate"/>
            </w:r>
            <w:r w:rsidR="00C32307">
              <w:rPr>
                <w:rFonts w:ascii="Arial" w:hAnsi="Arial" w:cs="Arial"/>
                <w:b/>
                <w:bCs/>
                <w:noProof/>
              </w:rPr>
              <w:t>17</w:t>
            </w:r>
            <w:r w:rsidRPr="000A1131">
              <w:rPr>
                <w:rFonts w:ascii="Arial" w:hAnsi="Arial" w:cs="Arial"/>
                <w:b/>
                <w:bCs/>
              </w:rPr>
              <w:fldChar w:fldCharType="end"/>
            </w:r>
          </w:p>
        </w:sdtContent>
      </w:sdt>
    </w:sdtContent>
  </w:sdt>
  <w:p w:rsidR="009E1879" w:rsidRPr="001E2914" w:rsidRDefault="009E1879">
    <w:pPr>
      <w:pStyle w:val="Footer"/>
      <w:jc w:val="right"/>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79" w:rsidRPr="00D11F62" w:rsidRDefault="009E1879">
    <w:pPr>
      <w:pStyle w:val="Footer"/>
      <w:jc w:val="right"/>
      <w:rPr>
        <w:rFonts w:ascii="Arial" w:hAnsi="Arial" w:cs="Arial"/>
        <w:sz w:val="22"/>
        <w:szCs w:val="22"/>
      </w:rPr>
    </w:pPr>
    <w:r w:rsidRPr="00D11F62">
      <w:rPr>
        <w:rFonts w:ascii="Arial" w:hAnsi="Arial" w:cs="Arial"/>
        <w:sz w:val="22"/>
        <w:szCs w:val="22"/>
      </w:rPr>
      <w:t xml:space="preserve">Page </w:t>
    </w:r>
    <w:r w:rsidRPr="00D11F62">
      <w:rPr>
        <w:rFonts w:ascii="Arial" w:hAnsi="Arial" w:cs="Arial"/>
        <w:b/>
        <w:sz w:val="22"/>
        <w:szCs w:val="22"/>
      </w:rPr>
      <w:fldChar w:fldCharType="begin"/>
    </w:r>
    <w:r w:rsidRPr="00D11F62">
      <w:rPr>
        <w:rFonts w:ascii="Arial" w:hAnsi="Arial" w:cs="Arial"/>
        <w:b/>
        <w:sz w:val="22"/>
        <w:szCs w:val="22"/>
      </w:rPr>
      <w:instrText xml:space="preserve"> PAGE </w:instrText>
    </w:r>
    <w:r w:rsidRPr="00D11F62">
      <w:rPr>
        <w:rFonts w:ascii="Arial" w:hAnsi="Arial" w:cs="Arial"/>
        <w:b/>
        <w:sz w:val="22"/>
        <w:szCs w:val="22"/>
      </w:rPr>
      <w:fldChar w:fldCharType="separate"/>
    </w:r>
    <w:r w:rsidR="00C32307">
      <w:rPr>
        <w:rFonts w:ascii="Arial" w:hAnsi="Arial" w:cs="Arial"/>
        <w:b/>
        <w:noProof/>
        <w:sz w:val="22"/>
        <w:szCs w:val="22"/>
      </w:rPr>
      <w:t>1</w:t>
    </w:r>
    <w:r w:rsidRPr="00D11F62">
      <w:rPr>
        <w:rFonts w:ascii="Arial" w:hAnsi="Arial" w:cs="Arial"/>
        <w:b/>
        <w:sz w:val="22"/>
        <w:szCs w:val="22"/>
      </w:rPr>
      <w:fldChar w:fldCharType="end"/>
    </w:r>
    <w:r w:rsidRPr="00D11F62">
      <w:rPr>
        <w:rFonts w:ascii="Arial" w:hAnsi="Arial" w:cs="Arial"/>
        <w:sz w:val="22"/>
        <w:szCs w:val="22"/>
      </w:rPr>
      <w:t xml:space="preserve"> of </w:t>
    </w:r>
    <w:r w:rsidRPr="00D11F62">
      <w:rPr>
        <w:rFonts w:ascii="Arial" w:hAnsi="Arial" w:cs="Arial"/>
        <w:b/>
        <w:sz w:val="22"/>
        <w:szCs w:val="22"/>
      </w:rPr>
      <w:fldChar w:fldCharType="begin"/>
    </w:r>
    <w:r w:rsidRPr="00D11F62">
      <w:rPr>
        <w:rFonts w:ascii="Arial" w:hAnsi="Arial" w:cs="Arial"/>
        <w:b/>
        <w:sz w:val="22"/>
        <w:szCs w:val="22"/>
      </w:rPr>
      <w:instrText xml:space="preserve"> NUMPAGES  </w:instrText>
    </w:r>
    <w:r w:rsidRPr="00D11F62">
      <w:rPr>
        <w:rFonts w:ascii="Arial" w:hAnsi="Arial" w:cs="Arial"/>
        <w:b/>
        <w:sz w:val="22"/>
        <w:szCs w:val="22"/>
      </w:rPr>
      <w:fldChar w:fldCharType="separate"/>
    </w:r>
    <w:r w:rsidR="00C32307">
      <w:rPr>
        <w:rFonts w:ascii="Arial" w:hAnsi="Arial" w:cs="Arial"/>
        <w:b/>
        <w:noProof/>
        <w:sz w:val="22"/>
        <w:szCs w:val="22"/>
      </w:rPr>
      <w:t>1</w:t>
    </w:r>
    <w:r w:rsidRPr="00D11F62">
      <w:rPr>
        <w:rFonts w:ascii="Arial" w:hAnsi="Arial" w:cs="Arial"/>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879" w:rsidRDefault="009E1879" w:rsidP="000A1131">
      <w:r>
        <w:separator/>
      </w:r>
    </w:p>
  </w:footnote>
  <w:footnote w:type="continuationSeparator" w:id="0">
    <w:p w:rsidR="009E1879" w:rsidRDefault="009E1879" w:rsidP="000A1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79" w:rsidRPr="001E2914" w:rsidRDefault="009E1879">
    <w:pPr>
      <w:pStyle w:val="Header"/>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FE04D04"/>
    <w:lvl w:ilvl="0">
      <w:start w:val="1"/>
      <w:numFmt w:val="bullet"/>
      <w:lvlText w:val=""/>
      <w:lvlJc w:val="left"/>
      <w:pPr>
        <w:tabs>
          <w:tab w:val="num" w:pos="360"/>
        </w:tabs>
        <w:ind w:left="360" w:hanging="360"/>
      </w:pPr>
      <w:rPr>
        <w:rFonts w:ascii="Symbol" w:hAnsi="Symbol" w:hint="default"/>
      </w:rPr>
    </w:lvl>
  </w:abstractNum>
  <w:abstractNum w:abstractNumId="1">
    <w:nsid w:val="16050137"/>
    <w:multiLevelType w:val="hybridMultilevel"/>
    <w:tmpl w:val="DC5AE886"/>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3">
      <w:start w:val="1"/>
      <w:numFmt w:val="bullet"/>
      <w:lvlText w:val="o"/>
      <w:lvlJc w:val="left"/>
      <w:pPr>
        <w:ind w:left="2509" w:hanging="360"/>
      </w:pPr>
      <w:rPr>
        <w:rFonts w:ascii="Courier New" w:hAnsi="Courier New" w:cs="Courier New"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nsid w:val="19F7594D"/>
    <w:multiLevelType w:val="hybridMultilevel"/>
    <w:tmpl w:val="2D382CE2"/>
    <w:lvl w:ilvl="0" w:tplc="34D2E0C0">
      <w:start w:val="1"/>
      <w:numFmt w:val="decimal"/>
      <w:lvlText w:val="%1."/>
      <w:lvlJc w:val="left"/>
      <w:pPr>
        <w:tabs>
          <w:tab w:val="num" w:pos="502"/>
        </w:tabs>
        <w:ind w:left="502" w:hanging="360"/>
      </w:pPr>
      <w:rPr>
        <w:rFonts w:ascii="Arial" w:hAnsi="Arial" w:cs="Arial" w:hint="default"/>
        <w:b w:val="0"/>
        <w:i w:val="0"/>
        <w:sz w:val="22"/>
        <w:szCs w:val="22"/>
      </w:rPr>
    </w:lvl>
    <w:lvl w:ilvl="1" w:tplc="FFFFFFFF">
      <w:start w:val="1"/>
      <w:numFmt w:val="decimal"/>
      <w:lvlText w:val="%2."/>
      <w:lvlJc w:val="left"/>
      <w:pPr>
        <w:tabs>
          <w:tab w:val="num" w:pos="502"/>
        </w:tabs>
        <w:ind w:left="502"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BD610D4"/>
    <w:multiLevelType w:val="hybridMultilevel"/>
    <w:tmpl w:val="39CCC5CA"/>
    <w:lvl w:ilvl="0" w:tplc="8A58D3C2">
      <w:start w:val="1"/>
      <w:numFmt w:val="decimal"/>
      <w:lvlText w:val="%1."/>
      <w:lvlJc w:val="left"/>
      <w:pPr>
        <w:tabs>
          <w:tab w:val="num" w:pos="747"/>
        </w:tabs>
        <w:ind w:left="180" w:firstLine="0"/>
      </w:pPr>
      <w:rPr>
        <w:rFonts w:hint="default"/>
      </w:rPr>
    </w:lvl>
    <w:lvl w:ilvl="1" w:tplc="0C090019">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4">
    <w:nsid w:val="21805366"/>
    <w:multiLevelType w:val="hybridMultilevel"/>
    <w:tmpl w:val="3EA464C4"/>
    <w:lvl w:ilvl="0" w:tplc="385A60F8">
      <w:start w:val="1"/>
      <w:numFmt w:val="decimal"/>
      <w:lvlText w:val="%1."/>
      <w:lvlJc w:val="left"/>
      <w:pPr>
        <w:tabs>
          <w:tab w:val="num" w:pos="567"/>
        </w:tabs>
        <w:ind w:left="567" w:hanging="567"/>
      </w:pPr>
      <w:rPr>
        <w:rFonts w:hint="default"/>
        <w:i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4EA4B50"/>
    <w:multiLevelType w:val="hybridMultilevel"/>
    <w:tmpl w:val="1A26A420"/>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6">
    <w:nsid w:val="42CA085C"/>
    <w:multiLevelType w:val="singleLevel"/>
    <w:tmpl w:val="BDE69892"/>
    <w:lvl w:ilvl="0">
      <w:start w:val="1"/>
      <w:numFmt w:val="bullet"/>
      <w:lvlText w:val=""/>
      <w:lvlJc w:val="left"/>
      <w:pPr>
        <w:ind w:left="360" w:hanging="360"/>
      </w:pPr>
      <w:rPr>
        <w:rFonts w:ascii="Symbol" w:hAnsi="Symbol" w:hint="default"/>
        <w:sz w:val="22"/>
        <w:szCs w:val="22"/>
      </w:rPr>
    </w:lvl>
  </w:abstractNum>
  <w:abstractNum w:abstractNumId="7">
    <w:nsid w:val="44E305FB"/>
    <w:multiLevelType w:val="multilevel"/>
    <w:tmpl w:val="317CC5D8"/>
    <w:lvl w:ilvl="0">
      <w:start w:val="1"/>
      <w:numFmt w:val="decimal"/>
      <w:pStyle w:val="NormalParagraph"/>
      <w:lvlText w:val="%1."/>
      <w:lvlJc w:val="left"/>
      <w:pPr>
        <w:tabs>
          <w:tab w:val="num" w:pos="786"/>
        </w:tabs>
        <w:ind w:left="786" w:hanging="360"/>
      </w:pPr>
      <w:rPr>
        <w:rFonts w:hint="default"/>
        <w:b w:val="0"/>
        <w:sz w:val="22"/>
        <w:szCs w:val="22"/>
      </w:rPr>
    </w:lvl>
    <w:lvl w:ilvl="1">
      <w:start w:val="1"/>
      <w:numFmt w:val="bullet"/>
      <w:lvlText w:val=""/>
      <w:lvlJc w:val="left"/>
      <w:pPr>
        <w:tabs>
          <w:tab w:val="num" w:pos="720"/>
        </w:tabs>
        <w:ind w:left="720" w:hanging="360"/>
      </w:pPr>
      <w:rPr>
        <w:rFonts w:ascii="Wingdings" w:hAnsi="Wingdings" w:hint="default"/>
        <w:sz w:val="12"/>
      </w:rPr>
    </w:lvl>
    <w:lvl w:ilvl="2">
      <w:start w:val="1"/>
      <w:numFmt w:val="bullet"/>
      <w:lvlText w:val="–"/>
      <w:lvlJc w:val="left"/>
      <w:pPr>
        <w:tabs>
          <w:tab w:val="num" w:pos="1080"/>
        </w:tabs>
        <w:ind w:left="1080" w:hanging="360"/>
      </w:pPr>
      <w:rPr>
        <w:rFonts w:ascii="Times New Roman" w:hAnsi="Times New Roman" w:hint="default"/>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4B973775"/>
    <w:multiLevelType w:val="hybridMultilevel"/>
    <w:tmpl w:val="475044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2CE7D9C"/>
    <w:multiLevelType w:val="multilevel"/>
    <w:tmpl w:val="C968366A"/>
    <w:lvl w:ilvl="0">
      <w:start w:val="1"/>
      <w:numFmt w:val="decimal"/>
      <w:pStyle w:val="HeadNumb"/>
      <w:lvlText w:val="%1."/>
      <w:lvlJc w:val="left"/>
      <w:pPr>
        <w:tabs>
          <w:tab w:val="num" w:pos="397"/>
        </w:tabs>
        <w:ind w:left="397" w:hanging="397"/>
      </w:pPr>
      <w:rPr>
        <w:rFonts w:ascii="Arial Bold" w:hAnsi="Arial Bold" w:hint="default"/>
        <w:b/>
        <w:i w:val="0"/>
        <w:caps w:val="0"/>
        <w:strike w:val="0"/>
        <w:dstrike w:val="0"/>
        <w:outline w:val="0"/>
        <w:shadow w:val="0"/>
        <w:emboss w:val="0"/>
        <w:imprint w:val="0"/>
        <w:vanish w:val="0"/>
        <w:sz w:val="18"/>
        <w:szCs w:val="18"/>
        <w:vertAlign w:val="baseline"/>
      </w:rPr>
    </w:lvl>
    <w:lvl w:ilvl="1">
      <w:start w:val="1"/>
      <w:numFmt w:val="decimal"/>
      <w:pStyle w:val="SecondlevelNumb"/>
      <w:lvlText w:val="%1.%2"/>
      <w:lvlJc w:val="left"/>
      <w:pPr>
        <w:tabs>
          <w:tab w:val="num" w:pos="567"/>
        </w:tabs>
        <w:ind w:left="964" w:hanging="397"/>
      </w:pPr>
      <w:rPr>
        <w:rFonts w:ascii="Arial" w:hAnsi="Arial" w:hint="default"/>
        <w:b w:val="0"/>
        <w:i w:val="0"/>
        <w:caps w:val="0"/>
        <w:strike w:val="0"/>
        <w:dstrike w:val="0"/>
        <w:outline w:val="0"/>
        <w:shadow w:val="0"/>
        <w:emboss w:val="0"/>
        <w:imprint w:val="0"/>
        <w:vanish w:val="0"/>
        <w:sz w:val="22"/>
        <w:szCs w:val="22"/>
        <w:vertAlign w:val="baseline"/>
      </w:rPr>
    </w:lvl>
    <w:lvl w:ilvl="2">
      <w:start w:val="1"/>
      <w:numFmt w:val="lowerLetter"/>
      <w:lvlText w:val="(%3)"/>
      <w:lvlJc w:val="left"/>
      <w:pPr>
        <w:tabs>
          <w:tab w:val="num" w:pos="1440"/>
        </w:tabs>
        <w:ind w:left="1440" w:hanging="720"/>
      </w:pPr>
      <w:rPr>
        <w:rFonts w:ascii="Tahoma" w:hAnsi="Tahoma" w:hint="default"/>
        <w:b w:val="0"/>
        <w:i w:val="0"/>
        <w:caps w:val="0"/>
        <w:strike w:val="0"/>
        <w:dstrike w:val="0"/>
        <w:outline w:val="0"/>
        <w:shadow w:val="0"/>
        <w:emboss w:val="0"/>
        <w:imprint w:val="0"/>
        <w:vanish w:val="0"/>
        <w:sz w:val="24"/>
        <w:vertAlign w:val="baseline"/>
      </w:rPr>
    </w:lvl>
    <w:lvl w:ilvl="3">
      <w:start w:val="1"/>
      <w:numFmt w:val="lowerRoman"/>
      <w:lvlText w:val="(%4)"/>
      <w:lvlJc w:val="left"/>
      <w:pPr>
        <w:tabs>
          <w:tab w:val="num" w:pos="2160"/>
        </w:tabs>
        <w:ind w:left="2160" w:hanging="720"/>
      </w:pPr>
      <w:rPr>
        <w:rFonts w:ascii="Palatino" w:hAnsi="Palatino" w:hint="default"/>
        <w:b w:val="0"/>
        <w:i w:val="0"/>
        <w:caps w:val="0"/>
        <w:strike w:val="0"/>
        <w:dstrike w:val="0"/>
        <w:outline w:val="0"/>
        <w:shadow w:val="0"/>
        <w:emboss w:val="0"/>
        <w:imprint w:val="0"/>
        <w:vanish w:val="0"/>
        <w:sz w:val="24"/>
        <w:vertAlign w:val="baseline"/>
      </w:rPr>
    </w:lvl>
    <w:lvl w:ilvl="4">
      <w:start w:val="1"/>
      <w:numFmt w:val="upperLetter"/>
      <w:lvlText w:val="(%5)"/>
      <w:lvlJc w:val="left"/>
      <w:pPr>
        <w:tabs>
          <w:tab w:val="num" w:pos="2880"/>
        </w:tabs>
        <w:ind w:left="2880" w:hanging="720"/>
      </w:pPr>
      <w:rPr>
        <w:rFonts w:ascii="Palatino" w:hAnsi="Palatino" w:hint="default"/>
        <w:b w:val="0"/>
        <w:i w:val="0"/>
        <w:caps w:val="0"/>
        <w:strike w:val="0"/>
        <w:dstrike w:val="0"/>
        <w:outline w:val="0"/>
        <w:shadow w:val="0"/>
        <w:emboss w:val="0"/>
        <w:imprint w:val="0"/>
        <w:vanish w:val="0"/>
        <w:color w:val="auto"/>
        <w:sz w:val="24"/>
        <w:vertAlign w:val="baseline"/>
      </w:rPr>
    </w:lvl>
    <w:lvl w:ilvl="5">
      <w:start w:val="1"/>
      <w:numFmt w:val="upperRoman"/>
      <w:lvlText w:val="(%6)"/>
      <w:lvlJc w:val="left"/>
      <w:pPr>
        <w:tabs>
          <w:tab w:val="num" w:pos="3600"/>
        </w:tabs>
        <w:ind w:left="3600" w:hanging="720"/>
      </w:pPr>
      <w:rPr>
        <w:rFonts w:ascii="Palatino" w:hAnsi="Palatino" w:hint="default"/>
        <w:b w:val="0"/>
        <w:i w:val="0"/>
        <w:caps w:val="0"/>
        <w:strike w:val="0"/>
        <w:dstrike w:val="0"/>
        <w:outline w:val="0"/>
        <w:shadow w:val="0"/>
        <w:emboss w:val="0"/>
        <w:imprint w:val="0"/>
        <w:vanish w:val="0"/>
        <w:sz w:val="24"/>
        <w:vertAlign w:val="baseline"/>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578419A4"/>
    <w:multiLevelType w:val="hybridMultilevel"/>
    <w:tmpl w:val="B7F6F6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00A01B5"/>
    <w:multiLevelType w:val="hybridMultilevel"/>
    <w:tmpl w:val="0B9E033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nsid w:val="75AD2D3B"/>
    <w:multiLevelType w:val="hybridMultilevel"/>
    <w:tmpl w:val="EBC0D5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DFD14A5"/>
    <w:multiLevelType w:val="hybridMultilevel"/>
    <w:tmpl w:val="79C86DE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nsid w:val="7E4C0BE7"/>
    <w:multiLevelType w:val="hybridMultilevel"/>
    <w:tmpl w:val="92704306"/>
    <w:lvl w:ilvl="0" w:tplc="0C090001">
      <w:start w:val="1"/>
      <w:numFmt w:val="bullet"/>
      <w:lvlText w:val=""/>
      <w:lvlJc w:val="left"/>
      <w:pPr>
        <w:ind w:left="1233"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num w:numId="1">
    <w:abstractNumId w:val="7"/>
  </w:num>
  <w:num w:numId="2">
    <w:abstractNumId w:val="6"/>
  </w:num>
  <w:num w:numId="3">
    <w:abstractNumId w:val="11"/>
  </w:num>
  <w:num w:numId="4">
    <w:abstractNumId w:val="4"/>
  </w:num>
  <w:num w:numId="5">
    <w:abstractNumId w:val="1"/>
  </w:num>
  <w:num w:numId="6">
    <w:abstractNumId w:val="5"/>
  </w:num>
  <w:num w:numId="7">
    <w:abstractNumId w:val="12"/>
  </w:num>
  <w:num w:numId="8">
    <w:abstractNumId w:val="1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4"/>
  </w:num>
  <w:num w:numId="15">
    <w:abstractNumId w:val="4"/>
  </w:num>
  <w:num w:numId="16">
    <w:abstractNumId w:val="4"/>
  </w:num>
  <w:num w:numId="17">
    <w:abstractNumId w:val="7"/>
  </w:num>
  <w:num w:numId="18">
    <w:abstractNumId w:val="7"/>
  </w:num>
  <w:num w:numId="19">
    <w:abstractNumId w:val="9"/>
  </w:num>
  <w:num w:numId="20">
    <w:abstractNumId w:val="2"/>
  </w:num>
  <w:num w:numId="21">
    <w:abstractNumId w:val="7"/>
  </w:num>
  <w:num w:numId="22">
    <w:abstractNumId w:val="8"/>
  </w:num>
  <w:num w:numId="23">
    <w:abstractNumId w:val="14"/>
  </w:num>
  <w:num w:numId="24">
    <w:abstractNumId w:val="7"/>
  </w:num>
  <w:num w:numId="25">
    <w:abstractNumId w:val="7"/>
  </w:num>
  <w:num w:numId="26">
    <w:abstractNumId w:val="7"/>
  </w:num>
  <w:num w:numId="27">
    <w:abstractNumId w:val="3"/>
  </w:num>
  <w:num w:numId="28">
    <w:abstractNumId w:val="7"/>
  </w:num>
  <w:num w:numId="29">
    <w:abstractNumId w:val="7"/>
  </w:num>
  <w:num w:numId="30">
    <w:abstractNumId w:val="7"/>
  </w:num>
  <w:num w:numId="31">
    <w:abstractNumId w:val="4"/>
  </w:num>
  <w:num w:numId="32">
    <w:abstractNumId w:val="7"/>
  </w:num>
  <w:num w:numId="33">
    <w:abstractNumId w:val="0"/>
  </w:num>
  <w:num w:numId="34">
    <w:abstractNumId w:val="13"/>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SCBRFS001\home$\SGOSA\bluescope orrcon - public comp (MER2014-08373).docx"/>
  </w:docVars>
  <w:rsids>
    <w:rsidRoot w:val="000A1131"/>
    <w:rsid w:val="00003E49"/>
    <w:rsid w:val="00005005"/>
    <w:rsid w:val="00007E09"/>
    <w:rsid w:val="000107D7"/>
    <w:rsid w:val="000429DE"/>
    <w:rsid w:val="00044841"/>
    <w:rsid w:val="000566AB"/>
    <w:rsid w:val="000570DC"/>
    <w:rsid w:val="00067FA8"/>
    <w:rsid w:val="00071D22"/>
    <w:rsid w:val="000769E1"/>
    <w:rsid w:val="000771B3"/>
    <w:rsid w:val="00080D94"/>
    <w:rsid w:val="00094950"/>
    <w:rsid w:val="000A1131"/>
    <w:rsid w:val="000A60F6"/>
    <w:rsid w:val="000B36D8"/>
    <w:rsid w:val="000B661A"/>
    <w:rsid w:val="000C6BC9"/>
    <w:rsid w:val="000D0BC0"/>
    <w:rsid w:val="000D5870"/>
    <w:rsid w:val="000D5EE5"/>
    <w:rsid w:val="000E2F7C"/>
    <w:rsid w:val="000E4DBA"/>
    <w:rsid w:val="000E5E47"/>
    <w:rsid w:val="00106017"/>
    <w:rsid w:val="00111710"/>
    <w:rsid w:val="00113EA0"/>
    <w:rsid w:val="001169E8"/>
    <w:rsid w:val="00117769"/>
    <w:rsid w:val="00120022"/>
    <w:rsid w:val="0012650F"/>
    <w:rsid w:val="00134605"/>
    <w:rsid w:val="00166C4A"/>
    <w:rsid w:val="001905BE"/>
    <w:rsid w:val="00191BD7"/>
    <w:rsid w:val="00194E49"/>
    <w:rsid w:val="001D584D"/>
    <w:rsid w:val="001D5EC7"/>
    <w:rsid w:val="001F235D"/>
    <w:rsid w:val="001F4A18"/>
    <w:rsid w:val="002034F4"/>
    <w:rsid w:val="00220832"/>
    <w:rsid w:val="00226EA2"/>
    <w:rsid w:val="00227218"/>
    <w:rsid w:val="0024013F"/>
    <w:rsid w:val="00247610"/>
    <w:rsid w:val="00251037"/>
    <w:rsid w:val="00263219"/>
    <w:rsid w:val="00291E21"/>
    <w:rsid w:val="002A5690"/>
    <w:rsid w:val="002B18A6"/>
    <w:rsid w:val="002E2C88"/>
    <w:rsid w:val="00313044"/>
    <w:rsid w:val="00325FDF"/>
    <w:rsid w:val="00327062"/>
    <w:rsid w:val="0034237B"/>
    <w:rsid w:val="0034609F"/>
    <w:rsid w:val="00346866"/>
    <w:rsid w:val="003852E7"/>
    <w:rsid w:val="00385E46"/>
    <w:rsid w:val="00386A20"/>
    <w:rsid w:val="00396A90"/>
    <w:rsid w:val="003976EC"/>
    <w:rsid w:val="00397830"/>
    <w:rsid w:val="003A3903"/>
    <w:rsid w:val="003B4A5B"/>
    <w:rsid w:val="003D594F"/>
    <w:rsid w:val="003D71C9"/>
    <w:rsid w:val="003F1577"/>
    <w:rsid w:val="003F7F84"/>
    <w:rsid w:val="00410879"/>
    <w:rsid w:val="004138E7"/>
    <w:rsid w:val="004144CA"/>
    <w:rsid w:val="004510BD"/>
    <w:rsid w:val="004546B6"/>
    <w:rsid w:val="00464104"/>
    <w:rsid w:val="00480B27"/>
    <w:rsid w:val="00483601"/>
    <w:rsid w:val="00491E51"/>
    <w:rsid w:val="004A6053"/>
    <w:rsid w:val="004C11DA"/>
    <w:rsid w:val="004C2DF9"/>
    <w:rsid w:val="004C6237"/>
    <w:rsid w:val="004D02F8"/>
    <w:rsid w:val="004E0AEC"/>
    <w:rsid w:val="004E547A"/>
    <w:rsid w:val="004E6EF1"/>
    <w:rsid w:val="005101FC"/>
    <w:rsid w:val="00512DAA"/>
    <w:rsid w:val="00515371"/>
    <w:rsid w:val="00525C16"/>
    <w:rsid w:val="0053034A"/>
    <w:rsid w:val="00533DC5"/>
    <w:rsid w:val="005411D5"/>
    <w:rsid w:val="0054616F"/>
    <w:rsid w:val="005524AB"/>
    <w:rsid w:val="00560E77"/>
    <w:rsid w:val="00560EAC"/>
    <w:rsid w:val="00562100"/>
    <w:rsid w:val="00571B69"/>
    <w:rsid w:val="0057549E"/>
    <w:rsid w:val="005A3BCA"/>
    <w:rsid w:val="005B3E0E"/>
    <w:rsid w:val="005B654E"/>
    <w:rsid w:val="005F0CAA"/>
    <w:rsid w:val="005F1406"/>
    <w:rsid w:val="005F5693"/>
    <w:rsid w:val="005F5F92"/>
    <w:rsid w:val="006277E8"/>
    <w:rsid w:val="00635B76"/>
    <w:rsid w:val="00642AEB"/>
    <w:rsid w:val="00663A1A"/>
    <w:rsid w:val="0066411D"/>
    <w:rsid w:val="00664357"/>
    <w:rsid w:val="00671658"/>
    <w:rsid w:val="00686C6D"/>
    <w:rsid w:val="0069025B"/>
    <w:rsid w:val="006A1A22"/>
    <w:rsid w:val="006B5419"/>
    <w:rsid w:val="006C1D47"/>
    <w:rsid w:val="006C4D91"/>
    <w:rsid w:val="006C4EE8"/>
    <w:rsid w:val="006D2C5A"/>
    <w:rsid w:val="006E4C91"/>
    <w:rsid w:val="00711CDB"/>
    <w:rsid w:val="00714788"/>
    <w:rsid w:val="00714DA4"/>
    <w:rsid w:val="00726E95"/>
    <w:rsid w:val="00741802"/>
    <w:rsid w:val="00744CF8"/>
    <w:rsid w:val="0074652A"/>
    <w:rsid w:val="00754C35"/>
    <w:rsid w:val="007629FF"/>
    <w:rsid w:val="0076633E"/>
    <w:rsid w:val="00770309"/>
    <w:rsid w:val="00794865"/>
    <w:rsid w:val="00797F80"/>
    <w:rsid w:val="007A0571"/>
    <w:rsid w:val="007A42B1"/>
    <w:rsid w:val="007A5CA5"/>
    <w:rsid w:val="007B0D15"/>
    <w:rsid w:val="007B1488"/>
    <w:rsid w:val="007D0239"/>
    <w:rsid w:val="007F1853"/>
    <w:rsid w:val="007F2448"/>
    <w:rsid w:val="007F3CC7"/>
    <w:rsid w:val="007F74FF"/>
    <w:rsid w:val="00820137"/>
    <w:rsid w:val="00820B21"/>
    <w:rsid w:val="00841DCF"/>
    <w:rsid w:val="00852BC1"/>
    <w:rsid w:val="00856648"/>
    <w:rsid w:val="00860BA3"/>
    <w:rsid w:val="008766ED"/>
    <w:rsid w:val="00881CF9"/>
    <w:rsid w:val="00883565"/>
    <w:rsid w:val="008A0F59"/>
    <w:rsid w:val="008A700B"/>
    <w:rsid w:val="008B33C2"/>
    <w:rsid w:val="008B715B"/>
    <w:rsid w:val="008D28C0"/>
    <w:rsid w:val="008E368A"/>
    <w:rsid w:val="008E6277"/>
    <w:rsid w:val="008F4AEC"/>
    <w:rsid w:val="009156E7"/>
    <w:rsid w:val="00916C8F"/>
    <w:rsid w:val="009249A8"/>
    <w:rsid w:val="009417A2"/>
    <w:rsid w:val="00942A7C"/>
    <w:rsid w:val="009463A0"/>
    <w:rsid w:val="00971251"/>
    <w:rsid w:val="00971B75"/>
    <w:rsid w:val="009C51D3"/>
    <w:rsid w:val="009C7C38"/>
    <w:rsid w:val="009D4445"/>
    <w:rsid w:val="009D4887"/>
    <w:rsid w:val="009D6D5C"/>
    <w:rsid w:val="009D79F5"/>
    <w:rsid w:val="009E1879"/>
    <w:rsid w:val="009E78EE"/>
    <w:rsid w:val="009F2D1D"/>
    <w:rsid w:val="00A0274E"/>
    <w:rsid w:val="00A62B19"/>
    <w:rsid w:val="00A70998"/>
    <w:rsid w:val="00A72C5F"/>
    <w:rsid w:val="00A74BC6"/>
    <w:rsid w:val="00A7674E"/>
    <w:rsid w:val="00A7747A"/>
    <w:rsid w:val="00A84036"/>
    <w:rsid w:val="00A87563"/>
    <w:rsid w:val="00A96429"/>
    <w:rsid w:val="00AA44E7"/>
    <w:rsid w:val="00AC1DA6"/>
    <w:rsid w:val="00AD23F9"/>
    <w:rsid w:val="00AE05D4"/>
    <w:rsid w:val="00AE152E"/>
    <w:rsid w:val="00AE16E8"/>
    <w:rsid w:val="00B00489"/>
    <w:rsid w:val="00B00EE4"/>
    <w:rsid w:val="00B1184A"/>
    <w:rsid w:val="00B20284"/>
    <w:rsid w:val="00B42DA6"/>
    <w:rsid w:val="00B47DC1"/>
    <w:rsid w:val="00B53755"/>
    <w:rsid w:val="00B56467"/>
    <w:rsid w:val="00B60983"/>
    <w:rsid w:val="00B64A1C"/>
    <w:rsid w:val="00B77559"/>
    <w:rsid w:val="00B8225F"/>
    <w:rsid w:val="00B825AC"/>
    <w:rsid w:val="00B844F9"/>
    <w:rsid w:val="00B94BC0"/>
    <w:rsid w:val="00BA3E9D"/>
    <w:rsid w:val="00BC4FA8"/>
    <w:rsid w:val="00BD2281"/>
    <w:rsid w:val="00BF0881"/>
    <w:rsid w:val="00BF2749"/>
    <w:rsid w:val="00BF5B39"/>
    <w:rsid w:val="00C01474"/>
    <w:rsid w:val="00C22A6E"/>
    <w:rsid w:val="00C32307"/>
    <w:rsid w:val="00C33AE0"/>
    <w:rsid w:val="00C35F56"/>
    <w:rsid w:val="00C36DC1"/>
    <w:rsid w:val="00C54B3C"/>
    <w:rsid w:val="00C5572F"/>
    <w:rsid w:val="00C562D6"/>
    <w:rsid w:val="00C64C97"/>
    <w:rsid w:val="00C7108B"/>
    <w:rsid w:val="00C73ABA"/>
    <w:rsid w:val="00C953DF"/>
    <w:rsid w:val="00C963B6"/>
    <w:rsid w:val="00C96EBE"/>
    <w:rsid w:val="00CB18F8"/>
    <w:rsid w:val="00CC1142"/>
    <w:rsid w:val="00CC4BE7"/>
    <w:rsid w:val="00CD7AF5"/>
    <w:rsid w:val="00D0235F"/>
    <w:rsid w:val="00D11356"/>
    <w:rsid w:val="00D17A88"/>
    <w:rsid w:val="00D17B8C"/>
    <w:rsid w:val="00D32C72"/>
    <w:rsid w:val="00D35000"/>
    <w:rsid w:val="00D413B9"/>
    <w:rsid w:val="00D422FC"/>
    <w:rsid w:val="00D44BEA"/>
    <w:rsid w:val="00D47601"/>
    <w:rsid w:val="00D534A2"/>
    <w:rsid w:val="00D5456F"/>
    <w:rsid w:val="00D67CD2"/>
    <w:rsid w:val="00D73881"/>
    <w:rsid w:val="00D8609D"/>
    <w:rsid w:val="00D94637"/>
    <w:rsid w:val="00D94F6E"/>
    <w:rsid w:val="00DA7A8A"/>
    <w:rsid w:val="00DB7F0D"/>
    <w:rsid w:val="00DC4874"/>
    <w:rsid w:val="00DC684A"/>
    <w:rsid w:val="00DD5A12"/>
    <w:rsid w:val="00DE275B"/>
    <w:rsid w:val="00DE42FE"/>
    <w:rsid w:val="00DF2944"/>
    <w:rsid w:val="00E215F6"/>
    <w:rsid w:val="00E2248A"/>
    <w:rsid w:val="00E27E4E"/>
    <w:rsid w:val="00E35523"/>
    <w:rsid w:val="00E41331"/>
    <w:rsid w:val="00E441C5"/>
    <w:rsid w:val="00E462E9"/>
    <w:rsid w:val="00E73DFE"/>
    <w:rsid w:val="00E80CBA"/>
    <w:rsid w:val="00E81BE0"/>
    <w:rsid w:val="00E83B00"/>
    <w:rsid w:val="00E9765B"/>
    <w:rsid w:val="00EA05A6"/>
    <w:rsid w:val="00EA3F04"/>
    <w:rsid w:val="00EB062E"/>
    <w:rsid w:val="00EB7541"/>
    <w:rsid w:val="00EE3F5E"/>
    <w:rsid w:val="00EE46D5"/>
    <w:rsid w:val="00EF77F0"/>
    <w:rsid w:val="00F06C6A"/>
    <w:rsid w:val="00F1027B"/>
    <w:rsid w:val="00F13759"/>
    <w:rsid w:val="00F264F0"/>
    <w:rsid w:val="00F30D5F"/>
    <w:rsid w:val="00F34DBF"/>
    <w:rsid w:val="00F45D77"/>
    <w:rsid w:val="00F617AB"/>
    <w:rsid w:val="00F618BC"/>
    <w:rsid w:val="00F91BC9"/>
    <w:rsid w:val="00F91E4B"/>
    <w:rsid w:val="00FA690B"/>
    <w:rsid w:val="00FB594E"/>
    <w:rsid w:val="00FC73B8"/>
    <w:rsid w:val="00FD04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113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0A1131"/>
    <w:pPr>
      <w:keepNext/>
      <w:tabs>
        <w:tab w:val="left" w:pos="360"/>
      </w:tabs>
      <w:spacing w:after="480"/>
      <w:ind w:left="357" w:hanging="357"/>
      <w:jc w:val="right"/>
      <w:outlineLvl w:val="0"/>
    </w:pPr>
    <w:rPr>
      <w:rFonts w:ascii="Arial" w:hAnsi="Arial"/>
      <w:b/>
      <w:sz w:val="36"/>
    </w:rPr>
  </w:style>
  <w:style w:type="paragraph" w:styleId="Heading2">
    <w:name w:val="heading 2"/>
    <w:basedOn w:val="Normal"/>
    <w:next w:val="Normal"/>
    <w:link w:val="Heading2Char"/>
    <w:qFormat/>
    <w:rsid w:val="000A1131"/>
    <w:pPr>
      <w:keepNext/>
      <w:pBdr>
        <w:bottom w:val="single" w:sz="4" w:space="1" w:color="auto"/>
      </w:pBdr>
      <w:spacing w:before="240"/>
      <w:jc w:val="right"/>
      <w:outlineLvl w:val="1"/>
    </w:pPr>
    <w:rPr>
      <w:rFonts w:ascii="Arial" w:hAnsi="Arial"/>
      <w:b/>
      <w:sz w:val="30"/>
    </w:rPr>
  </w:style>
  <w:style w:type="paragraph" w:styleId="Heading3">
    <w:name w:val="heading 3"/>
    <w:basedOn w:val="Normal"/>
    <w:next w:val="Normal"/>
    <w:link w:val="Heading3Char"/>
    <w:qFormat/>
    <w:rsid w:val="000A1131"/>
    <w:pPr>
      <w:keepNext/>
      <w:spacing w:before="120" w:after="120"/>
      <w:outlineLvl w:val="2"/>
    </w:pPr>
    <w:rPr>
      <w:rFonts w:ascii="Arial" w:hAnsi="Arial"/>
      <w:b/>
      <w:sz w:val="30"/>
      <w:szCs w:val="30"/>
    </w:rPr>
  </w:style>
  <w:style w:type="paragraph" w:styleId="Heading4">
    <w:name w:val="heading 4"/>
    <w:basedOn w:val="Normal"/>
    <w:next w:val="Normal"/>
    <w:link w:val="Heading4Char"/>
    <w:qFormat/>
    <w:rsid w:val="00E83B00"/>
    <w:pPr>
      <w:keepNext/>
      <w:spacing w:after="120"/>
      <w:outlineLvl w:val="3"/>
    </w:pPr>
    <w:rPr>
      <w:rFonts w:ascii="Arial" w:hAnsi="Arial"/>
      <w:b/>
      <w:sz w:val="26"/>
      <w:szCs w:val="26"/>
    </w:rPr>
  </w:style>
  <w:style w:type="paragraph" w:styleId="Heading5">
    <w:name w:val="heading 5"/>
    <w:basedOn w:val="Normal"/>
    <w:next w:val="Normal"/>
    <w:link w:val="Heading5Char"/>
    <w:uiPriority w:val="9"/>
    <w:unhideWhenUsed/>
    <w:qFormat/>
    <w:rsid w:val="00113EA0"/>
    <w:pPr>
      <w:keepNext/>
      <w:keepLines/>
      <w:spacing w:before="200"/>
      <w:outlineLvl w:val="4"/>
    </w:pPr>
    <w:rPr>
      <w:rFonts w:asciiTheme="majorHAnsi" w:eastAsiaTheme="majorEastAsia" w:hAnsiTheme="majorHAnsi" w:cstheme="majorBidi"/>
      <w:b/>
      <w:sz w:val="22"/>
    </w:rPr>
  </w:style>
  <w:style w:type="paragraph" w:styleId="Heading6">
    <w:name w:val="heading 6"/>
    <w:basedOn w:val="Normal"/>
    <w:next w:val="Normal"/>
    <w:link w:val="Heading6Char"/>
    <w:uiPriority w:val="9"/>
    <w:unhideWhenUsed/>
    <w:qFormat/>
    <w:rsid w:val="002E2C88"/>
    <w:pPr>
      <w:keepNext/>
      <w:keepLines/>
      <w:spacing w:before="200"/>
      <w:outlineLvl w:val="5"/>
    </w:pPr>
    <w:rPr>
      <w:rFonts w:asciiTheme="majorHAnsi" w:eastAsiaTheme="majorEastAsia" w:hAnsiTheme="majorHAnsi"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131"/>
    <w:rPr>
      <w:rFonts w:ascii="Arial" w:eastAsia="Times New Roman" w:hAnsi="Arial" w:cs="Times New Roman"/>
      <w:b/>
      <w:sz w:val="36"/>
      <w:szCs w:val="24"/>
      <w:lang w:eastAsia="en-AU"/>
    </w:rPr>
  </w:style>
  <w:style w:type="character" w:customStyle="1" w:styleId="Heading2Char">
    <w:name w:val="Heading 2 Char"/>
    <w:basedOn w:val="DefaultParagraphFont"/>
    <w:link w:val="Heading2"/>
    <w:rsid w:val="000A1131"/>
    <w:rPr>
      <w:rFonts w:ascii="Arial" w:eastAsia="Times New Roman" w:hAnsi="Arial" w:cs="Times New Roman"/>
      <w:b/>
      <w:sz w:val="30"/>
      <w:szCs w:val="24"/>
      <w:lang w:eastAsia="en-AU"/>
    </w:rPr>
  </w:style>
  <w:style w:type="character" w:customStyle="1" w:styleId="Heading3Char">
    <w:name w:val="Heading 3 Char"/>
    <w:basedOn w:val="DefaultParagraphFont"/>
    <w:link w:val="Heading3"/>
    <w:rsid w:val="000A1131"/>
    <w:rPr>
      <w:rFonts w:ascii="Arial" w:eastAsia="Times New Roman" w:hAnsi="Arial" w:cs="Times New Roman"/>
      <w:b/>
      <w:sz w:val="30"/>
      <w:szCs w:val="30"/>
      <w:lang w:eastAsia="en-AU"/>
    </w:rPr>
  </w:style>
  <w:style w:type="character" w:customStyle="1" w:styleId="Heading4Char">
    <w:name w:val="Heading 4 Char"/>
    <w:basedOn w:val="DefaultParagraphFont"/>
    <w:link w:val="Heading4"/>
    <w:rsid w:val="00E83B00"/>
    <w:rPr>
      <w:rFonts w:ascii="Arial" w:eastAsia="Times New Roman" w:hAnsi="Arial" w:cs="Times New Roman"/>
      <w:b/>
      <w:sz w:val="26"/>
      <w:szCs w:val="26"/>
      <w:lang w:eastAsia="en-AU"/>
    </w:rPr>
  </w:style>
  <w:style w:type="paragraph" w:styleId="Footer">
    <w:name w:val="footer"/>
    <w:basedOn w:val="Normal"/>
    <w:link w:val="FooterChar"/>
    <w:uiPriority w:val="99"/>
    <w:rsid w:val="000A1131"/>
    <w:pPr>
      <w:tabs>
        <w:tab w:val="center" w:pos="4153"/>
        <w:tab w:val="right" w:pos="8306"/>
      </w:tabs>
    </w:pPr>
  </w:style>
  <w:style w:type="character" w:customStyle="1" w:styleId="FooterChar">
    <w:name w:val="Footer Char"/>
    <w:basedOn w:val="DefaultParagraphFont"/>
    <w:link w:val="Footer"/>
    <w:uiPriority w:val="99"/>
    <w:rsid w:val="000A1131"/>
    <w:rPr>
      <w:rFonts w:ascii="Times New Roman" w:eastAsia="Times New Roman" w:hAnsi="Times New Roman" w:cs="Times New Roman"/>
      <w:sz w:val="24"/>
      <w:szCs w:val="24"/>
      <w:lang w:eastAsia="en-AU"/>
    </w:rPr>
  </w:style>
  <w:style w:type="character" w:styleId="PageNumber">
    <w:name w:val="page number"/>
    <w:basedOn w:val="DefaultParagraphFont"/>
    <w:rsid w:val="000A1131"/>
  </w:style>
  <w:style w:type="paragraph" w:styleId="Header">
    <w:name w:val="header"/>
    <w:basedOn w:val="Normal"/>
    <w:link w:val="HeaderChar"/>
    <w:rsid w:val="000A1131"/>
    <w:pPr>
      <w:tabs>
        <w:tab w:val="center" w:pos="4153"/>
        <w:tab w:val="right" w:pos="8306"/>
      </w:tabs>
    </w:pPr>
  </w:style>
  <w:style w:type="character" w:customStyle="1" w:styleId="HeaderChar">
    <w:name w:val="Header Char"/>
    <w:basedOn w:val="DefaultParagraphFont"/>
    <w:link w:val="Header"/>
    <w:rsid w:val="000A1131"/>
    <w:rPr>
      <w:rFonts w:ascii="Times New Roman" w:eastAsia="Times New Roman" w:hAnsi="Times New Roman" w:cs="Times New Roman"/>
      <w:sz w:val="24"/>
      <w:szCs w:val="24"/>
      <w:lang w:eastAsia="en-AU"/>
    </w:rPr>
  </w:style>
  <w:style w:type="character" w:styleId="FootnoteReference">
    <w:name w:val="footnote reference"/>
    <w:semiHidden/>
    <w:rsid w:val="000A1131"/>
    <w:rPr>
      <w:rFonts w:ascii="Times New Roman" w:hAnsi="Times New Roman"/>
      <w:sz w:val="18"/>
      <w:vertAlign w:val="superscript"/>
    </w:rPr>
  </w:style>
  <w:style w:type="paragraph" w:styleId="FootnoteText">
    <w:name w:val="footnote text"/>
    <w:basedOn w:val="Normal"/>
    <w:link w:val="FootnoteTextChar"/>
    <w:semiHidden/>
    <w:rsid w:val="000A1131"/>
    <w:pPr>
      <w:ind w:left="360" w:hanging="360"/>
    </w:pPr>
    <w:rPr>
      <w:sz w:val="20"/>
    </w:rPr>
  </w:style>
  <w:style w:type="character" w:customStyle="1" w:styleId="FootnoteTextChar">
    <w:name w:val="Footnote Text Char"/>
    <w:basedOn w:val="DefaultParagraphFont"/>
    <w:link w:val="FootnoteText"/>
    <w:semiHidden/>
    <w:rsid w:val="000A1131"/>
    <w:rPr>
      <w:rFonts w:ascii="Times New Roman" w:eastAsia="Times New Roman" w:hAnsi="Times New Roman" w:cs="Times New Roman"/>
      <w:sz w:val="20"/>
      <w:szCs w:val="24"/>
      <w:lang w:eastAsia="en-AU"/>
    </w:rPr>
  </w:style>
  <w:style w:type="paragraph" w:customStyle="1" w:styleId="Date1">
    <w:name w:val="Date1"/>
    <w:basedOn w:val="Heading2"/>
    <w:qFormat/>
    <w:rsid w:val="000A1131"/>
    <w:pPr>
      <w:pBdr>
        <w:bottom w:val="none" w:sz="0" w:space="0" w:color="auto"/>
      </w:pBdr>
    </w:pPr>
    <w:rPr>
      <w:sz w:val="28"/>
    </w:rPr>
  </w:style>
  <w:style w:type="paragraph" w:customStyle="1" w:styleId="NormalParagraph">
    <w:name w:val="Normal Paragraph"/>
    <w:basedOn w:val="Normal"/>
    <w:uiPriority w:val="99"/>
    <w:qFormat/>
    <w:rsid w:val="000A1131"/>
    <w:pPr>
      <w:numPr>
        <w:numId w:val="1"/>
      </w:numPr>
      <w:spacing w:before="120" w:after="120"/>
    </w:pPr>
    <w:rPr>
      <w:rFonts w:ascii="Arial" w:hAnsi="Arial"/>
      <w:sz w:val="22"/>
      <w:szCs w:val="22"/>
    </w:rPr>
  </w:style>
  <w:style w:type="paragraph" w:styleId="ListParagraph">
    <w:name w:val="List Paragraph"/>
    <w:basedOn w:val="ListBullet"/>
    <w:link w:val="ListParagraphChar"/>
    <w:uiPriority w:val="34"/>
    <w:qFormat/>
    <w:rsid w:val="000A1131"/>
    <w:pPr>
      <w:keepLines/>
      <w:tabs>
        <w:tab w:val="clear" w:pos="786"/>
        <w:tab w:val="num" w:pos="927"/>
      </w:tabs>
      <w:spacing w:after="120"/>
      <w:ind w:left="924" w:hanging="357"/>
      <w:contextualSpacing w:val="0"/>
    </w:pPr>
    <w:rPr>
      <w:rFonts w:ascii="Arial" w:hAnsi="Arial" w:cs="Arial"/>
      <w:sz w:val="22"/>
      <w:szCs w:val="22"/>
    </w:rPr>
  </w:style>
  <w:style w:type="paragraph" w:styleId="ListBullet">
    <w:name w:val="List Bullet"/>
    <w:basedOn w:val="Normal"/>
    <w:uiPriority w:val="99"/>
    <w:semiHidden/>
    <w:unhideWhenUsed/>
    <w:rsid w:val="000A1131"/>
    <w:pPr>
      <w:tabs>
        <w:tab w:val="num" w:pos="786"/>
      </w:tabs>
      <w:ind w:left="786" w:hanging="360"/>
      <w:contextualSpacing/>
    </w:pPr>
  </w:style>
  <w:style w:type="paragraph" w:styleId="BalloonText">
    <w:name w:val="Balloon Text"/>
    <w:basedOn w:val="Normal"/>
    <w:link w:val="BalloonTextChar"/>
    <w:uiPriority w:val="99"/>
    <w:semiHidden/>
    <w:unhideWhenUsed/>
    <w:rsid w:val="000A1131"/>
    <w:rPr>
      <w:rFonts w:ascii="Tahoma" w:hAnsi="Tahoma" w:cs="Tahoma"/>
      <w:sz w:val="16"/>
      <w:szCs w:val="16"/>
    </w:rPr>
  </w:style>
  <w:style w:type="character" w:customStyle="1" w:styleId="BalloonTextChar">
    <w:name w:val="Balloon Text Char"/>
    <w:basedOn w:val="DefaultParagraphFont"/>
    <w:link w:val="BalloonText"/>
    <w:uiPriority w:val="99"/>
    <w:semiHidden/>
    <w:rsid w:val="000A1131"/>
    <w:rPr>
      <w:rFonts w:ascii="Tahoma" w:eastAsia="Times New Roman" w:hAnsi="Tahoma" w:cs="Tahoma"/>
      <w:sz w:val="16"/>
      <w:szCs w:val="16"/>
      <w:lang w:eastAsia="en-AU"/>
    </w:rPr>
  </w:style>
  <w:style w:type="paragraph" w:customStyle="1" w:styleId="Default">
    <w:name w:val="Default"/>
    <w:rsid w:val="00D534A2"/>
    <w:pPr>
      <w:autoSpaceDE w:val="0"/>
      <w:autoSpaceDN w:val="0"/>
      <w:adjustRightInd w:val="0"/>
      <w:spacing w:after="0" w:line="240" w:lineRule="auto"/>
    </w:pPr>
    <w:rPr>
      <w:rFonts w:ascii="Arial" w:hAnsi="Arial" w:cs="Arial"/>
      <w:color w:val="000000"/>
      <w:sz w:val="24"/>
      <w:szCs w:val="24"/>
    </w:rPr>
  </w:style>
  <w:style w:type="paragraph" w:customStyle="1" w:styleId="Numbered">
    <w:name w:val="Numbered"/>
    <w:basedOn w:val="Normal"/>
    <w:autoRedefine/>
    <w:rsid w:val="000771B3"/>
    <w:pPr>
      <w:spacing w:after="240"/>
      <w:ind w:left="567" w:hanging="567"/>
    </w:pPr>
    <w:rPr>
      <w:rFonts w:ascii="Arial" w:hAnsi="Arial" w:cs="Arial"/>
      <w:b/>
      <w:sz w:val="22"/>
      <w:szCs w:val="22"/>
      <w:lang w:eastAsia="en-US"/>
    </w:rPr>
  </w:style>
  <w:style w:type="table" w:styleId="TableGrid">
    <w:name w:val="Table Grid"/>
    <w:basedOn w:val="TableNormal"/>
    <w:uiPriority w:val="59"/>
    <w:rsid w:val="00916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0274E"/>
    <w:pPr>
      <w:spacing w:before="100" w:beforeAutospacing="1" w:after="100" w:afterAutospacing="1"/>
    </w:pPr>
  </w:style>
  <w:style w:type="character" w:styleId="CommentReference">
    <w:name w:val="annotation reference"/>
    <w:basedOn w:val="DefaultParagraphFont"/>
    <w:uiPriority w:val="99"/>
    <w:semiHidden/>
    <w:unhideWhenUsed/>
    <w:rsid w:val="00EA3F04"/>
    <w:rPr>
      <w:sz w:val="16"/>
      <w:szCs w:val="16"/>
    </w:rPr>
  </w:style>
  <w:style w:type="paragraph" w:styleId="CommentText">
    <w:name w:val="annotation text"/>
    <w:basedOn w:val="Normal"/>
    <w:link w:val="CommentTextChar"/>
    <w:uiPriority w:val="99"/>
    <w:unhideWhenUsed/>
    <w:rsid w:val="00EA3F04"/>
    <w:rPr>
      <w:sz w:val="20"/>
      <w:szCs w:val="20"/>
    </w:rPr>
  </w:style>
  <w:style w:type="character" w:customStyle="1" w:styleId="CommentTextChar">
    <w:name w:val="Comment Text Char"/>
    <w:basedOn w:val="DefaultParagraphFont"/>
    <w:link w:val="CommentText"/>
    <w:uiPriority w:val="99"/>
    <w:rsid w:val="00EA3F0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A3F04"/>
    <w:rPr>
      <w:b/>
      <w:bCs/>
    </w:rPr>
  </w:style>
  <w:style w:type="character" w:customStyle="1" w:styleId="CommentSubjectChar">
    <w:name w:val="Comment Subject Char"/>
    <w:basedOn w:val="CommentTextChar"/>
    <w:link w:val="CommentSubject"/>
    <w:uiPriority w:val="99"/>
    <w:semiHidden/>
    <w:rsid w:val="00EA3F04"/>
    <w:rPr>
      <w:rFonts w:ascii="Times New Roman" w:eastAsia="Times New Roman" w:hAnsi="Times New Roman" w:cs="Times New Roman"/>
      <w:b/>
      <w:bCs/>
      <w:sz w:val="20"/>
      <w:szCs w:val="20"/>
      <w:lang w:eastAsia="en-AU"/>
    </w:rPr>
  </w:style>
  <w:style w:type="paragraph" w:styleId="Revision">
    <w:name w:val="Revision"/>
    <w:hidden/>
    <w:uiPriority w:val="99"/>
    <w:semiHidden/>
    <w:rsid w:val="000E4DBA"/>
    <w:pPr>
      <w:spacing w:after="0" w:line="240" w:lineRule="auto"/>
    </w:pPr>
    <w:rPr>
      <w:rFonts w:ascii="Times New Roman" w:eastAsia="Times New Roman" w:hAnsi="Times New Roman" w:cs="Times New Roman"/>
      <w:sz w:val="24"/>
      <w:szCs w:val="24"/>
      <w:lang w:eastAsia="en-AU"/>
    </w:rPr>
  </w:style>
  <w:style w:type="paragraph" w:customStyle="1" w:styleId="HeadNumb">
    <w:name w:val="Head Numb"/>
    <w:basedOn w:val="Normal"/>
    <w:rsid w:val="00560E77"/>
    <w:pPr>
      <w:numPr>
        <w:numId w:val="19"/>
      </w:numPr>
      <w:shd w:val="clear" w:color="auto" w:fill="D9D9D9"/>
    </w:pPr>
    <w:rPr>
      <w:rFonts w:ascii="Arial" w:hAnsi="Arial"/>
      <w:b/>
      <w:sz w:val="18"/>
      <w:szCs w:val="18"/>
    </w:rPr>
  </w:style>
  <w:style w:type="paragraph" w:customStyle="1" w:styleId="SecondlevelNumb">
    <w:name w:val="Second level Numb"/>
    <w:basedOn w:val="Normal"/>
    <w:rsid w:val="00560E77"/>
    <w:pPr>
      <w:numPr>
        <w:ilvl w:val="1"/>
        <w:numId w:val="19"/>
      </w:numPr>
      <w:spacing w:line="360" w:lineRule="auto"/>
    </w:pPr>
  </w:style>
  <w:style w:type="character" w:customStyle="1" w:styleId="ListParagraphChar">
    <w:name w:val="List Paragraph Char"/>
    <w:basedOn w:val="DefaultParagraphFont"/>
    <w:link w:val="ListParagraph"/>
    <w:uiPriority w:val="34"/>
    <w:rsid w:val="005F5693"/>
    <w:rPr>
      <w:rFonts w:ascii="Arial" w:eastAsia="Times New Roman" w:hAnsi="Arial" w:cs="Arial"/>
      <w:lang w:eastAsia="en-AU"/>
    </w:rPr>
  </w:style>
  <w:style w:type="character" w:customStyle="1" w:styleId="Heading5Char">
    <w:name w:val="Heading 5 Char"/>
    <w:basedOn w:val="DefaultParagraphFont"/>
    <w:link w:val="Heading5"/>
    <w:uiPriority w:val="9"/>
    <w:rsid w:val="00113EA0"/>
    <w:rPr>
      <w:rFonts w:asciiTheme="majorHAnsi" w:eastAsiaTheme="majorEastAsia" w:hAnsiTheme="majorHAnsi" w:cstheme="majorBidi"/>
      <w:b/>
      <w:szCs w:val="24"/>
      <w:lang w:eastAsia="en-AU"/>
    </w:rPr>
  </w:style>
  <w:style w:type="paragraph" w:styleId="NoSpacing">
    <w:name w:val="No Spacing"/>
    <w:uiPriority w:val="1"/>
    <w:qFormat/>
    <w:rsid w:val="00113EA0"/>
    <w:pPr>
      <w:spacing w:after="0" w:line="240" w:lineRule="auto"/>
    </w:pPr>
    <w:rPr>
      <w:rFonts w:ascii="Times New Roman" w:eastAsia="Times New Roman" w:hAnsi="Times New Roman" w:cs="Times New Roman"/>
      <w:sz w:val="24"/>
      <w:szCs w:val="24"/>
      <w:lang w:eastAsia="en-AU"/>
    </w:rPr>
  </w:style>
  <w:style w:type="character" w:customStyle="1" w:styleId="Heading6Char">
    <w:name w:val="Heading 6 Char"/>
    <w:basedOn w:val="DefaultParagraphFont"/>
    <w:link w:val="Heading6"/>
    <w:uiPriority w:val="9"/>
    <w:rsid w:val="002E2C88"/>
    <w:rPr>
      <w:rFonts w:asciiTheme="majorHAnsi" w:eastAsiaTheme="majorEastAsia" w:hAnsiTheme="majorHAnsi" w:cstheme="majorBidi"/>
      <w:b/>
      <w:iCs/>
      <w:sz w:val="20"/>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113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0A1131"/>
    <w:pPr>
      <w:keepNext/>
      <w:tabs>
        <w:tab w:val="left" w:pos="360"/>
      </w:tabs>
      <w:spacing w:after="480"/>
      <w:ind w:left="357" w:hanging="357"/>
      <w:jc w:val="right"/>
      <w:outlineLvl w:val="0"/>
    </w:pPr>
    <w:rPr>
      <w:rFonts w:ascii="Arial" w:hAnsi="Arial"/>
      <w:b/>
      <w:sz w:val="36"/>
    </w:rPr>
  </w:style>
  <w:style w:type="paragraph" w:styleId="Heading2">
    <w:name w:val="heading 2"/>
    <w:basedOn w:val="Normal"/>
    <w:next w:val="Normal"/>
    <w:link w:val="Heading2Char"/>
    <w:qFormat/>
    <w:rsid w:val="000A1131"/>
    <w:pPr>
      <w:keepNext/>
      <w:pBdr>
        <w:bottom w:val="single" w:sz="4" w:space="1" w:color="auto"/>
      </w:pBdr>
      <w:spacing w:before="240"/>
      <w:jc w:val="right"/>
      <w:outlineLvl w:val="1"/>
    </w:pPr>
    <w:rPr>
      <w:rFonts w:ascii="Arial" w:hAnsi="Arial"/>
      <w:b/>
      <w:sz w:val="30"/>
    </w:rPr>
  </w:style>
  <w:style w:type="paragraph" w:styleId="Heading3">
    <w:name w:val="heading 3"/>
    <w:basedOn w:val="Normal"/>
    <w:next w:val="Normal"/>
    <w:link w:val="Heading3Char"/>
    <w:qFormat/>
    <w:rsid w:val="000A1131"/>
    <w:pPr>
      <w:keepNext/>
      <w:spacing w:before="120" w:after="120"/>
      <w:outlineLvl w:val="2"/>
    </w:pPr>
    <w:rPr>
      <w:rFonts w:ascii="Arial" w:hAnsi="Arial"/>
      <w:b/>
      <w:sz w:val="30"/>
      <w:szCs w:val="30"/>
    </w:rPr>
  </w:style>
  <w:style w:type="paragraph" w:styleId="Heading4">
    <w:name w:val="heading 4"/>
    <w:basedOn w:val="Normal"/>
    <w:next w:val="Normal"/>
    <w:link w:val="Heading4Char"/>
    <w:qFormat/>
    <w:rsid w:val="00E83B00"/>
    <w:pPr>
      <w:keepNext/>
      <w:spacing w:after="120"/>
      <w:outlineLvl w:val="3"/>
    </w:pPr>
    <w:rPr>
      <w:rFonts w:ascii="Arial" w:hAnsi="Arial"/>
      <w:b/>
      <w:sz w:val="26"/>
      <w:szCs w:val="26"/>
    </w:rPr>
  </w:style>
  <w:style w:type="paragraph" w:styleId="Heading5">
    <w:name w:val="heading 5"/>
    <w:basedOn w:val="Normal"/>
    <w:next w:val="Normal"/>
    <w:link w:val="Heading5Char"/>
    <w:uiPriority w:val="9"/>
    <w:unhideWhenUsed/>
    <w:qFormat/>
    <w:rsid w:val="00113EA0"/>
    <w:pPr>
      <w:keepNext/>
      <w:keepLines/>
      <w:spacing w:before="200"/>
      <w:outlineLvl w:val="4"/>
    </w:pPr>
    <w:rPr>
      <w:rFonts w:asciiTheme="majorHAnsi" w:eastAsiaTheme="majorEastAsia" w:hAnsiTheme="majorHAnsi" w:cstheme="majorBidi"/>
      <w:b/>
      <w:sz w:val="22"/>
    </w:rPr>
  </w:style>
  <w:style w:type="paragraph" w:styleId="Heading6">
    <w:name w:val="heading 6"/>
    <w:basedOn w:val="Normal"/>
    <w:next w:val="Normal"/>
    <w:link w:val="Heading6Char"/>
    <w:uiPriority w:val="9"/>
    <w:unhideWhenUsed/>
    <w:qFormat/>
    <w:rsid w:val="002E2C88"/>
    <w:pPr>
      <w:keepNext/>
      <w:keepLines/>
      <w:spacing w:before="200"/>
      <w:outlineLvl w:val="5"/>
    </w:pPr>
    <w:rPr>
      <w:rFonts w:asciiTheme="majorHAnsi" w:eastAsiaTheme="majorEastAsia" w:hAnsiTheme="majorHAnsi"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131"/>
    <w:rPr>
      <w:rFonts w:ascii="Arial" w:eastAsia="Times New Roman" w:hAnsi="Arial" w:cs="Times New Roman"/>
      <w:b/>
      <w:sz w:val="36"/>
      <w:szCs w:val="24"/>
      <w:lang w:eastAsia="en-AU"/>
    </w:rPr>
  </w:style>
  <w:style w:type="character" w:customStyle="1" w:styleId="Heading2Char">
    <w:name w:val="Heading 2 Char"/>
    <w:basedOn w:val="DefaultParagraphFont"/>
    <w:link w:val="Heading2"/>
    <w:rsid w:val="000A1131"/>
    <w:rPr>
      <w:rFonts w:ascii="Arial" w:eastAsia="Times New Roman" w:hAnsi="Arial" w:cs="Times New Roman"/>
      <w:b/>
      <w:sz w:val="30"/>
      <w:szCs w:val="24"/>
      <w:lang w:eastAsia="en-AU"/>
    </w:rPr>
  </w:style>
  <w:style w:type="character" w:customStyle="1" w:styleId="Heading3Char">
    <w:name w:val="Heading 3 Char"/>
    <w:basedOn w:val="DefaultParagraphFont"/>
    <w:link w:val="Heading3"/>
    <w:rsid w:val="000A1131"/>
    <w:rPr>
      <w:rFonts w:ascii="Arial" w:eastAsia="Times New Roman" w:hAnsi="Arial" w:cs="Times New Roman"/>
      <w:b/>
      <w:sz w:val="30"/>
      <w:szCs w:val="30"/>
      <w:lang w:eastAsia="en-AU"/>
    </w:rPr>
  </w:style>
  <w:style w:type="character" w:customStyle="1" w:styleId="Heading4Char">
    <w:name w:val="Heading 4 Char"/>
    <w:basedOn w:val="DefaultParagraphFont"/>
    <w:link w:val="Heading4"/>
    <w:rsid w:val="00E83B00"/>
    <w:rPr>
      <w:rFonts w:ascii="Arial" w:eastAsia="Times New Roman" w:hAnsi="Arial" w:cs="Times New Roman"/>
      <w:b/>
      <w:sz w:val="26"/>
      <w:szCs w:val="26"/>
      <w:lang w:eastAsia="en-AU"/>
    </w:rPr>
  </w:style>
  <w:style w:type="paragraph" w:styleId="Footer">
    <w:name w:val="footer"/>
    <w:basedOn w:val="Normal"/>
    <w:link w:val="FooterChar"/>
    <w:uiPriority w:val="99"/>
    <w:rsid w:val="000A1131"/>
    <w:pPr>
      <w:tabs>
        <w:tab w:val="center" w:pos="4153"/>
        <w:tab w:val="right" w:pos="8306"/>
      </w:tabs>
    </w:pPr>
  </w:style>
  <w:style w:type="character" w:customStyle="1" w:styleId="FooterChar">
    <w:name w:val="Footer Char"/>
    <w:basedOn w:val="DefaultParagraphFont"/>
    <w:link w:val="Footer"/>
    <w:uiPriority w:val="99"/>
    <w:rsid w:val="000A1131"/>
    <w:rPr>
      <w:rFonts w:ascii="Times New Roman" w:eastAsia="Times New Roman" w:hAnsi="Times New Roman" w:cs="Times New Roman"/>
      <w:sz w:val="24"/>
      <w:szCs w:val="24"/>
      <w:lang w:eastAsia="en-AU"/>
    </w:rPr>
  </w:style>
  <w:style w:type="character" w:styleId="PageNumber">
    <w:name w:val="page number"/>
    <w:basedOn w:val="DefaultParagraphFont"/>
    <w:rsid w:val="000A1131"/>
  </w:style>
  <w:style w:type="paragraph" w:styleId="Header">
    <w:name w:val="header"/>
    <w:basedOn w:val="Normal"/>
    <w:link w:val="HeaderChar"/>
    <w:rsid w:val="000A1131"/>
    <w:pPr>
      <w:tabs>
        <w:tab w:val="center" w:pos="4153"/>
        <w:tab w:val="right" w:pos="8306"/>
      </w:tabs>
    </w:pPr>
  </w:style>
  <w:style w:type="character" w:customStyle="1" w:styleId="HeaderChar">
    <w:name w:val="Header Char"/>
    <w:basedOn w:val="DefaultParagraphFont"/>
    <w:link w:val="Header"/>
    <w:rsid w:val="000A1131"/>
    <w:rPr>
      <w:rFonts w:ascii="Times New Roman" w:eastAsia="Times New Roman" w:hAnsi="Times New Roman" w:cs="Times New Roman"/>
      <w:sz w:val="24"/>
      <w:szCs w:val="24"/>
      <w:lang w:eastAsia="en-AU"/>
    </w:rPr>
  </w:style>
  <w:style w:type="character" w:styleId="FootnoteReference">
    <w:name w:val="footnote reference"/>
    <w:semiHidden/>
    <w:rsid w:val="000A1131"/>
    <w:rPr>
      <w:rFonts w:ascii="Times New Roman" w:hAnsi="Times New Roman"/>
      <w:sz w:val="18"/>
      <w:vertAlign w:val="superscript"/>
    </w:rPr>
  </w:style>
  <w:style w:type="paragraph" w:styleId="FootnoteText">
    <w:name w:val="footnote text"/>
    <w:basedOn w:val="Normal"/>
    <w:link w:val="FootnoteTextChar"/>
    <w:semiHidden/>
    <w:rsid w:val="000A1131"/>
    <w:pPr>
      <w:ind w:left="360" w:hanging="360"/>
    </w:pPr>
    <w:rPr>
      <w:sz w:val="20"/>
    </w:rPr>
  </w:style>
  <w:style w:type="character" w:customStyle="1" w:styleId="FootnoteTextChar">
    <w:name w:val="Footnote Text Char"/>
    <w:basedOn w:val="DefaultParagraphFont"/>
    <w:link w:val="FootnoteText"/>
    <w:semiHidden/>
    <w:rsid w:val="000A1131"/>
    <w:rPr>
      <w:rFonts w:ascii="Times New Roman" w:eastAsia="Times New Roman" w:hAnsi="Times New Roman" w:cs="Times New Roman"/>
      <w:sz w:val="20"/>
      <w:szCs w:val="24"/>
      <w:lang w:eastAsia="en-AU"/>
    </w:rPr>
  </w:style>
  <w:style w:type="paragraph" w:customStyle="1" w:styleId="Date1">
    <w:name w:val="Date1"/>
    <w:basedOn w:val="Heading2"/>
    <w:qFormat/>
    <w:rsid w:val="000A1131"/>
    <w:pPr>
      <w:pBdr>
        <w:bottom w:val="none" w:sz="0" w:space="0" w:color="auto"/>
      </w:pBdr>
    </w:pPr>
    <w:rPr>
      <w:sz w:val="28"/>
    </w:rPr>
  </w:style>
  <w:style w:type="paragraph" w:customStyle="1" w:styleId="NormalParagraph">
    <w:name w:val="Normal Paragraph"/>
    <w:basedOn w:val="Normal"/>
    <w:uiPriority w:val="99"/>
    <w:qFormat/>
    <w:rsid w:val="000A1131"/>
    <w:pPr>
      <w:numPr>
        <w:numId w:val="1"/>
      </w:numPr>
      <w:spacing w:before="120" w:after="120"/>
    </w:pPr>
    <w:rPr>
      <w:rFonts w:ascii="Arial" w:hAnsi="Arial"/>
      <w:sz w:val="22"/>
      <w:szCs w:val="22"/>
    </w:rPr>
  </w:style>
  <w:style w:type="paragraph" w:styleId="ListParagraph">
    <w:name w:val="List Paragraph"/>
    <w:basedOn w:val="ListBullet"/>
    <w:link w:val="ListParagraphChar"/>
    <w:uiPriority w:val="34"/>
    <w:qFormat/>
    <w:rsid w:val="000A1131"/>
    <w:pPr>
      <w:keepLines/>
      <w:tabs>
        <w:tab w:val="clear" w:pos="786"/>
        <w:tab w:val="num" w:pos="927"/>
      </w:tabs>
      <w:spacing w:after="120"/>
      <w:ind w:left="924" w:hanging="357"/>
      <w:contextualSpacing w:val="0"/>
    </w:pPr>
    <w:rPr>
      <w:rFonts w:ascii="Arial" w:hAnsi="Arial" w:cs="Arial"/>
      <w:sz w:val="22"/>
      <w:szCs w:val="22"/>
    </w:rPr>
  </w:style>
  <w:style w:type="paragraph" w:styleId="ListBullet">
    <w:name w:val="List Bullet"/>
    <w:basedOn w:val="Normal"/>
    <w:uiPriority w:val="99"/>
    <w:semiHidden/>
    <w:unhideWhenUsed/>
    <w:rsid w:val="000A1131"/>
    <w:pPr>
      <w:tabs>
        <w:tab w:val="num" w:pos="786"/>
      </w:tabs>
      <w:ind w:left="786" w:hanging="360"/>
      <w:contextualSpacing/>
    </w:pPr>
  </w:style>
  <w:style w:type="paragraph" w:styleId="BalloonText">
    <w:name w:val="Balloon Text"/>
    <w:basedOn w:val="Normal"/>
    <w:link w:val="BalloonTextChar"/>
    <w:uiPriority w:val="99"/>
    <w:semiHidden/>
    <w:unhideWhenUsed/>
    <w:rsid w:val="000A1131"/>
    <w:rPr>
      <w:rFonts w:ascii="Tahoma" w:hAnsi="Tahoma" w:cs="Tahoma"/>
      <w:sz w:val="16"/>
      <w:szCs w:val="16"/>
    </w:rPr>
  </w:style>
  <w:style w:type="character" w:customStyle="1" w:styleId="BalloonTextChar">
    <w:name w:val="Balloon Text Char"/>
    <w:basedOn w:val="DefaultParagraphFont"/>
    <w:link w:val="BalloonText"/>
    <w:uiPriority w:val="99"/>
    <w:semiHidden/>
    <w:rsid w:val="000A1131"/>
    <w:rPr>
      <w:rFonts w:ascii="Tahoma" w:eastAsia="Times New Roman" w:hAnsi="Tahoma" w:cs="Tahoma"/>
      <w:sz w:val="16"/>
      <w:szCs w:val="16"/>
      <w:lang w:eastAsia="en-AU"/>
    </w:rPr>
  </w:style>
  <w:style w:type="paragraph" w:customStyle="1" w:styleId="Default">
    <w:name w:val="Default"/>
    <w:rsid w:val="00D534A2"/>
    <w:pPr>
      <w:autoSpaceDE w:val="0"/>
      <w:autoSpaceDN w:val="0"/>
      <w:adjustRightInd w:val="0"/>
      <w:spacing w:after="0" w:line="240" w:lineRule="auto"/>
    </w:pPr>
    <w:rPr>
      <w:rFonts w:ascii="Arial" w:hAnsi="Arial" w:cs="Arial"/>
      <w:color w:val="000000"/>
      <w:sz w:val="24"/>
      <w:szCs w:val="24"/>
    </w:rPr>
  </w:style>
  <w:style w:type="paragraph" w:customStyle="1" w:styleId="Numbered">
    <w:name w:val="Numbered"/>
    <w:basedOn w:val="Normal"/>
    <w:autoRedefine/>
    <w:rsid w:val="000771B3"/>
    <w:pPr>
      <w:spacing w:after="240"/>
      <w:ind w:left="567" w:hanging="567"/>
    </w:pPr>
    <w:rPr>
      <w:rFonts w:ascii="Arial" w:hAnsi="Arial" w:cs="Arial"/>
      <w:b/>
      <w:sz w:val="22"/>
      <w:szCs w:val="22"/>
      <w:lang w:eastAsia="en-US"/>
    </w:rPr>
  </w:style>
  <w:style w:type="table" w:styleId="TableGrid">
    <w:name w:val="Table Grid"/>
    <w:basedOn w:val="TableNormal"/>
    <w:uiPriority w:val="59"/>
    <w:rsid w:val="00916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0274E"/>
    <w:pPr>
      <w:spacing w:before="100" w:beforeAutospacing="1" w:after="100" w:afterAutospacing="1"/>
    </w:pPr>
  </w:style>
  <w:style w:type="character" w:styleId="CommentReference">
    <w:name w:val="annotation reference"/>
    <w:basedOn w:val="DefaultParagraphFont"/>
    <w:uiPriority w:val="99"/>
    <w:semiHidden/>
    <w:unhideWhenUsed/>
    <w:rsid w:val="00EA3F04"/>
    <w:rPr>
      <w:sz w:val="16"/>
      <w:szCs w:val="16"/>
    </w:rPr>
  </w:style>
  <w:style w:type="paragraph" w:styleId="CommentText">
    <w:name w:val="annotation text"/>
    <w:basedOn w:val="Normal"/>
    <w:link w:val="CommentTextChar"/>
    <w:uiPriority w:val="99"/>
    <w:unhideWhenUsed/>
    <w:rsid w:val="00EA3F04"/>
    <w:rPr>
      <w:sz w:val="20"/>
      <w:szCs w:val="20"/>
    </w:rPr>
  </w:style>
  <w:style w:type="character" w:customStyle="1" w:styleId="CommentTextChar">
    <w:name w:val="Comment Text Char"/>
    <w:basedOn w:val="DefaultParagraphFont"/>
    <w:link w:val="CommentText"/>
    <w:uiPriority w:val="99"/>
    <w:rsid w:val="00EA3F0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A3F04"/>
    <w:rPr>
      <w:b/>
      <w:bCs/>
    </w:rPr>
  </w:style>
  <w:style w:type="character" w:customStyle="1" w:styleId="CommentSubjectChar">
    <w:name w:val="Comment Subject Char"/>
    <w:basedOn w:val="CommentTextChar"/>
    <w:link w:val="CommentSubject"/>
    <w:uiPriority w:val="99"/>
    <w:semiHidden/>
    <w:rsid w:val="00EA3F04"/>
    <w:rPr>
      <w:rFonts w:ascii="Times New Roman" w:eastAsia="Times New Roman" w:hAnsi="Times New Roman" w:cs="Times New Roman"/>
      <w:b/>
      <w:bCs/>
      <w:sz w:val="20"/>
      <w:szCs w:val="20"/>
      <w:lang w:eastAsia="en-AU"/>
    </w:rPr>
  </w:style>
  <w:style w:type="paragraph" w:styleId="Revision">
    <w:name w:val="Revision"/>
    <w:hidden/>
    <w:uiPriority w:val="99"/>
    <w:semiHidden/>
    <w:rsid w:val="000E4DBA"/>
    <w:pPr>
      <w:spacing w:after="0" w:line="240" w:lineRule="auto"/>
    </w:pPr>
    <w:rPr>
      <w:rFonts w:ascii="Times New Roman" w:eastAsia="Times New Roman" w:hAnsi="Times New Roman" w:cs="Times New Roman"/>
      <w:sz w:val="24"/>
      <w:szCs w:val="24"/>
      <w:lang w:eastAsia="en-AU"/>
    </w:rPr>
  </w:style>
  <w:style w:type="paragraph" w:customStyle="1" w:styleId="HeadNumb">
    <w:name w:val="Head Numb"/>
    <w:basedOn w:val="Normal"/>
    <w:rsid w:val="00560E77"/>
    <w:pPr>
      <w:numPr>
        <w:numId w:val="19"/>
      </w:numPr>
      <w:shd w:val="clear" w:color="auto" w:fill="D9D9D9"/>
    </w:pPr>
    <w:rPr>
      <w:rFonts w:ascii="Arial" w:hAnsi="Arial"/>
      <w:b/>
      <w:sz w:val="18"/>
      <w:szCs w:val="18"/>
    </w:rPr>
  </w:style>
  <w:style w:type="paragraph" w:customStyle="1" w:styleId="SecondlevelNumb">
    <w:name w:val="Second level Numb"/>
    <w:basedOn w:val="Normal"/>
    <w:rsid w:val="00560E77"/>
    <w:pPr>
      <w:numPr>
        <w:ilvl w:val="1"/>
        <w:numId w:val="19"/>
      </w:numPr>
      <w:spacing w:line="360" w:lineRule="auto"/>
    </w:pPr>
  </w:style>
  <w:style w:type="character" w:customStyle="1" w:styleId="ListParagraphChar">
    <w:name w:val="List Paragraph Char"/>
    <w:basedOn w:val="DefaultParagraphFont"/>
    <w:link w:val="ListParagraph"/>
    <w:uiPriority w:val="34"/>
    <w:rsid w:val="005F5693"/>
    <w:rPr>
      <w:rFonts w:ascii="Arial" w:eastAsia="Times New Roman" w:hAnsi="Arial" w:cs="Arial"/>
      <w:lang w:eastAsia="en-AU"/>
    </w:rPr>
  </w:style>
  <w:style w:type="character" w:customStyle="1" w:styleId="Heading5Char">
    <w:name w:val="Heading 5 Char"/>
    <w:basedOn w:val="DefaultParagraphFont"/>
    <w:link w:val="Heading5"/>
    <w:uiPriority w:val="9"/>
    <w:rsid w:val="00113EA0"/>
    <w:rPr>
      <w:rFonts w:asciiTheme="majorHAnsi" w:eastAsiaTheme="majorEastAsia" w:hAnsiTheme="majorHAnsi" w:cstheme="majorBidi"/>
      <w:b/>
      <w:szCs w:val="24"/>
      <w:lang w:eastAsia="en-AU"/>
    </w:rPr>
  </w:style>
  <w:style w:type="paragraph" w:styleId="NoSpacing">
    <w:name w:val="No Spacing"/>
    <w:uiPriority w:val="1"/>
    <w:qFormat/>
    <w:rsid w:val="00113EA0"/>
    <w:pPr>
      <w:spacing w:after="0" w:line="240" w:lineRule="auto"/>
    </w:pPr>
    <w:rPr>
      <w:rFonts w:ascii="Times New Roman" w:eastAsia="Times New Roman" w:hAnsi="Times New Roman" w:cs="Times New Roman"/>
      <w:sz w:val="24"/>
      <w:szCs w:val="24"/>
      <w:lang w:eastAsia="en-AU"/>
    </w:rPr>
  </w:style>
  <w:style w:type="character" w:customStyle="1" w:styleId="Heading6Char">
    <w:name w:val="Heading 6 Char"/>
    <w:basedOn w:val="DefaultParagraphFont"/>
    <w:link w:val="Heading6"/>
    <w:uiPriority w:val="9"/>
    <w:rsid w:val="002E2C88"/>
    <w:rPr>
      <w:rFonts w:asciiTheme="majorHAnsi" w:eastAsiaTheme="majorEastAsia" w:hAnsiTheme="majorHAnsi" w:cstheme="majorBidi"/>
      <w:b/>
      <w:iCs/>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10061">
      <w:bodyDiv w:val="1"/>
      <w:marLeft w:val="0"/>
      <w:marRight w:val="0"/>
      <w:marTop w:val="0"/>
      <w:marBottom w:val="0"/>
      <w:divBdr>
        <w:top w:val="none" w:sz="0" w:space="0" w:color="auto"/>
        <w:left w:val="none" w:sz="0" w:space="0" w:color="auto"/>
        <w:bottom w:val="none" w:sz="0" w:space="0" w:color="auto"/>
        <w:right w:val="none" w:sz="0" w:space="0" w:color="auto"/>
      </w:divBdr>
      <w:divsChild>
        <w:div w:id="1168135838">
          <w:marLeft w:val="0"/>
          <w:marRight w:val="0"/>
          <w:marTop w:val="0"/>
          <w:marBottom w:val="0"/>
          <w:divBdr>
            <w:top w:val="none" w:sz="0" w:space="0" w:color="auto"/>
            <w:left w:val="none" w:sz="0" w:space="0" w:color="auto"/>
            <w:bottom w:val="none" w:sz="0" w:space="0" w:color="auto"/>
            <w:right w:val="none" w:sz="0" w:space="0" w:color="auto"/>
          </w:divBdr>
          <w:divsChild>
            <w:div w:id="1446390355">
              <w:marLeft w:val="0"/>
              <w:marRight w:val="0"/>
              <w:marTop w:val="0"/>
              <w:marBottom w:val="0"/>
              <w:divBdr>
                <w:top w:val="none" w:sz="0" w:space="0" w:color="auto"/>
                <w:left w:val="none" w:sz="0" w:space="0" w:color="auto"/>
                <w:bottom w:val="none" w:sz="0" w:space="0" w:color="auto"/>
                <w:right w:val="none" w:sz="0" w:space="0" w:color="auto"/>
              </w:divBdr>
              <w:divsChild>
                <w:div w:id="644357374">
                  <w:marLeft w:val="0"/>
                  <w:marRight w:val="0"/>
                  <w:marTop w:val="0"/>
                  <w:marBottom w:val="0"/>
                  <w:divBdr>
                    <w:top w:val="none" w:sz="0" w:space="0" w:color="auto"/>
                    <w:left w:val="none" w:sz="0" w:space="0" w:color="auto"/>
                    <w:bottom w:val="none" w:sz="0" w:space="0" w:color="auto"/>
                    <w:right w:val="none" w:sz="0" w:space="0" w:color="auto"/>
                  </w:divBdr>
                  <w:divsChild>
                    <w:div w:id="959148851">
                      <w:marLeft w:val="0"/>
                      <w:marRight w:val="0"/>
                      <w:marTop w:val="0"/>
                      <w:marBottom w:val="0"/>
                      <w:divBdr>
                        <w:top w:val="single" w:sz="6" w:space="0" w:color="DCD9D9"/>
                        <w:left w:val="single" w:sz="6" w:space="0" w:color="DCD9D9"/>
                        <w:bottom w:val="single" w:sz="2" w:space="0" w:color="DCD9D9"/>
                        <w:right w:val="single" w:sz="6" w:space="0" w:color="DCD9D9"/>
                      </w:divBdr>
                      <w:divsChild>
                        <w:div w:id="1554537613">
                          <w:marLeft w:val="0"/>
                          <w:marRight w:val="-100"/>
                          <w:marTop w:val="450"/>
                          <w:marBottom w:val="0"/>
                          <w:divBdr>
                            <w:top w:val="none" w:sz="0" w:space="0" w:color="auto"/>
                            <w:left w:val="none" w:sz="0" w:space="0" w:color="auto"/>
                            <w:bottom w:val="none" w:sz="0" w:space="0" w:color="auto"/>
                            <w:right w:val="none" w:sz="0" w:space="0" w:color="auto"/>
                          </w:divBdr>
                          <w:divsChild>
                            <w:div w:id="1366636247">
                              <w:marLeft w:val="0"/>
                              <w:marRight w:val="0"/>
                              <w:marTop w:val="0"/>
                              <w:marBottom w:val="0"/>
                              <w:divBdr>
                                <w:top w:val="none" w:sz="0" w:space="0" w:color="auto"/>
                                <w:left w:val="none" w:sz="0" w:space="0" w:color="auto"/>
                                <w:bottom w:val="none" w:sz="0" w:space="0" w:color="auto"/>
                                <w:right w:val="none" w:sz="0" w:space="0" w:color="auto"/>
                              </w:divBdr>
                              <w:divsChild>
                                <w:div w:id="1315988442">
                                  <w:marLeft w:val="0"/>
                                  <w:marRight w:val="0"/>
                                  <w:marTop w:val="0"/>
                                  <w:marBottom w:val="0"/>
                                  <w:divBdr>
                                    <w:top w:val="none" w:sz="0" w:space="0" w:color="auto"/>
                                    <w:left w:val="none" w:sz="0" w:space="0" w:color="auto"/>
                                    <w:bottom w:val="none" w:sz="0" w:space="0" w:color="auto"/>
                                    <w:right w:val="none" w:sz="0" w:space="0" w:color="auto"/>
                                  </w:divBdr>
                                  <w:divsChild>
                                    <w:div w:id="142937751">
                                      <w:marLeft w:val="0"/>
                                      <w:marRight w:val="0"/>
                                      <w:marTop w:val="0"/>
                                      <w:marBottom w:val="0"/>
                                      <w:divBdr>
                                        <w:top w:val="none" w:sz="0" w:space="0" w:color="auto"/>
                                        <w:left w:val="none" w:sz="0" w:space="0" w:color="auto"/>
                                        <w:bottom w:val="none" w:sz="0" w:space="0" w:color="auto"/>
                                        <w:right w:val="none" w:sz="0" w:space="0" w:color="auto"/>
                                      </w:divBdr>
                                      <w:divsChild>
                                        <w:div w:id="2122412614">
                                          <w:marLeft w:val="0"/>
                                          <w:marRight w:val="0"/>
                                          <w:marTop w:val="0"/>
                                          <w:marBottom w:val="360"/>
                                          <w:divBdr>
                                            <w:top w:val="none" w:sz="0" w:space="0" w:color="auto"/>
                                            <w:left w:val="none" w:sz="0" w:space="0" w:color="auto"/>
                                            <w:bottom w:val="none" w:sz="0" w:space="0" w:color="auto"/>
                                            <w:right w:val="none" w:sz="0" w:space="0" w:color="auto"/>
                                          </w:divBdr>
                                          <w:divsChild>
                                            <w:div w:id="1192458699">
                                              <w:marLeft w:val="0"/>
                                              <w:marRight w:val="0"/>
                                              <w:marTop w:val="0"/>
                                              <w:marBottom w:val="0"/>
                                              <w:divBdr>
                                                <w:top w:val="none" w:sz="0" w:space="0" w:color="auto"/>
                                                <w:left w:val="none" w:sz="0" w:space="0" w:color="auto"/>
                                                <w:bottom w:val="none" w:sz="0" w:space="0" w:color="auto"/>
                                                <w:right w:val="none" w:sz="0" w:space="0" w:color="auto"/>
                                              </w:divBdr>
                                              <w:divsChild>
                                                <w:div w:id="1619139070">
                                                  <w:marLeft w:val="0"/>
                                                  <w:marRight w:val="0"/>
                                                  <w:marTop w:val="0"/>
                                                  <w:marBottom w:val="0"/>
                                                  <w:divBdr>
                                                    <w:top w:val="none" w:sz="0" w:space="0" w:color="auto"/>
                                                    <w:left w:val="none" w:sz="0" w:space="0" w:color="auto"/>
                                                    <w:bottom w:val="none" w:sz="0" w:space="0" w:color="auto"/>
                                                    <w:right w:val="none" w:sz="0" w:space="0" w:color="auto"/>
                                                  </w:divBdr>
                                                  <w:divsChild>
                                                    <w:div w:id="325785107">
                                                      <w:marLeft w:val="0"/>
                                                      <w:marRight w:val="0"/>
                                                      <w:marTop w:val="0"/>
                                                      <w:marBottom w:val="0"/>
                                                      <w:divBdr>
                                                        <w:top w:val="none" w:sz="0" w:space="0" w:color="auto"/>
                                                        <w:left w:val="none" w:sz="0" w:space="0" w:color="auto"/>
                                                        <w:bottom w:val="none" w:sz="0" w:space="0" w:color="auto"/>
                                                        <w:right w:val="none" w:sz="0" w:space="0" w:color="auto"/>
                                                      </w:divBdr>
                                                      <w:divsChild>
                                                        <w:div w:id="202208682">
                                                          <w:marLeft w:val="0"/>
                                                          <w:marRight w:val="0"/>
                                                          <w:marTop w:val="0"/>
                                                          <w:marBottom w:val="0"/>
                                                          <w:divBdr>
                                                            <w:top w:val="none" w:sz="0" w:space="0" w:color="auto"/>
                                                            <w:left w:val="none" w:sz="0" w:space="0" w:color="auto"/>
                                                            <w:bottom w:val="none" w:sz="0" w:space="0" w:color="auto"/>
                                                            <w:right w:val="none" w:sz="0" w:space="0" w:color="auto"/>
                                                          </w:divBdr>
                                                          <w:divsChild>
                                                            <w:div w:id="1787695406">
                                                              <w:marLeft w:val="0"/>
                                                              <w:marRight w:val="0"/>
                                                              <w:marTop w:val="0"/>
                                                              <w:marBottom w:val="0"/>
                                                              <w:divBdr>
                                                                <w:top w:val="none" w:sz="0" w:space="0" w:color="auto"/>
                                                                <w:left w:val="none" w:sz="0" w:space="0" w:color="auto"/>
                                                                <w:bottom w:val="none" w:sz="0" w:space="0" w:color="auto"/>
                                                                <w:right w:val="none" w:sz="0" w:space="0" w:color="auto"/>
                                                              </w:divBdr>
                                                              <w:divsChild>
                                                                <w:div w:id="5161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0653464">
      <w:bodyDiv w:val="1"/>
      <w:marLeft w:val="0"/>
      <w:marRight w:val="0"/>
      <w:marTop w:val="0"/>
      <w:marBottom w:val="0"/>
      <w:divBdr>
        <w:top w:val="none" w:sz="0" w:space="0" w:color="auto"/>
        <w:left w:val="none" w:sz="0" w:space="0" w:color="auto"/>
        <w:bottom w:val="none" w:sz="0" w:space="0" w:color="auto"/>
        <w:right w:val="none" w:sz="0" w:space="0" w:color="auto"/>
      </w:divBdr>
    </w:div>
    <w:div w:id="993796485">
      <w:bodyDiv w:val="1"/>
      <w:marLeft w:val="0"/>
      <w:marRight w:val="0"/>
      <w:marTop w:val="0"/>
      <w:marBottom w:val="0"/>
      <w:divBdr>
        <w:top w:val="none" w:sz="0" w:space="0" w:color="auto"/>
        <w:left w:val="none" w:sz="0" w:space="0" w:color="auto"/>
        <w:bottom w:val="none" w:sz="0" w:space="0" w:color="auto"/>
        <w:right w:val="none" w:sz="0" w:space="0" w:color="auto"/>
      </w:divBdr>
    </w:div>
    <w:div w:id="13923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2.png@01CF12DD.B40E1D50"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26EF-A1BC-4417-B923-FFE09DBE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D0350C44.dotm</Template>
  <TotalTime>0</TotalTime>
  <Pages>17</Pages>
  <Words>7006</Words>
  <Characters>39936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2014-08-04T07:18:00Z</dcterms:created>
  <dcterms:modified xsi:type="dcterms:W3CDTF">2014-08-04T07:18:00Z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\\SCBRFS001\home$\SGOSA\bluescope orrcon - public comp (MER2014-08373).docx</vt:lpwstr>
  </property>
</Properties>
</file>