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A" w:rsidRDefault="001B21EA" w:rsidP="001B21EA">
      <w:pPr>
        <w:pStyle w:val="Heading1"/>
        <w:keepLines w:val="0"/>
        <w:spacing w:before="0" w:after="480" w:line="240" w:lineRule="auto"/>
        <w:jc w:val="right"/>
        <w:rPr>
          <w:rFonts w:ascii="Arial" w:hAnsi="Arial" w:cs="Arial"/>
          <w:color w:val="auto"/>
          <w:sz w:val="36"/>
          <w:szCs w:val="36"/>
        </w:rPr>
      </w:pPr>
      <w:r>
        <w:rPr>
          <w:rFonts w:ascii="Arial" w:hAnsi="Arial"/>
          <w:bCs w:val="0"/>
          <w:noProof/>
          <w:color w:val="auto"/>
          <w:sz w:val="30"/>
          <w:szCs w:val="24"/>
          <w:lang w:eastAsia="en-AU"/>
        </w:rPr>
        <w:drawing>
          <wp:inline distT="0" distB="0" distL="0" distR="0" wp14:anchorId="1DFBB460" wp14:editId="5C439A45">
            <wp:extent cx="3482865" cy="1049572"/>
            <wp:effectExtent l="0" t="0" r="3810" b="0"/>
            <wp:docPr id="1" name="Picture 1" descr="Australian Competition and Consum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2999" cy="1049613"/>
                    </a:xfrm>
                    <a:prstGeom prst="rect">
                      <a:avLst/>
                    </a:prstGeom>
                    <a:noFill/>
                    <a:ln>
                      <a:noFill/>
                    </a:ln>
                  </pic:spPr>
                </pic:pic>
              </a:graphicData>
            </a:graphic>
          </wp:inline>
        </w:drawing>
      </w:r>
    </w:p>
    <w:p w:rsidR="001B21EA" w:rsidRPr="001B21EA" w:rsidRDefault="001B21EA" w:rsidP="001B21EA">
      <w:pPr>
        <w:pStyle w:val="Heading1"/>
        <w:keepLines w:val="0"/>
        <w:spacing w:before="0" w:after="480" w:line="240" w:lineRule="auto"/>
        <w:jc w:val="right"/>
        <w:rPr>
          <w:rFonts w:ascii="Arial" w:hAnsi="Arial" w:cs="Arial"/>
          <w:color w:val="auto"/>
          <w:sz w:val="36"/>
          <w:szCs w:val="36"/>
        </w:rPr>
      </w:pPr>
      <w:r w:rsidRPr="001B21EA">
        <w:rPr>
          <w:rFonts w:ascii="Arial" w:hAnsi="Arial" w:cs="Arial"/>
          <w:color w:val="auto"/>
          <w:sz w:val="36"/>
          <w:szCs w:val="36"/>
        </w:rPr>
        <w:t>Statement of Issues</w:t>
      </w:r>
      <w:r>
        <w:rPr>
          <w:rFonts w:ascii="Arial" w:hAnsi="Arial" w:cs="Arial"/>
          <w:color w:val="auto"/>
          <w:sz w:val="36"/>
          <w:szCs w:val="36"/>
        </w:rPr>
        <w:t>: corrigendum</w:t>
      </w:r>
    </w:p>
    <w:p w:rsidR="001B21EA" w:rsidRPr="001B21EA" w:rsidRDefault="00C95D78" w:rsidP="001B21EA">
      <w:pPr>
        <w:pStyle w:val="Heading1"/>
        <w:keepLines w:val="0"/>
        <w:spacing w:before="0" w:after="480" w:line="240" w:lineRule="auto"/>
        <w:jc w:val="right"/>
        <w:rPr>
          <w:rFonts w:ascii="Arial" w:hAnsi="Arial" w:cs="Arial"/>
          <w:color w:val="auto"/>
        </w:rPr>
      </w:pPr>
      <w:r>
        <w:rPr>
          <w:rFonts w:ascii="Arial" w:hAnsi="Arial" w:cs="Arial"/>
          <w:color w:val="auto"/>
        </w:rPr>
        <w:t>2</w:t>
      </w:r>
      <w:r w:rsidR="00DF08C7">
        <w:rPr>
          <w:rFonts w:ascii="Arial" w:hAnsi="Arial" w:cs="Arial"/>
          <w:color w:val="auto"/>
        </w:rPr>
        <w:t>5</w:t>
      </w:r>
      <w:r w:rsidR="00BA56CD">
        <w:rPr>
          <w:rFonts w:ascii="Arial" w:hAnsi="Arial" w:cs="Arial"/>
          <w:color w:val="auto"/>
        </w:rPr>
        <w:t xml:space="preserve"> </w:t>
      </w:r>
      <w:bookmarkStart w:id="0" w:name="_GoBack"/>
      <w:bookmarkEnd w:id="0"/>
      <w:r w:rsidR="001B21EA" w:rsidRPr="001B21EA">
        <w:rPr>
          <w:rFonts w:ascii="Arial" w:hAnsi="Arial" w:cs="Arial"/>
          <w:color w:val="auto"/>
        </w:rPr>
        <w:t>July 2014</w:t>
      </w:r>
    </w:p>
    <w:p w:rsidR="00B34C02" w:rsidRPr="00B34C02" w:rsidRDefault="001B5BFD" w:rsidP="001B21EA">
      <w:pPr>
        <w:pStyle w:val="Heading2"/>
        <w:keepLines w:val="0"/>
        <w:pBdr>
          <w:bottom w:val="single" w:sz="4" w:space="1" w:color="auto"/>
        </w:pBdr>
        <w:spacing w:before="240" w:line="240" w:lineRule="auto"/>
        <w:ind w:left="-142"/>
        <w:jc w:val="right"/>
        <w:rPr>
          <w:rFonts w:ascii="Arial" w:hAnsi="Arial"/>
          <w:bCs w:val="0"/>
          <w:color w:val="auto"/>
          <w:sz w:val="30"/>
          <w:szCs w:val="24"/>
          <w:lang w:eastAsia="en-AU"/>
        </w:rPr>
      </w:pPr>
      <w:bookmarkStart w:id="1" w:name="Title"/>
      <w:bookmarkEnd w:id="1"/>
      <w:r w:rsidRPr="001B5BFD">
        <w:rPr>
          <w:rFonts w:ascii="Arial" w:hAnsi="Arial"/>
          <w:bCs w:val="0"/>
          <w:color w:val="auto"/>
          <w:sz w:val="30"/>
          <w:szCs w:val="24"/>
          <w:lang w:eastAsia="en-AU"/>
        </w:rPr>
        <w:t>Aquis - proposed acquisition of the Reef Casino</w:t>
      </w:r>
    </w:p>
    <w:p w:rsidR="003C2941" w:rsidRPr="00965510" w:rsidRDefault="00E00DD8" w:rsidP="00CA5180">
      <w:pPr>
        <w:pStyle w:val="ListParagraph"/>
        <w:numPr>
          <w:ilvl w:val="0"/>
          <w:numId w:val="1"/>
        </w:numPr>
        <w:spacing w:before="360" w:after="120"/>
        <w:ind w:left="572" w:hanging="357"/>
        <w:contextualSpacing w:val="0"/>
        <w:rPr>
          <w:rFonts w:ascii="Arial" w:hAnsi="Arial" w:cs="Arial"/>
        </w:rPr>
      </w:pPr>
      <w:r w:rsidRPr="00965510">
        <w:rPr>
          <w:rFonts w:ascii="Arial" w:hAnsi="Arial" w:cs="Arial"/>
        </w:rPr>
        <w:t xml:space="preserve">The ACCC has identified </w:t>
      </w:r>
      <w:r w:rsidR="00767AF7" w:rsidRPr="00965510">
        <w:rPr>
          <w:rFonts w:ascii="Arial" w:hAnsi="Arial" w:cs="Arial"/>
        </w:rPr>
        <w:t>factual</w:t>
      </w:r>
      <w:r w:rsidRPr="00965510">
        <w:rPr>
          <w:rFonts w:ascii="Arial" w:hAnsi="Arial" w:cs="Arial"/>
        </w:rPr>
        <w:t xml:space="preserve"> error</w:t>
      </w:r>
      <w:r w:rsidR="00B521C4" w:rsidRPr="00965510">
        <w:rPr>
          <w:rFonts w:ascii="Arial" w:hAnsi="Arial" w:cs="Arial"/>
        </w:rPr>
        <w:t>s</w:t>
      </w:r>
      <w:r w:rsidRPr="00965510">
        <w:rPr>
          <w:rFonts w:ascii="Arial" w:hAnsi="Arial" w:cs="Arial"/>
        </w:rPr>
        <w:t xml:space="preserve"> </w:t>
      </w:r>
      <w:r w:rsidR="00A1090C">
        <w:rPr>
          <w:rFonts w:ascii="Arial" w:hAnsi="Arial" w:cs="Arial"/>
        </w:rPr>
        <w:t xml:space="preserve">that were present </w:t>
      </w:r>
      <w:r w:rsidRPr="00965510">
        <w:rPr>
          <w:rFonts w:ascii="Arial" w:hAnsi="Arial" w:cs="Arial"/>
        </w:rPr>
        <w:t>in the Statement of Issues</w:t>
      </w:r>
      <w:r w:rsidR="00965510" w:rsidRPr="00965510">
        <w:rPr>
          <w:rFonts w:ascii="Arial" w:hAnsi="Arial" w:cs="Arial"/>
        </w:rPr>
        <w:t xml:space="preserve"> </w:t>
      </w:r>
      <w:r w:rsidR="00A1090C">
        <w:rPr>
          <w:rFonts w:ascii="Arial" w:hAnsi="Arial" w:cs="Arial"/>
        </w:rPr>
        <w:t xml:space="preserve">when it was </w:t>
      </w:r>
      <w:r w:rsidR="00965510" w:rsidRPr="00965510">
        <w:rPr>
          <w:rFonts w:ascii="Arial" w:hAnsi="Arial" w:cs="Arial"/>
        </w:rPr>
        <w:t>published on 3 July 2014</w:t>
      </w:r>
      <w:r w:rsidRPr="00965510">
        <w:rPr>
          <w:rFonts w:ascii="Arial" w:hAnsi="Arial" w:cs="Arial"/>
        </w:rPr>
        <w:t>.</w:t>
      </w:r>
      <w:r w:rsidR="003C2941" w:rsidRPr="00965510">
        <w:rPr>
          <w:rFonts w:ascii="Arial" w:hAnsi="Arial" w:cs="Arial"/>
        </w:rPr>
        <w:t xml:space="preserve"> These errors are outlined below. The ACCC does not consider that these errors affect its assessment of the proposed acquisition, as set out in the Statement of Issues.</w:t>
      </w:r>
    </w:p>
    <w:p w:rsidR="00767AF7" w:rsidRPr="00CA5180" w:rsidRDefault="00CE0A58" w:rsidP="00CA5180">
      <w:pPr>
        <w:pStyle w:val="Heading3"/>
      </w:pPr>
      <w:r w:rsidRPr="00CA5180">
        <w:t>E</w:t>
      </w:r>
      <w:r w:rsidR="00767AF7" w:rsidRPr="00CA5180">
        <w:t>xisting Australian casinos</w:t>
      </w:r>
    </w:p>
    <w:p w:rsidR="00B50B49" w:rsidRDefault="004339F1" w:rsidP="00CA5180">
      <w:pPr>
        <w:pStyle w:val="ListParagraph"/>
        <w:numPr>
          <w:ilvl w:val="0"/>
          <w:numId w:val="1"/>
        </w:numPr>
        <w:spacing w:before="120" w:after="120"/>
        <w:ind w:left="572" w:hanging="357"/>
        <w:contextualSpacing w:val="0"/>
        <w:rPr>
          <w:rFonts w:ascii="Arial" w:hAnsi="Arial" w:cs="Arial"/>
        </w:rPr>
      </w:pPr>
      <w:r w:rsidRPr="00965510">
        <w:rPr>
          <w:rFonts w:ascii="Arial" w:hAnsi="Arial" w:cs="Arial"/>
        </w:rPr>
        <w:t xml:space="preserve">Table 1 </w:t>
      </w:r>
      <w:r w:rsidR="00B50B49" w:rsidRPr="00965510">
        <w:rPr>
          <w:rFonts w:ascii="Arial" w:hAnsi="Arial" w:cs="Arial"/>
        </w:rPr>
        <w:t>states that</w:t>
      </w:r>
      <w:r w:rsidRPr="00965510">
        <w:rPr>
          <w:rFonts w:ascii="Arial" w:hAnsi="Arial" w:cs="Arial"/>
        </w:rPr>
        <w:t xml:space="preserve"> Treasury Casino in Brisbane ha</w:t>
      </w:r>
      <w:r w:rsidR="00B50B49" w:rsidRPr="00965510">
        <w:rPr>
          <w:rFonts w:ascii="Arial" w:hAnsi="Arial" w:cs="Arial"/>
        </w:rPr>
        <w:t>s</w:t>
      </w:r>
      <w:r w:rsidRPr="00965510">
        <w:rPr>
          <w:rFonts w:ascii="Arial" w:hAnsi="Arial" w:cs="Arial"/>
        </w:rPr>
        <w:t xml:space="preserve"> 861 gaming tables and 360 gaming machines. </w:t>
      </w:r>
      <w:r w:rsidR="00B50B49" w:rsidRPr="00965510">
        <w:rPr>
          <w:rFonts w:ascii="Arial" w:hAnsi="Arial" w:cs="Arial"/>
        </w:rPr>
        <w:t>It also states that Sky city Darwin has 54 hotel rooms.</w:t>
      </w:r>
    </w:p>
    <w:p w:rsidR="001B5BFD" w:rsidRPr="00965510" w:rsidRDefault="00D75E04" w:rsidP="00CA5180">
      <w:pPr>
        <w:pStyle w:val="ListParagraph"/>
        <w:numPr>
          <w:ilvl w:val="0"/>
          <w:numId w:val="1"/>
        </w:numPr>
        <w:spacing w:before="120" w:after="120"/>
        <w:ind w:left="572" w:hanging="357"/>
        <w:contextualSpacing w:val="0"/>
        <w:rPr>
          <w:rFonts w:ascii="Arial" w:hAnsi="Arial" w:cs="Arial"/>
        </w:rPr>
      </w:pPr>
      <w:r>
        <w:rPr>
          <w:rFonts w:ascii="Arial" w:hAnsi="Arial" w:cs="Arial"/>
        </w:rPr>
        <w:t>As per the source</w:t>
      </w:r>
      <w:r w:rsidR="00C83270" w:rsidRPr="00C83270">
        <w:rPr>
          <w:rFonts w:ascii="Arial" w:hAnsi="Arial" w:cs="Arial"/>
        </w:rPr>
        <w:t xml:space="preserve"> </w:t>
      </w:r>
      <w:r w:rsidR="00C83270">
        <w:rPr>
          <w:rFonts w:ascii="Arial" w:hAnsi="Arial" w:cs="Arial"/>
        </w:rPr>
        <w:t xml:space="preserve">for </w:t>
      </w:r>
      <w:r w:rsidR="00C83270" w:rsidRPr="00965510">
        <w:rPr>
          <w:rFonts w:ascii="Arial" w:hAnsi="Arial" w:cs="Arial"/>
        </w:rPr>
        <w:t>Table 1</w:t>
      </w:r>
      <w:r>
        <w:rPr>
          <w:rStyle w:val="FootnoteReference"/>
          <w:rFonts w:ascii="Arial" w:hAnsi="Arial" w:cs="Arial"/>
        </w:rPr>
        <w:footnoteReference w:id="1"/>
      </w:r>
      <w:r>
        <w:rPr>
          <w:rFonts w:ascii="Arial" w:hAnsi="Arial" w:cs="Arial"/>
        </w:rPr>
        <w:t>, it</w:t>
      </w:r>
      <w:r w:rsidR="003D2EF5" w:rsidRPr="00965510">
        <w:rPr>
          <w:rFonts w:ascii="Arial" w:hAnsi="Arial" w:cs="Arial"/>
        </w:rPr>
        <w:t xml:space="preserve"> should read</w:t>
      </w:r>
      <w:r w:rsidR="004339F1" w:rsidRPr="00965510">
        <w:rPr>
          <w:rFonts w:ascii="Arial" w:hAnsi="Arial" w:cs="Arial"/>
        </w:rPr>
        <w:t xml:space="preserve"> that Treasury Casino has 86 tables and 1360 gaming machines</w:t>
      </w:r>
      <w:r w:rsidR="00E31496" w:rsidRPr="00965510">
        <w:rPr>
          <w:rFonts w:ascii="Arial" w:hAnsi="Arial" w:cs="Arial"/>
        </w:rPr>
        <w:t>, while Sky city Darwin has 154 hotel rooms</w:t>
      </w:r>
      <w:r w:rsidR="004339F1" w:rsidRPr="00965510">
        <w:rPr>
          <w:rFonts w:ascii="Arial" w:hAnsi="Arial" w:cs="Arial"/>
        </w:rPr>
        <w:t>.</w:t>
      </w:r>
    </w:p>
    <w:p w:rsidR="006D1C9A" w:rsidRPr="00965510" w:rsidRDefault="00155085" w:rsidP="00CA5180">
      <w:pPr>
        <w:pStyle w:val="ListParagraph"/>
        <w:numPr>
          <w:ilvl w:val="0"/>
          <w:numId w:val="1"/>
        </w:numPr>
        <w:spacing w:before="120" w:after="120"/>
        <w:ind w:left="572" w:hanging="357"/>
        <w:contextualSpacing w:val="0"/>
        <w:rPr>
          <w:rFonts w:ascii="Arial" w:hAnsi="Arial" w:cs="Arial"/>
        </w:rPr>
      </w:pPr>
      <w:r w:rsidRPr="00965510">
        <w:rPr>
          <w:rFonts w:ascii="Arial" w:hAnsi="Arial" w:cs="Arial"/>
        </w:rPr>
        <w:t xml:space="preserve">Table 1 also states that Jupiters Townsville is owned by Colonial Leisure Group. It should </w:t>
      </w:r>
      <w:r w:rsidR="003D2EF5" w:rsidRPr="00965510">
        <w:rPr>
          <w:rFonts w:ascii="Arial" w:hAnsi="Arial" w:cs="Arial"/>
        </w:rPr>
        <w:t xml:space="preserve">read </w:t>
      </w:r>
      <w:r w:rsidRPr="00965510">
        <w:rPr>
          <w:rFonts w:ascii="Arial" w:hAnsi="Arial" w:cs="Arial"/>
        </w:rPr>
        <w:t xml:space="preserve">that </w:t>
      </w:r>
      <w:r w:rsidR="003D2EF5" w:rsidRPr="00965510">
        <w:rPr>
          <w:rFonts w:ascii="Arial" w:hAnsi="Arial" w:cs="Arial"/>
        </w:rPr>
        <w:t xml:space="preserve">Jupiters Townsville </w:t>
      </w:r>
      <w:r w:rsidRPr="00965510">
        <w:rPr>
          <w:rFonts w:ascii="Arial" w:hAnsi="Arial" w:cs="Arial"/>
        </w:rPr>
        <w:t xml:space="preserve">is currently owned by Echo Entertainment, but that Echo Entertainment </w:t>
      </w:r>
      <w:r w:rsidR="004A5847" w:rsidRPr="00965510">
        <w:rPr>
          <w:rFonts w:ascii="Arial" w:hAnsi="Arial" w:cs="Arial"/>
        </w:rPr>
        <w:t xml:space="preserve">has </w:t>
      </w:r>
      <w:r w:rsidRPr="00965510">
        <w:rPr>
          <w:rFonts w:ascii="Arial" w:hAnsi="Arial" w:cs="Arial"/>
        </w:rPr>
        <w:t>entered into an agreement with Colonial Leisure Group for the sale of Jupiters Townsville.</w:t>
      </w:r>
    </w:p>
    <w:p w:rsidR="006D1C9A" w:rsidRPr="00965510" w:rsidRDefault="006D1C9A" w:rsidP="00CA5180">
      <w:pPr>
        <w:pStyle w:val="ListParagraph"/>
        <w:numPr>
          <w:ilvl w:val="0"/>
          <w:numId w:val="1"/>
        </w:numPr>
        <w:spacing w:before="120" w:after="120"/>
        <w:ind w:left="572" w:hanging="357"/>
        <w:contextualSpacing w:val="0"/>
        <w:rPr>
          <w:rFonts w:ascii="Arial" w:hAnsi="Arial" w:cs="Arial"/>
        </w:rPr>
      </w:pPr>
      <w:r w:rsidRPr="00965510">
        <w:rPr>
          <w:rFonts w:ascii="Arial" w:hAnsi="Arial" w:cs="Arial"/>
        </w:rPr>
        <w:t>Consequently, paragraph 20 should read “Echo currently owns the Star (NSW), Jupiters Gold Coast, Jupiters Townsville and Treasury (QLD) casinos. In January 2014 Echo announced an agreement to sell Jupiters Townsville to Colonial Leisure Group. Echo earns over 32% of total Australian casino revenues.”</w:t>
      </w:r>
    </w:p>
    <w:p w:rsidR="00941C9C" w:rsidRPr="00965510" w:rsidRDefault="00CE0A58" w:rsidP="00CA5180">
      <w:pPr>
        <w:pStyle w:val="Heading3"/>
      </w:pPr>
      <w:r>
        <w:t>G</w:t>
      </w:r>
      <w:r w:rsidR="00941C9C" w:rsidRPr="00965510">
        <w:t>aming machine venues in Cairns</w:t>
      </w:r>
    </w:p>
    <w:p w:rsidR="00941C9C" w:rsidRPr="00965510" w:rsidRDefault="00941C9C" w:rsidP="00CA5180">
      <w:pPr>
        <w:pStyle w:val="ListParagraph"/>
        <w:numPr>
          <w:ilvl w:val="0"/>
          <w:numId w:val="1"/>
        </w:numPr>
        <w:spacing w:before="120" w:after="120"/>
        <w:ind w:left="572" w:hanging="357"/>
        <w:contextualSpacing w:val="0"/>
        <w:rPr>
          <w:rFonts w:ascii="Arial" w:hAnsi="Arial" w:cs="Arial"/>
        </w:rPr>
      </w:pPr>
      <w:r w:rsidRPr="00965510">
        <w:rPr>
          <w:rFonts w:ascii="Arial" w:hAnsi="Arial" w:cs="Arial"/>
        </w:rPr>
        <w:t xml:space="preserve">Table 2 (at page 17 of the Statement of Issues), states </w:t>
      </w:r>
      <w:r w:rsidR="003C2941" w:rsidRPr="00965510">
        <w:rPr>
          <w:rFonts w:ascii="Arial" w:hAnsi="Arial" w:cs="Arial"/>
        </w:rPr>
        <w:t>that the Reef</w:t>
      </w:r>
      <w:r w:rsidRPr="00965510">
        <w:rPr>
          <w:rFonts w:ascii="Arial" w:hAnsi="Arial" w:cs="Arial"/>
        </w:rPr>
        <w:t xml:space="preserve"> Casino has 519 approved gaming machines. </w:t>
      </w:r>
      <w:r w:rsidR="00E71ABB" w:rsidRPr="00965510">
        <w:rPr>
          <w:rFonts w:ascii="Arial" w:hAnsi="Arial" w:cs="Arial"/>
        </w:rPr>
        <w:t xml:space="preserve">Table 2 should read that the </w:t>
      </w:r>
      <w:r w:rsidR="003C2941" w:rsidRPr="00965510">
        <w:rPr>
          <w:rFonts w:ascii="Arial" w:hAnsi="Arial" w:cs="Arial"/>
        </w:rPr>
        <w:t>Reef Casino is approved to operate 660 gaming machines</w:t>
      </w:r>
      <w:r w:rsidR="00E71ABB" w:rsidRPr="00965510">
        <w:rPr>
          <w:rFonts w:ascii="Arial" w:hAnsi="Arial" w:cs="Arial"/>
        </w:rPr>
        <w:t xml:space="preserve">. </w:t>
      </w:r>
      <w:r w:rsidR="003C2941" w:rsidRPr="00965510">
        <w:rPr>
          <w:rFonts w:ascii="Arial" w:hAnsi="Arial" w:cs="Arial"/>
        </w:rPr>
        <w:t>An amended version of Table 2 appears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2610"/>
        <w:gridCol w:w="3039"/>
      </w:tblGrid>
      <w:tr w:rsidR="00941C9C" w:rsidRPr="00FE4686" w:rsidTr="008F722F">
        <w:trPr>
          <w:trHeight w:val="557"/>
        </w:trPr>
        <w:tc>
          <w:tcPr>
            <w:tcW w:w="1944" w:type="pct"/>
            <w:shd w:val="clear" w:color="auto" w:fill="auto"/>
            <w:noWrap/>
            <w:vAlign w:val="bottom"/>
            <w:hideMark/>
          </w:tcPr>
          <w:p w:rsidR="00941C9C" w:rsidRPr="00FE4686" w:rsidRDefault="00941C9C" w:rsidP="008F722F">
            <w:pPr>
              <w:keepNext/>
              <w:keepLines/>
              <w:spacing w:beforeLines="60" w:before="144" w:afterLines="60" w:after="144"/>
              <w:rPr>
                <w:rFonts w:ascii="Arial" w:hAnsi="Arial" w:cs="Arial"/>
                <w:b/>
                <w:bCs/>
                <w:lang w:eastAsia="en-AU"/>
              </w:rPr>
            </w:pPr>
            <w:r w:rsidRPr="00FE4686">
              <w:rPr>
                <w:rFonts w:ascii="Arial" w:hAnsi="Arial" w:cs="Arial"/>
                <w:b/>
                <w:bCs/>
                <w:lang w:eastAsia="en-AU"/>
              </w:rPr>
              <w:lastRenderedPageBreak/>
              <w:t>Site Name</w:t>
            </w:r>
          </w:p>
        </w:tc>
        <w:tc>
          <w:tcPr>
            <w:tcW w:w="1412" w:type="pct"/>
            <w:shd w:val="clear" w:color="auto" w:fill="auto"/>
            <w:noWrap/>
            <w:vAlign w:val="bottom"/>
            <w:hideMark/>
          </w:tcPr>
          <w:p w:rsidR="00941C9C" w:rsidRPr="00FE4686" w:rsidRDefault="00941C9C" w:rsidP="008F722F">
            <w:pPr>
              <w:keepNext/>
              <w:keepLines/>
              <w:spacing w:beforeLines="60" w:before="144" w:afterLines="60" w:after="144"/>
              <w:jc w:val="center"/>
              <w:rPr>
                <w:rFonts w:ascii="Arial" w:hAnsi="Arial" w:cs="Arial"/>
                <w:b/>
                <w:bCs/>
                <w:lang w:eastAsia="en-AU"/>
              </w:rPr>
            </w:pPr>
            <w:r w:rsidRPr="00FE4686">
              <w:rPr>
                <w:rFonts w:ascii="Arial" w:hAnsi="Arial" w:cs="Arial"/>
                <w:b/>
                <w:bCs/>
                <w:lang w:eastAsia="en-AU"/>
              </w:rPr>
              <w:t>Approved Gaming Machines</w:t>
            </w:r>
          </w:p>
        </w:tc>
        <w:tc>
          <w:tcPr>
            <w:tcW w:w="1644" w:type="pct"/>
            <w:shd w:val="clear" w:color="auto" w:fill="auto"/>
            <w:vAlign w:val="bottom"/>
            <w:hideMark/>
          </w:tcPr>
          <w:p w:rsidR="00941C9C" w:rsidRPr="00FE4686" w:rsidRDefault="00941C9C" w:rsidP="008F722F">
            <w:pPr>
              <w:keepNext/>
              <w:keepLines/>
              <w:spacing w:beforeLines="60" w:before="144" w:afterLines="60" w:after="144"/>
              <w:jc w:val="center"/>
              <w:rPr>
                <w:rFonts w:ascii="Arial" w:hAnsi="Arial" w:cs="Arial"/>
                <w:b/>
                <w:bCs/>
                <w:lang w:eastAsia="en-AU"/>
              </w:rPr>
            </w:pPr>
            <w:r w:rsidRPr="00FE4686">
              <w:rPr>
                <w:rFonts w:ascii="Arial" w:hAnsi="Arial" w:cs="Arial"/>
                <w:b/>
                <w:bCs/>
                <w:lang w:eastAsia="en-AU"/>
              </w:rPr>
              <w:t>% of Total Approved Gaming Machines</w:t>
            </w:r>
          </w:p>
        </w:tc>
      </w:tr>
      <w:tr w:rsidR="00941C9C" w:rsidRPr="00FE4686" w:rsidTr="008F722F">
        <w:trPr>
          <w:trHeight w:val="300"/>
        </w:trPr>
        <w:tc>
          <w:tcPr>
            <w:tcW w:w="1944" w:type="pct"/>
            <w:shd w:val="clear" w:color="000000" w:fill="D9D9D9"/>
            <w:noWrap/>
            <w:vAlign w:val="bottom"/>
            <w:hideMark/>
          </w:tcPr>
          <w:p w:rsidR="00941C9C" w:rsidRPr="00FE4686" w:rsidRDefault="00941C9C" w:rsidP="008F722F">
            <w:pPr>
              <w:keepNext/>
              <w:keepLines/>
              <w:spacing w:beforeLines="60" w:before="144" w:afterLines="60" w:after="144"/>
              <w:rPr>
                <w:rFonts w:ascii="Arial" w:hAnsi="Arial" w:cs="Arial"/>
                <w:bCs/>
                <w:lang w:eastAsia="en-AU"/>
              </w:rPr>
            </w:pPr>
            <w:r w:rsidRPr="00FE4686">
              <w:rPr>
                <w:rFonts w:ascii="Arial" w:hAnsi="Arial" w:cs="Arial"/>
                <w:bCs/>
                <w:lang w:eastAsia="en-AU"/>
              </w:rPr>
              <w:t>Aquis Resort (if developed)</w:t>
            </w:r>
          </w:p>
        </w:tc>
        <w:tc>
          <w:tcPr>
            <w:tcW w:w="1412" w:type="pct"/>
            <w:shd w:val="clear" w:color="000000" w:fill="D9D9D9"/>
            <w:noWrap/>
            <w:vAlign w:val="bottom"/>
            <w:hideMark/>
          </w:tcPr>
          <w:p w:rsidR="00941C9C" w:rsidRPr="00FE4686" w:rsidRDefault="00941C9C" w:rsidP="008F722F">
            <w:pPr>
              <w:keepNext/>
              <w:keepLines/>
              <w:spacing w:beforeLines="60" w:before="144" w:afterLines="60" w:after="144"/>
              <w:jc w:val="center"/>
              <w:rPr>
                <w:rFonts w:ascii="Arial" w:hAnsi="Arial" w:cs="Arial"/>
                <w:lang w:eastAsia="en-AU"/>
              </w:rPr>
            </w:pPr>
            <w:r w:rsidRPr="00FE4686">
              <w:rPr>
                <w:rFonts w:ascii="Arial" w:hAnsi="Arial" w:cs="Arial"/>
                <w:lang w:eastAsia="en-AU"/>
              </w:rPr>
              <w:t>1500</w:t>
            </w:r>
          </w:p>
        </w:tc>
        <w:tc>
          <w:tcPr>
            <w:tcW w:w="1644" w:type="pct"/>
            <w:shd w:val="clear" w:color="auto" w:fill="D9D9D9"/>
            <w:noWrap/>
            <w:vAlign w:val="bottom"/>
            <w:hideMark/>
          </w:tcPr>
          <w:p w:rsidR="00941C9C" w:rsidRPr="00FE4686" w:rsidRDefault="00941C9C" w:rsidP="008F722F">
            <w:pPr>
              <w:keepNext/>
              <w:keepLines/>
              <w:spacing w:beforeLines="60" w:before="144" w:afterLines="60" w:after="144"/>
              <w:jc w:val="center"/>
              <w:rPr>
                <w:rFonts w:ascii="Arial" w:hAnsi="Arial" w:cs="Arial"/>
                <w:color w:val="000000"/>
                <w:lang w:eastAsia="en-AU"/>
              </w:rPr>
            </w:pPr>
            <w:r>
              <w:rPr>
                <w:rFonts w:ascii="Arial" w:hAnsi="Arial" w:cs="Arial"/>
                <w:color w:val="000000"/>
                <w:lang w:eastAsia="en-AU"/>
              </w:rPr>
              <w:t>39</w:t>
            </w:r>
            <w:r w:rsidRPr="00FE4686">
              <w:rPr>
                <w:rFonts w:ascii="Arial" w:hAnsi="Arial" w:cs="Arial"/>
                <w:color w:val="000000"/>
                <w:lang w:eastAsia="en-AU"/>
              </w:rPr>
              <w:t>%</w:t>
            </w:r>
          </w:p>
        </w:tc>
      </w:tr>
      <w:tr w:rsidR="00941C9C" w:rsidRPr="00FE4686" w:rsidTr="008F722F">
        <w:trPr>
          <w:trHeight w:val="300"/>
        </w:trPr>
        <w:tc>
          <w:tcPr>
            <w:tcW w:w="1944" w:type="pct"/>
            <w:shd w:val="clear" w:color="000000" w:fill="D9D9D9"/>
            <w:noWrap/>
            <w:vAlign w:val="bottom"/>
            <w:hideMark/>
          </w:tcPr>
          <w:p w:rsidR="00941C9C" w:rsidRPr="00FE4686" w:rsidRDefault="00941C9C" w:rsidP="008F722F">
            <w:pPr>
              <w:spacing w:beforeLines="60" w:before="144" w:afterLines="60" w:after="144"/>
              <w:rPr>
                <w:rFonts w:ascii="Arial" w:hAnsi="Arial" w:cs="Arial"/>
                <w:bCs/>
                <w:lang w:eastAsia="en-AU"/>
              </w:rPr>
            </w:pPr>
            <w:r w:rsidRPr="00FE4686">
              <w:rPr>
                <w:rFonts w:ascii="Arial" w:hAnsi="Arial" w:cs="Arial"/>
                <w:bCs/>
                <w:lang w:eastAsia="en-AU"/>
              </w:rPr>
              <w:t>Reef Hotel Casino</w:t>
            </w:r>
          </w:p>
        </w:tc>
        <w:tc>
          <w:tcPr>
            <w:tcW w:w="1412" w:type="pct"/>
            <w:shd w:val="clear" w:color="000000" w:fill="D9D9D9"/>
            <w:noWrap/>
            <w:vAlign w:val="bottom"/>
            <w:hideMark/>
          </w:tcPr>
          <w:p w:rsidR="00941C9C" w:rsidRPr="00FE4686" w:rsidRDefault="00941C9C" w:rsidP="00941C9C">
            <w:pPr>
              <w:spacing w:beforeLines="60" w:before="144" w:afterLines="60" w:after="144"/>
              <w:jc w:val="center"/>
              <w:rPr>
                <w:rFonts w:ascii="Arial" w:hAnsi="Arial" w:cs="Arial"/>
                <w:lang w:eastAsia="en-AU"/>
              </w:rPr>
            </w:pPr>
            <w:r>
              <w:rPr>
                <w:rFonts w:ascii="Arial" w:hAnsi="Arial" w:cs="Arial"/>
                <w:lang w:eastAsia="en-AU"/>
              </w:rPr>
              <w:t>660</w:t>
            </w:r>
            <w:r w:rsidR="00E71ABB">
              <w:rPr>
                <w:rStyle w:val="FootnoteReference"/>
                <w:rFonts w:ascii="Arial" w:hAnsi="Arial" w:cs="Arial"/>
                <w:lang w:eastAsia="en-AU"/>
              </w:rPr>
              <w:footnoteReference w:id="2"/>
            </w:r>
          </w:p>
        </w:tc>
        <w:tc>
          <w:tcPr>
            <w:tcW w:w="1644" w:type="pct"/>
            <w:shd w:val="clear" w:color="auto" w:fill="D9D9D9"/>
            <w:noWrap/>
            <w:vAlign w:val="bottom"/>
            <w:hideMark/>
          </w:tcPr>
          <w:p w:rsidR="00941C9C" w:rsidRPr="00FE4686" w:rsidRDefault="00941C9C" w:rsidP="008F722F">
            <w:pPr>
              <w:spacing w:beforeLines="60" w:before="144" w:afterLines="60" w:after="144"/>
              <w:jc w:val="center"/>
              <w:rPr>
                <w:rFonts w:ascii="Arial" w:hAnsi="Arial" w:cs="Arial"/>
                <w:color w:val="000000"/>
                <w:lang w:eastAsia="en-AU"/>
              </w:rPr>
            </w:pPr>
            <w:r w:rsidRPr="00FE4686">
              <w:rPr>
                <w:rFonts w:ascii="Arial" w:hAnsi="Arial" w:cs="Arial"/>
                <w:color w:val="000000"/>
                <w:lang w:eastAsia="en-AU"/>
              </w:rPr>
              <w:t>1</w:t>
            </w:r>
            <w:r>
              <w:rPr>
                <w:rFonts w:ascii="Arial" w:hAnsi="Arial" w:cs="Arial"/>
                <w:color w:val="000000"/>
                <w:lang w:eastAsia="en-AU"/>
              </w:rPr>
              <w:t>7</w:t>
            </w:r>
            <w:r w:rsidRPr="00FE4686">
              <w:rPr>
                <w:rFonts w:ascii="Arial" w:hAnsi="Arial" w:cs="Arial"/>
                <w:color w:val="000000"/>
                <w:lang w:eastAsia="en-AU"/>
              </w:rPr>
              <w:t>%</w:t>
            </w:r>
          </w:p>
        </w:tc>
      </w:tr>
      <w:tr w:rsidR="00941C9C" w:rsidRPr="00FE4686" w:rsidTr="008F722F">
        <w:trPr>
          <w:trHeight w:val="300"/>
        </w:trPr>
        <w:tc>
          <w:tcPr>
            <w:tcW w:w="1944" w:type="pct"/>
            <w:shd w:val="clear" w:color="auto" w:fill="auto"/>
            <w:noWrap/>
            <w:vAlign w:val="bottom"/>
            <w:hideMark/>
          </w:tcPr>
          <w:p w:rsidR="00941C9C" w:rsidRPr="00FE4686" w:rsidRDefault="00941C9C" w:rsidP="008F722F">
            <w:pPr>
              <w:spacing w:beforeLines="60" w:before="144" w:afterLines="60" w:after="144"/>
              <w:rPr>
                <w:rFonts w:ascii="Arial" w:hAnsi="Arial" w:cs="Arial"/>
                <w:lang w:eastAsia="en-AU"/>
              </w:rPr>
            </w:pPr>
            <w:r w:rsidRPr="00FE4686">
              <w:rPr>
                <w:rFonts w:ascii="Arial" w:hAnsi="Arial" w:cs="Arial"/>
                <w:lang w:eastAsia="en-AU"/>
              </w:rPr>
              <w:t>Cazalys Cairns</w:t>
            </w:r>
          </w:p>
        </w:tc>
        <w:tc>
          <w:tcPr>
            <w:tcW w:w="1412"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lang w:eastAsia="en-AU"/>
              </w:rPr>
            </w:pPr>
            <w:r w:rsidRPr="00FE4686">
              <w:rPr>
                <w:rFonts w:ascii="Arial" w:hAnsi="Arial" w:cs="Arial"/>
                <w:lang w:eastAsia="en-AU"/>
              </w:rPr>
              <w:t>300</w:t>
            </w:r>
          </w:p>
        </w:tc>
        <w:tc>
          <w:tcPr>
            <w:tcW w:w="1644"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color w:val="000000"/>
                <w:lang w:eastAsia="en-AU"/>
              </w:rPr>
            </w:pPr>
            <w:r w:rsidRPr="00FE4686">
              <w:rPr>
                <w:rFonts w:ascii="Arial" w:hAnsi="Arial" w:cs="Arial"/>
                <w:color w:val="000000"/>
                <w:lang w:eastAsia="en-AU"/>
              </w:rPr>
              <w:t>8%</w:t>
            </w:r>
          </w:p>
        </w:tc>
      </w:tr>
      <w:tr w:rsidR="00941C9C" w:rsidRPr="00FE4686" w:rsidTr="008F722F">
        <w:trPr>
          <w:trHeight w:val="300"/>
        </w:trPr>
        <w:tc>
          <w:tcPr>
            <w:tcW w:w="1944" w:type="pct"/>
            <w:shd w:val="clear" w:color="auto" w:fill="auto"/>
            <w:noWrap/>
            <w:vAlign w:val="bottom"/>
            <w:hideMark/>
          </w:tcPr>
          <w:p w:rsidR="00941C9C" w:rsidRPr="00FE4686" w:rsidRDefault="00941C9C" w:rsidP="008F722F">
            <w:pPr>
              <w:spacing w:beforeLines="60" w:before="144" w:afterLines="60" w:after="144"/>
              <w:rPr>
                <w:rFonts w:ascii="Arial" w:hAnsi="Arial" w:cs="Arial"/>
                <w:lang w:eastAsia="en-AU"/>
              </w:rPr>
            </w:pPr>
            <w:r w:rsidRPr="00FE4686">
              <w:rPr>
                <w:rFonts w:ascii="Arial" w:hAnsi="Arial" w:cs="Arial"/>
                <w:lang w:eastAsia="en-AU"/>
              </w:rPr>
              <w:t>Brothers Leagues Club Cairns</w:t>
            </w:r>
          </w:p>
        </w:tc>
        <w:tc>
          <w:tcPr>
            <w:tcW w:w="1412"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lang w:eastAsia="en-AU"/>
              </w:rPr>
            </w:pPr>
            <w:r w:rsidRPr="00FE4686">
              <w:rPr>
                <w:rFonts w:ascii="Arial" w:hAnsi="Arial" w:cs="Arial"/>
                <w:lang w:eastAsia="en-AU"/>
              </w:rPr>
              <w:t>170</w:t>
            </w:r>
          </w:p>
        </w:tc>
        <w:tc>
          <w:tcPr>
            <w:tcW w:w="1644"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color w:val="000000"/>
                <w:lang w:eastAsia="en-AU"/>
              </w:rPr>
            </w:pPr>
            <w:r>
              <w:rPr>
                <w:rFonts w:ascii="Arial" w:hAnsi="Arial" w:cs="Arial"/>
                <w:color w:val="000000"/>
                <w:lang w:eastAsia="en-AU"/>
              </w:rPr>
              <w:t>4</w:t>
            </w:r>
            <w:r w:rsidRPr="00FE4686">
              <w:rPr>
                <w:rFonts w:ascii="Arial" w:hAnsi="Arial" w:cs="Arial"/>
                <w:color w:val="000000"/>
                <w:lang w:eastAsia="en-AU"/>
              </w:rPr>
              <w:t>%</w:t>
            </w:r>
          </w:p>
        </w:tc>
      </w:tr>
      <w:tr w:rsidR="00941C9C" w:rsidRPr="00FE4686" w:rsidTr="008F722F">
        <w:trPr>
          <w:trHeight w:val="300"/>
        </w:trPr>
        <w:tc>
          <w:tcPr>
            <w:tcW w:w="1944" w:type="pct"/>
            <w:shd w:val="clear" w:color="auto" w:fill="auto"/>
            <w:noWrap/>
            <w:vAlign w:val="bottom"/>
            <w:hideMark/>
          </w:tcPr>
          <w:p w:rsidR="00941C9C" w:rsidRPr="00FE4686" w:rsidRDefault="00941C9C" w:rsidP="008F722F">
            <w:pPr>
              <w:spacing w:beforeLines="60" w:before="144" w:afterLines="60" w:after="144"/>
              <w:rPr>
                <w:rFonts w:ascii="Arial" w:hAnsi="Arial" w:cs="Arial"/>
                <w:lang w:eastAsia="en-AU"/>
              </w:rPr>
            </w:pPr>
            <w:r w:rsidRPr="00FE4686">
              <w:rPr>
                <w:rFonts w:ascii="Arial" w:hAnsi="Arial" w:cs="Arial"/>
                <w:lang w:eastAsia="en-AU"/>
              </w:rPr>
              <w:t>Fuller Sports Club</w:t>
            </w:r>
            <w:r>
              <w:rPr>
                <w:rStyle w:val="FootnoteReference"/>
                <w:rFonts w:ascii="Arial" w:hAnsi="Arial" w:cs="Arial"/>
                <w:lang w:eastAsia="en-AU"/>
              </w:rPr>
              <w:footnoteReference w:id="3"/>
            </w:r>
          </w:p>
        </w:tc>
        <w:tc>
          <w:tcPr>
            <w:tcW w:w="1412"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lang w:eastAsia="en-AU"/>
              </w:rPr>
            </w:pPr>
            <w:r w:rsidRPr="00FE4686">
              <w:rPr>
                <w:rFonts w:ascii="Arial" w:hAnsi="Arial" w:cs="Arial"/>
                <w:lang w:eastAsia="en-AU"/>
              </w:rPr>
              <w:t>90</w:t>
            </w:r>
          </w:p>
        </w:tc>
        <w:tc>
          <w:tcPr>
            <w:tcW w:w="1644"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color w:val="000000"/>
                <w:lang w:eastAsia="en-AU"/>
              </w:rPr>
            </w:pPr>
            <w:r w:rsidRPr="00FE4686">
              <w:rPr>
                <w:rFonts w:ascii="Arial" w:hAnsi="Arial" w:cs="Arial"/>
                <w:color w:val="000000"/>
                <w:lang w:eastAsia="en-AU"/>
              </w:rPr>
              <w:t>2%</w:t>
            </w:r>
          </w:p>
        </w:tc>
      </w:tr>
      <w:tr w:rsidR="00941C9C" w:rsidRPr="00FE4686" w:rsidTr="008F722F">
        <w:trPr>
          <w:trHeight w:val="300"/>
        </w:trPr>
        <w:tc>
          <w:tcPr>
            <w:tcW w:w="1944" w:type="pct"/>
            <w:shd w:val="clear" w:color="auto" w:fill="auto"/>
            <w:noWrap/>
            <w:vAlign w:val="bottom"/>
            <w:hideMark/>
          </w:tcPr>
          <w:p w:rsidR="00941C9C" w:rsidRPr="00FE4686" w:rsidRDefault="00941C9C" w:rsidP="008F722F">
            <w:pPr>
              <w:spacing w:beforeLines="60" w:before="144" w:afterLines="60" w:after="144"/>
              <w:rPr>
                <w:rFonts w:ascii="Arial" w:hAnsi="Arial" w:cs="Arial"/>
                <w:lang w:eastAsia="en-AU"/>
              </w:rPr>
            </w:pPr>
            <w:r w:rsidRPr="00FE4686">
              <w:rPr>
                <w:rFonts w:ascii="Arial" w:hAnsi="Arial" w:cs="Arial"/>
                <w:lang w:eastAsia="en-AU"/>
              </w:rPr>
              <w:t>Fretwell Park</w:t>
            </w:r>
          </w:p>
        </w:tc>
        <w:tc>
          <w:tcPr>
            <w:tcW w:w="1412"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lang w:eastAsia="en-AU"/>
              </w:rPr>
            </w:pPr>
            <w:r w:rsidRPr="00FE4686">
              <w:rPr>
                <w:rFonts w:ascii="Arial" w:hAnsi="Arial" w:cs="Arial"/>
                <w:lang w:eastAsia="en-AU"/>
              </w:rPr>
              <w:t>60</w:t>
            </w:r>
          </w:p>
        </w:tc>
        <w:tc>
          <w:tcPr>
            <w:tcW w:w="1644"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color w:val="000000"/>
                <w:lang w:eastAsia="en-AU"/>
              </w:rPr>
            </w:pPr>
            <w:r w:rsidRPr="00FE4686">
              <w:rPr>
                <w:rFonts w:ascii="Arial" w:hAnsi="Arial" w:cs="Arial"/>
                <w:color w:val="000000"/>
                <w:lang w:eastAsia="en-AU"/>
              </w:rPr>
              <w:t>2%</w:t>
            </w:r>
          </w:p>
        </w:tc>
      </w:tr>
      <w:tr w:rsidR="00941C9C" w:rsidRPr="00FE4686" w:rsidTr="008F722F">
        <w:trPr>
          <w:trHeight w:val="300"/>
        </w:trPr>
        <w:tc>
          <w:tcPr>
            <w:tcW w:w="1944" w:type="pct"/>
            <w:shd w:val="clear" w:color="auto" w:fill="auto"/>
            <w:noWrap/>
            <w:vAlign w:val="bottom"/>
            <w:hideMark/>
          </w:tcPr>
          <w:p w:rsidR="00941C9C" w:rsidRPr="00FE4686" w:rsidRDefault="00941C9C" w:rsidP="008F722F">
            <w:pPr>
              <w:spacing w:beforeLines="60" w:before="144" w:afterLines="60" w:after="144"/>
              <w:rPr>
                <w:rFonts w:ascii="Arial" w:hAnsi="Arial" w:cs="Arial"/>
                <w:lang w:eastAsia="en-AU"/>
              </w:rPr>
            </w:pPr>
            <w:r w:rsidRPr="00FE4686">
              <w:rPr>
                <w:rFonts w:ascii="Arial" w:hAnsi="Arial" w:cs="Arial"/>
                <w:lang w:eastAsia="en-AU"/>
              </w:rPr>
              <w:t>Centrals Trinity Beach Australian Rules &amp; Sporting Club</w:t>
            </w:r>
          </w:p>
        </w:tc>
        <w:tc>
          <w:tcPr>
            <w:tcW w:w="1412"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lang w:eastAsia="en-AU"/>
              </w:rPr>
            </w:pPr>
            <w:r w:rsidRPr="00FE4686">
              <w:rPr>
                <w:rFonts w:ascii="Arial" w:hAnsi="Arial" w:cs="Arial"/>
                <w:lang w:eastAsia="en-AU"/>
              </w:rPr>
              <w:t>58</w:t>
            </w:r>
          </w:p>
        </w:tc>
        <w:tc>
          <w:tcPr>
            <w:tcW w:w="1644"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color w:val="000000"/>
                <w:lang w:eastAsia="en-AU"/>
              </w:rPr>
            </w:pPr>
            <w:r>
              <w:rPr>
                <w:rFonts w:ascii="Arial" w:hAnsi="Arial" w:cs="Arial"/>
                <w:color w:val="000000"/>
                <w:lang w:eastAsia="en-AU"/>
              </w:rPr>
              <w:t>1</w:t>
            </w:r>
            <w:r w:rsidRPr="00FE4686">
              <w:rPr>
                <w:rFonts w:ascii="Arial" w:hAnsi="Arial" w:cs="Arial"/>
                <w:color w:val="000000"/>
                <w:lang w:eastAsia="en-AU"/>
              </w:rPr>
              <w:t>%</w:t>
            </w:r>
          </w:p>
        </w:tc>
      </w:tr>
      <w:tr w:rsidR="00941C9C" w:rsidRPr="00FE4686" w:rsidTr="008F722F">
        <w:trPr>
          <w:trHeight w:val="300"/>
        </w:trPr>
        <w:tc>
          <w:tcPr>
            <w:tcW w:w="1944" w:type="pct"/>
            <w:shd w:val="clear" w:color="auto" w:fill="auto"/>
            <w:noWrap/>
            <w:vAlign w:val="bottom"/>
            <w:hideMark/>
          </w:tcPr>
          <w:p w:rsidR="00941C9C" w:rsidRPr="00FE4686" w:rsidRDefault="00941C9C" w:rsidP="008F722F">
            <w:pPr>
              <w:spacing w:beforeLines="60" w:before="144" w:afterLines="60" w:after="144"/>
              <w:rPr>
                <w:rFonts w:ascii="Arial" w:hAnsi="Arial" w:cs="Arial"/>
                <w:lang w:eastAsia="en-AU"/>
              </w:rPr>
            </w:pPr>
            <w:r w:rsidRPr="00FE4686">
              <w:rPr>
                <w:rFonts w:ascii="Arial" w:hAnsi="Arial" w:cs="Arial"/>
                <w:lang w:eastAsia="en-AU"/>
              </w:rPr>
              <w:t>Other (combined 33 venues)</w:t>
            </w:r>
          </w:p>
        </w:tc>
        <w:tc>
          <w:tcPr>
            <w:tcW w:w="1412"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lang w:eastAsia="en-AU"/>
              </w:rPr>
            </w:pPr>
            <w:r w:rsidRPr="00FE4686">
              <w:rPr>
                <w:rFonts w:ascii="Arial" w:hAnsi="Arial" w:cs="Arial"/>
                <w:lang w:eastAsia="en-AU"/>
              </w:rPr>
              <w:t>1056</w:t>
            </w:r>
          </w:p>
        </w:tc>
        <w:tc>
          <w:tcPr>
            <w:tcW w:w="1644"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lang w:eastAsia="en-AU"/>
              </w:rPr>
            </w:pPr>
            <w:r w:rsidRPr="00FE4686">
              <w:rPr>
                <w:rFonts w:ascii="Arial" w:hAnsi="Arial" w:cs="Arial"/>
                <w:lang w:eastAsia="en-AU"/>
              </w:rPr>
              <w:t>2</w:t>
            </w:r>
            <w:r>
              <w:rPr>
                <w:rFonts w:ascii="Arial" w:hAnsi="Arial" w:cs="Arial"/>
                <w:lang w:eastAsia="en-AU"/>
              </w:rPr>
              <w:t>7</w:t>
            </w:r>
            <w:r w:rsidRPr="00FE4686">
              <w:rPr>
                <w:rFonts w:ascii="Arial" w:hAnsi="Arial" w:cs="Arial"/>
                <w:lang w:eastAsia="en-AU"/>
              </w:rPr>
              <w:t>%</w:t>
            </w:r>
          </w:p>
        </w:tc>
      </w:tr>
      <w:tr w:rsidR="00941C9C" w:rsidRPr="00FE4686" w:rsidTr="008F722F">
        <w:trPr>
          <w:trHeight w:val="300"/>
        </w:trPr>
        <w:tc>
          <w:tcPr>
            <w:tcW w:w="1944" w:type="pct"/>
            <w:shd w:val="clear" w:color="auto" w:fill="auto"/>
            <w:noWrap/>
            <w:vAlign w:val="bottom"/>
            <w:hideMark/>
          </w:tcPr>
          <w:p w:rsidR="00941C9C" w:rsidRPr="00FE4686" w:rsidRDefault="00941C9C" w:rsidP="008F722F">
            <w:pPr>
              <w:spacing w:beforeLines="60" w:before="144" w:afterLines="60" w:after="144"/>
              <w:rPr>
                <w:rFonts w:ascii="Arial" w:hAnsi="Arial" w:cs="Arial"/>
                <w:b/>
                <w:color w:val="000000"/>
                <w:lang w:eastAsia="en-AU"/>
              </w:rPr>
            </w:pPr>
            <w:r w:rsidRPr="00FE4686">
              <w:rPr>
                <w:rFonts w:ascii="Arial" w:hAnsi="Arial" w:cs="Arial"/>
                <w:b/>
                <w:color w:val="000000"/>
                <w:lang w:eastAsia="en-AU"/>
              </w:rPr>
              <w:t>Total</w:t>
            </w:r>
          </w:p>
        </w:tc>
        <w:tc>
          <w:tcPr>
            <w:tcW w:w="1412"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b/>
                <w:color w:val="000000"/>
                <w:lang w:eastAsia="en-AU"/>
              </w:rPr>
            </w:pPr>
            <w:r>
              <w:rPr>
                <w:rFonts w:ascii="Arial" w:hAnsi="Arial" w:cs="Arial"/>
                <w:b/>
                <w:color w:val="000000"/>
                <w:lang w:eastAsia="en-AU"/>
              </w:rPr>
              <w:t>3894</w:t>
            </w:r>
          </w:p>
        </w:tc>
        <w:tc>
          <w:tcPr>
            <w:tcW w:w="1644" w:type="pct"/>
            <w:shd w:val="clear" w:color="auto" w:fill="auto"/>
            <w:noWrap/>
            <w:vAlign w:val="bottom"/>
            <w:hideMark/>
          </w:tcPr>
          <w:p w:rsidR="00941C9C" w:rsidRPr="00FE4686" w:rsidRDefault="00941C9C" w:rsidP="008F722F">
            <w:pPr>
              <w:spacing w:beforeLines="60" w:before="144" w:afterLines="60" w:after="144"/>
              <w:jc w:val="center"/>
              <w:rPr>
                <w:rFonts w:ascii="Arial" w:hAnsi="Arial" w:cs="Arial"/>
                <w:b/>
                <w:color w:val="000000"/>
                <w:lang w:eastAsia="en-AU"/>
              </w:rPr>
            </w:pPr>
            <w:r w:rsidRPr="00FE4686">
              <w:rPr>
                <w:rFonts w:ascii="Arial" w:hAnsi="Arial" w:cs="Arial"/>
                <w:b/>
                <w:color w:val="000000"/>
                <w:lang w:eastAsia="en-AU"/>
              </w:rPr>
              <w:t>100%</w:t>
            </w:r>
          </w:p>
        </w:tc>
      </w:tr>
    </w:tbl>
    <w:p w:rsidR="00941C9C" w:rsidRDefault="003C2941" w:rsidP="00CA5180">
      <w:pPr>
        <w:pStyle w:val="ListParagraph"/>
        <w:numPr>
          <w:ilvl w:val="0"/>
          <w:numId w:val="1"/>
        </w:numPr>
        <w:spacing w:before="240" w:after="120"/>
        <w:ind w:left="572" w:hanging="357"/>
        <w:contextualSpacing w:val="0"/>
        <w:rPr>
          <w:rFonts w:ascii="Arial" w:hAnsi="Arial" w:cs="Arial"/>
        </w:rPr>
      </w:pPr>
      <w:r w:rsidRPr="00965510">
        <w:rPr>
          <w:rFonts w:ascii="Arial" w:hAnsi="Arial" w:cs="Arial"/>
        </w:rPr>
        <w:t>Consequently, the third sentence in paragraph 76 should read “</w:t>
      </w:r>
      <w:r w:rsidRPr="00965510">
        <w:rPr>
          <w:rFonts w:ascii="Arial" w:hAnsi="Arial" w:cs="Arial"/>
          <w:i/>
        </w:rPr>
        <w:t>The proposed acquisition would have the effect of eliminating that competitor to the Aquis Resort, and increasing the percentage of the approved gaming machines in Cairns that are under Aquis’ control from 39% to 56%.</w:t>
      </w:r>
      <w:r w:rsidRPr="00965510">
        <w:rPr>
          <w:rFonts w:ascii="Arial" w:hAnsi="Arial" w:cs="Arial"/>
        </w:rPr>
        <w:t>”</w:t>
      </w:r>
    </w:p>
    <w:p w:rsidR="00B521C4" w:rsidRPr="00965510" w:rsidRDefault="007C0C0E" w:rsidP="00CA5180">
      <w:pPr>
        <w:pStyle w:val="ListParagraph"/>
        <w:numPr>
          <w:ilvl w:val="0"/>
          <w:numId w:val="1"/>
        </w:numPr>
        <w:spacing w:before="120" w:after="120"/>
        <w:ind w:left="572" w:hanging="357"/>
        <w:contextualSpacing w:val="0"/>
        <w:rPr>
          <w:rFonts w:ascii="Arial" w:hAnsi="Arial" w:cs="Arial"/>
        </w:rPr>
      </w:pPr>
      <w:r w:rsidRPr="00965510">
        <w:rPr>
          <w:rFonts w:ascii="Arial" w:hAnsi="Arial" w:cs="Arial"/>
        </w:rPr>
        <w:t>Similarly, the first sentence of paragraph 73 should read “</w:t>
      </w:r>
      <w:r w:rsidRPr="00965510">
        <w:rPr>
          <w:rFonts w:ascii="Arial" w:hAnsi="Arial" w:cs="Arial"/>
          <w:i/>
        </w:rPr>
        <w:t>As mentioned above at paragraphs 12 and 13, the Reef Casino presently has 519 gaming machines (with approval for 660) and the Aquis Resort has sought approval for 1500 gaming machines.</w:t>
      </w:r>
      <w:r w:rsidRPr="00965510">
        <w:rPr>
          <w:rFonts w:ascii="Arial" w:hAnsi="Arial" w:cs="Arial"/>
        </w:rPr>
        <w:t>”</w:t>
      </w:r>
    </w:p>
    <w:p w:rsidR="00B521C4" w:rsidRDefault="00B521C4" w:rsidP="00B34C02">
      <w:pPr>
        <w:ind w:left="-142"/>
      </w:pPr>
    </w:p>
    <w:sectPr w:rsidR="00B521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FD" w:rsidRDefault="001B5BFD" w:rsidP="001B5BFD">
      <w:pPr>
        <w:spacing w:after="0" w:line="240" w:lineRule="auto"/>
      </w:pPr>
      <w:r>
        <w:separator/>
      </w:r>
    </w:p>
  </w:endnote>
  <w:endnote w:type="continuationSeparator" w:id="0">
    <w:p w:rsidR="001B5BFD" w:rsidRDefault="001B5BFD" w:rsidP="001B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FD" w:rsidRDefault="001B5BFD" w:rsidP="001B5BFD">
      <w:pPr>
        <w:spacing w:after="0" w:line="240" w:lineRule="auto"/>
      </w:pPr>
      <w:r>
        <w:separator/>
      </w:r>
    </w:p>
  </w:footnote>
  <w:footnote w:type="continuationSeparator" w:id="0">
    <w:p w:rsidR="001B5BFD" w:rsidRDefault="001B5BFD" w:rsidP="001B5BFD">
      <w:pPr>
        <w:spacing w:after="0" w:line="240" w:lineRule="auto"/>
      </w:pPr>
      <w:r>
        <w:continuationSeparator/>
      </w:r>
    </w:p>
  </w:footnote>
  <w:footnote w:id="1">
    <w:p w:rsidR="00D75E04" w:rsidRDefault="00D75E04">
      <w:pPr>
        <w:pStyle w:val="FootnoteText"/>
      </w:pPr>
      <w:r>
        <w:rPr>
          <w:rStyle w:val="FootnoteReference"/>
        </w:rPr>
        <w:footnoteRef/>
      </w:r>
      <w:r>
        <w:t xml:space="preserve"> Table 1 was reproduced </w:t>
      </w:r>
      <w:r w:rsidRPr="00D75E04">
        <w:t>from page 23 of the</w:t>
      </w:r>
      <w:r>
        <w:t xml:space="preserve"> </w:t>
      </w:r>
      <w:r w:rsidRPr="00D75E04">
        <w:t>PricewaterhouseCoopers Independent Expert’s Report in respect of the proposed acquisition</w:t>
      </w:r>
      <w:r>
        <w:t>.</w:t>
      </w:r>
    </w:p>
  </w:footnote>
  <w:footnote w:id="2">
    <w:p w:rsidR="00E71ABB" w:rsidRDefault="00E71ABB">
      <w:pPr>
        <w:pStyle w:val="FootnoteText"/>
      </w:pPr>
      <w:r>
        <w:rPr>
          <w:rStyle w:val="FootnoteReference"/>
        </w:rPr>
        <w:footnoteRef/>
      </w:r>
      <w:r>
        <w:t xml:space="preserve"> </w:t>
      </w:r>
      <w:r w:rsidR="001670F5">
        <w:t>W</w:t>
      </w:r>
      <w:r w:rsidR="00CE0A58">
        <w:t xml:space="preserve">hile the Reef Casino has approval to operate 660 gaming machines, it </w:t>
      </w:r>
      <w:r>
        <w:t>currently operates 519 gaming machines.</w:t>
      </w:r>
    </w:p>
  </w:footnote>
  <w:footnote w:id="3">
    <w:p w:rsidR="00941C9C" w:rsidRPr="00941C9C" w:rsidRDefault="00941C9C" w:rsidP="00941C9C">
      <w:pPr>
        <w:pStyle w:val="FootnoteText"/>
        <w:rPr>
          <w:color w:val="000000"/>
        </w:rPr>
      </w:pPr>
      <w:r w:rsidRPr="00941C9C">
        <w:rPr>
          <w:rStyle w:val="FootnoteReference"/>
          <w:color w:val="000000"/>
        </w:rPr>
        <w:footnoteRef/>
      </w:r>
      <w:r w:rsidRPr="00941C9C">
        <w:rPr>
          <w:color w:val="000000"/>
        </w:rPr>
        <w:t xml:space="preserve"> The Fuller Sports Club is owned by the Brothers Leagues Club Cairns.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C71D1"/>
    <w:multiLevelType w:val="hybridMultilevel"/>
    <w:tmpl w:val="825095E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asudo\Correction to Aquis SOI.doc"/>
  </w:docVars>
  <w:rsids>
    <w:rsidRoot w:val="00830BFB"/>
    <w:rsid w:val="00057458"/>
    <w:rsid w:val="000E1649"/>
    <w:rsid w:val="00112536"/>
    <w:rsid w:val="00155085"/>
    <w:rsid w:val="001670F5"/>
    <w:rsid w:val="0019242E"/>
    <w:rsid w:val="001B21EA"/>
    <w:rsid w:val="001B5BFD"/>
    <w:rsid w:val="00225099"/>
    <w:rsid w:val="002305A8"/>
    <w:rsid w:val="00275877"/>
    <w:rsid w:val="00291912"/>
    <w:rsid w:val="002B2B35"/>
    <w:rsid w:val="003473E1"/>
    <w:rsid w:val="003477AD"/>
    <w:rsid w:val="003A6F14"/>
    <w:rsid w:val="003C2941"/>
    <w:rsid w:val="003C3D0A"/>
    <w:rsid w:val="003D2EF5"/>
    <w:rsid w:val="003E1F4E"/>
    <w:rsid w:val="003E6F48"/>
    <w:rsid w:val="00420083"/>
    <w:rsid w:val="00431CE4"/>
    <w:rsid w:val="004339F1"/>
    <w:rsid w:val="004A5847"/>
    <w:rsid w:val="00510CB8"/>
    <w:rsid w:val="00541A51"/>
    <w:rsid w:val="005946C9"/>
    <w:rsid w:val="00597551"/>
    <w:rsid w:val="00603194"/>
    <w:rsid w:val="00623E97"/>
    <w:rsid w:val="006412F5"/>
    <w:rsid w:val="006D1C9A"/>
    <w:rsid w:val="00700114"/>
    <w:rsid w:val="00767AF7"/>
    <w:rsid w:val="00797B96"/>
    <w:rsid w:val="007C0C0E"/>
    <w:rsid w:val="00830BFB"/>
    <w:rsid w:val="0086027F"/>
    <w:rsid w:val="00890334"/>
    <w:rsid w:val="008A6A6E"/>
    <w:rsid w:val="008C6739"/>
    <w:rsid w:val="00937B0A"/>
    <w:rsid w:val="00941C9C"/>
    <w:rsid w:val="00965510"/>
    <w:rsid w:val="00977FA3"/>
    <w:rsid w:val="00985A12"/>
    <w:rsid w:val="009E4647"/>
    <w:rsid w:val="009E6853"/>
    <w:rsid w:val="00A1090C"/>
    <w:rsid w:val="00AC2843"/>
    <w:rsid w:val="00AC365C"/>
    <w:rsid w:val="00AD0D1C"/>
    <w:rsid w:val="00AD407C"/>
    <w:rsid w:val="00AE7487"/>
    <w:rsid w:val="00B34C02"/>
    <w:rsid w:val="00B50B49"/>
    <w:rsid w:val="00B521C4"/>
    <w:rsid w:val="00BA56CD"/>
    <w:rsid w:val="00BA6ED2"/>
    <w:rsid w:val="00BC0E7A"/>
    <w:rsid w:val="00C23E5D"/>
    <w:rsid w:val="00C75ED0"/>
    <w:rsid w:val="00C83270"/>
    <w:rsid w:val="00C95D78"/>
    <w:rsid w:val="00CA5180"/>
    <w:rsid w:val="00CD284E"/>
    <w:rsid w:val="00CE0A58"/>
    <w:rsid w:val="00D027D8"/>
    <w:rsid w:val="00D5380D"/>
    <w:rsid w:val="00D53E49"/>
    <w:rsid w:val="00D548E2"/>
    <w:rsid w:val="00D74C91"/>
    <w:rsid w:val="00D75E04"/>
    <w:rsid w:val="00DC6EA9"/>
    <w:rsid w:val="00DD4F26"/>
    <w:rsid w:val="00DF08C7"/>
    <w:rsid w:val="00E00DD8"/>
    <w:rsid w:val="00E20C91"/>
    <w:rsid w:val="00E222DF"/>
    <w:rsid w:val="00E31496"/>
    <w:rsid w:val="00E41763"/>
    <w:rsid w:val="00E51F0E"/>
    <w:rsid w:val="00E71ABB"/>
    <w:rsid w:val="00EF517A"/>
    <w:rsid w:val="00F103A1"/>
    <w:rsid w:val="00F54225"/>
    <w:rsid w:val="00F6280D"/>
    <w:rsid w:val="00F7669C"/>
    <w:rsid w:val="00F959E8"/>
    <w:rsid w:val="00FB2036"/>
    <w:rsid w:val="00FF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B34C0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34C0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CA5180"/>
    <w:pPr>
      <w:keepNext/>
      <w:spacing w:before="240" w:after="240" w:line="240" w:lineRule="auto"/>
      <w:ind w:left="284"/>
      <w:outlineLvl w:val="2"/>
    </w:pPr>
    <w:rPr>
      <w:rFonts w:ascii="Arial" w:eastAsia="Times New Roman" w:hAnsi="Arial"/>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C0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34C02"/>
    <w:rPr>
      <w:rFonts w:ascii="Cambria" w:eastAsia="Times New Roman" w:hAnsi="Cambria" w:cs="Times New Roman"/>
      <w:b/>
      <w:bCs/>
      <w:color w:val="4F81BD"/>
      <w:sz w:val="26"/>
      <w:szCs w:val="26"/>
    </w:rPr>
  </w:style>
  <w:style w:type="character" w:customStyle="1" w:styleId="Heading3Char">
    <w:name w:val="Heading 3 Char"/>
    <w:link w:val="Heading3"/>
    <w:rsid w:val="00CA5180"/>
    <w:rPr>
      <w:rFonts w:ascii="Arial" w:eastAsia="Times New Roman" w:hAnsi="Arial"/>
      <w:sz w:val="22"/>
      <w:szCs w:val="22"/>
      <w:u w:val="single"/>
    </w:rPr>
  </w:style>
  <w:style w:type="paragraph" w:styleId="FootnoteText">
    <w:name w:val="footnote text"/>
    <w:basedOn w:val="Normal"/>
    <w:link w:val="FootnoteTextChar"/>
    <w:uiPriority w:val="99"/>
    <w:unhideWhenUsed/>
    <w:rsid w:val="001B5BFD"/>
    <w:rPr>
      <w:sz w:val="20"/>
      <w:szCs w:val="20"/>
    </w:rPr>
  </w:style>
  <w:style w:type="character" w:customStyle="1" w:styleId="FootnoteTextChar">
    <w:name w:val="Footnote Text Char"/>
    <w:basedOn w:val="DefaultParagraphFont"/>
    <w:link w:val="FootnoteText"/>
    <w:uiPriority w:val="99"/>
    <w:rsid w:val="001B5BFD"/>
    <w:rPr>
      <w:lang w:eastAsia="en-US"/>
    </w:rPr>
  </w:style>
  <w:style w:type="character" w:styleId="FootnoteReference">
    <w:name w:val="footnote reference"/>
    <w:basedOn w:val="DefaultParagraphFont"/>
    <w:uiPriority w:val="99"/>
    <w:unhideWhenUsed/>
    <w:rsid w:val="001B5BFD"/>
    <w:rPr>
      <w:vertAlign w:val="superscript"/>
    </w:rPr>
  </w:style>
  <w:style w:type="character" w:styleId="Hyperlink">
    <w:name w:val="Hyperlink"/>
    <w:basedOn w:val="DefaultParagraphFont"/>
    <w:uiPriority w:val="99"/>
    <w:unhideWhenUsed/>
    <w:rsid w:val="001B5BFD"/>
    <w:rPr>
      <w:color w:val="0000FF" w:themeColor="hyperlink"/>
      <w:u w:val="single"/>
    </w:rPr>
  </w:style>
  <w:style w:type="paragraph" w:styleId="CommentText">
    <w:name w:val="annotation text"/>
    <w:basedOn w:val="Normal"/>
    <w:link w:val="CommentTextChar"/>
    <w:uiPriority w:val="99"/>
    <w:rsid w:val="00941C9C"/>
    <w:pPr>
      <w:spacing w:after="0" w:line="240" w:lineRule="auto"/>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uiPriority w:val="99"/>
    <w:rsid w:val="00941C9C"/>
    <w:rPr>
      <w:rFonts w:ascii="Times New Roman" w:eastAsia="Times New Roman" w:hAnsi="Times New Roman"/>
    </w:rPr>
  </w:style>
  <w:style w:type="character" w:styleId="CommentReference">
    <w:name w:val="annotation reference"/>
    <w:rsid w:val="00941C9C"/>
    <w:rPr>
      <w:sz w:val="16"/>
      <w:szCs w:val="16"/>
    </w:rPr>
  </w:style>
  <w:style w:type="paragraph" w:styleId="BalloonText">
    <w:name w:val="Balloon Text"/>
    <w:basedOn w:val="Normal"/>
    <w:link w:val="BalloonTextChar"/>
    <w:uiPriority w:val="99"/>
    <w:semiHidden/>
    <w:unhideWhenUsed/>
    <w:rsid w:val="0094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9C"/>
    <w:rPr>
      <w:rFonts w:ascii="Tahoma" w:hAnsi="Tahoma" w:cs="Tahoma"/>
      <w:sz w:val="16"/>
      <w:szCs w:val="16"/>
      <w:lang w:eastAsia="en-US"/>
    </w:rPr>
  </w:style>
  <w:style w:type="paragraph" w:styleId="Header">
    <w:name w:val="header"/>
    <w:basedOn w:val="Normal"/>
    <w:link w:val="HeaderChar"/>
    <w:uiPriority w:val="99"/>
    <w:unhideWhenUsed/>
    <w:rsid w:val="0093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B0A"/>
    <w:rPr>
      <w:sz w:val="22"/>
      <w:szCs w:val="22"/>
      <w:lang w:eastAsia="en-US"/>
    </w:rPr>
  </w:style>
  <w:style w:type="paragraph" w:styleId="Footer">
    <w:name w:val="footer"/>
    <w:basedOn w:val="Normal"/>
    <w:link w:val="FooterChar"/>
    <w:uiPriority w:val="99"/>
    <w:unhideWhenUsed/>
    <w:rsid w:val="0093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B0A"/>
    <w:rPr>
      <w:sz w:val="22"/>
      <w:szCs w:val="22"/>
      <w:lang w:eastAsia="en-US"/>
    </w:rPr>
  </w:style>
  <w:style w:type="paragraph" w:styleId="CommentSubject">
    <w:name w:val="annotation subject"/>
    <w:basedOn w:val="CommentText"/>
    <w:next w:val="CommentText"/>
    <w:link w:val="CommentSubjectChar"/>
    <w:uiPriority w:val="99"/>
    <w:semiHidden/>
    <w:unhideWhenUsed/>
    <w:rsid w:val="008A6A6E"/>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A6A6E"/>
    <w:rPr>
      <w:rFonts w:ascii="Times New Roman" w:eastAsia="Times New Roman" w:hAnsi="Times New Roman"/>
      <w:b/>
      <w:bCs/>
      <w:lang w:eastAsia="en-US"/>
    </w:rPr>
  </w:style>
  <w:style w:type="paragraph" w:styleId="Date">
    <w:name w:val="Date"/>
    <w:basedOn w:val="Normal"/>
    <w:next w:val="Normal"/>
    <w:link w:val="DateChar"/>
    <w:qFormat/>
    <w:rsid w:val="001B21EA"/>
    <w:pPr>
      <w:spacing w:after="240" w:line="240" w:lineRule="auto"/>
      <w:jc w:val="right"/>
    </w:pPr>
    <w:rPr>
      <w:rFonts w:ascii="Arial" w:eastAsia="Times New Roman" w:hAnsi="Arial" w:cs="Arial"/>
      <w:b/>
      <w:sz w:val="28"/>
      <w:szCs w:val="28"/>
    </w:rPr>
  </w:style>
  <w:style w:type="character" w:customStyle="1" w:styleId="DateChar">
    <w:name w:val="Date Char"/>
    <w:basedOn w:val="DefaultParagraphFont"/>
    <w:link w:val="Date"/>
    <w:rsid w:val="001B21EA"/>
    <w:rPr>
      <w:rFonts w:ascii="Arial" w:eastAsia="Times New Roman" w:hAnsi="Arial" w:cs="Arial"/>
      <w:b/>
      <w:sz w:val="28"/>
      <w:szCs w:val="28"/>
      <w:lang w:eastAsia="en-US"/>
    </w:rPr>
  </w:style>
  <w:style w:type="paragraph" w:customStyle="1" w:styleId="NormalParagraph">
    <w:name w:val="Normal Paragraph"/>
    <w:basedOn w:val="Normal"/>
    <w:link w:val="NormalParagraphChar"/>
    <w:qFormat/>
    <w:rsid w:val="00965510"/>
    <w:pPr>
      <w:spacing w:before="120" w:after="120" w:line="240" w:lineRule="auto"/>
    </w:pPr>
    <w:rPr>
      <w:rFonts w:ascii="Arial" w:eastAsia="Times New Roman" w:hAnsi="Arial" w:cs="Arial"/>
    </w:rPr>
  </w:style>
  <w:style w:type="character" w:customStyle="1" w:styleId="NormalParagraphChar">
    <w:name w:val="Normal Paragraph Char"/>
    <w:basedOn w:val="DefaultParagraphFont"/>
    <w:link w:val="NormalParagraph"/>
    <w:rsid w:val="00965510"/>
    <w:rPr>
      <w:rFonts w:ascii="Arial" w:eastAsia="Times New Roman" w:hAnsi="Arial" w:cs="Arial"/>
      <w:sz w:val="22"/>
      <w:szCs w:val="22"/>
      <w:lang w:eastAsia="en-US"/>
    </w:rPr>
  </w:style>
  <w:style w:type="paragraph" w:styleId="ListParagraph">
    <w:name w:val="List Paragraph"/>
    <w:basedOn w:val="Normal"/>
    <w:uiPriority w:val="34"/>
    <w:qFormat/>
    <w:rsid w:val="00965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B34C0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34C0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CA5180"/>
    <w:pPr>
      <w:keepNext/>
      <w:spacing w:before="240" w:after="240" w:line="240" w:lineRule="auto"/>
      <w:ind w:left="284"/>
      <w:outlineLvl w:val="2"/>
    </w:pPr>
    <w:rPr>
      <w:rFonts w:ascii="Arial" w:eastAsia="Times New Roman" w:hAnsi="Arial"/>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C0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34C02"/>
    <w:rPr>
      <w:rFonts w:ascii="Cambria" w:eastAsia="Times New Roman" w:hAnsi="Cambria" w:cs="Times New Roman"/>
      <w:b/>
      <w:bCs/>
      <w:color w:val="4F81BD"/>
      <w:sz w:val="26"/>
      <w:szCs w:val="26"/>
    </w:rPr>
  </w:style>
  <w:style w:type="character" w:customStyle="1" w:styleId="Heading3Char">
    <w:name w:val="Heading 3 Char"/>
    <w:link w:val="Heading3"/>
    <w:rsid w:val="00CA5180"/>
    <w:rPr>
      <w:rFonts w:ascii="Arial" w:eastAsia="Times New Roman" w:hAnsi="Arial"/>
      <w:sz w:val="22"/>
      <w:szCs w:val="22"/>
      <w:u w:val="single"/>
    </w:rPr>
  </w:style>
  <w:style w:type="paragraph" w:styleId="FootnoteText">
    <w:name w:val="footnote text"/>
    <w:basedOn w:val="Normal"/>
    <w:link w:val="FootnoteTextChar"/>
    <w:uiPriority w:val="99"/>
    <w:unhideWhenUsed/>
    <w:rsid w:val="001B5BFD"/>
    <w:rPr>
      <w:sz w:val="20"/>
      <w:szCs w:val="20"/>
    </w:rPr>
  </w:style>
  <w:style w:type="character" w:customStyle="1" w:styleId="FootnoteTextChar">
    <w:name w:val="Footnote Text Char"/>
    <w:basedOn w:val="DefaultParagraphFont"/>
    <w:link w:val="FootnoteText"/>
    <w:uiPriority w:val="99"/>
    <w:rsid w:val="001B5BFD"/>
    <w:rPr>
      <w:lang w:eastAsia="en-US"/>
    </w:rPr>
  </w:style>
  <w:style w:type="character" w:styleId="FootnoteReference">
    <w:name w:val="footnote reference"/>
    <w:basedOn w:val="DefaultParagraphFont"/>
    <w:uiPriority w:val="99"/>
    <w:unhideWhenUsed/>
    <w:rsid w:val="001B5BFD"/>
    <w:rPr>
      <w:vertAlign w:val="superscript"/>
    </w:rPr>
  </w:style>
  <w:style w:type="character" w:styleId="Hyperlink">
    <w:name w:val="Hyperlink"/>
    <w:basedOn w:val="DefaultParagraphFont"/>
    <w:uiPriority w:val="99"/>
    <w:unhideWhenUsed/>
    <w:rsid w:val="001B5BFD"/>
    <w:rPr>
      <w:color w:val="0000FF" w:themeColor="hyperlink"/>
      <w:u w:val="single"/>
    </w:rPr>
  </w:style>
  <w:style w:type="paragraph" w:styleId="CommentText">
    <w:name w:val="annotation text"/>
    <w:basedOn w:val="Normal"/>
    <w:link w:val="CommentTextChar"/>
    <w:uiPriority w:val="99"/>
    <w:rsid w:val="00941C9C"/>
    <w:pPr>
      <w:spacing w:after="0" w:line="240" w:lineRule="auto"/>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uiPriority w:val="99"/>
    <w:rsid w:val="00941C9C"/>
    <w:rPr>
      <w:rFonts w:ascii="Times New Roman" w:eastAsia="Times New Roman" w:hAnsi="Times New Roman"/>
    </w:rPr>
  </w:style>
  <w:style w:type="character" w:styleId="CommentReference">
    <w:name w:val="annotation reference"/>
    <w:rsid w:val="00941C9C"/>
    <w:rPr>
      <w:sz w:val="16"/>
      <w:szCs w:val="16"/>
    </w:rPr>
  </w:style>
  <w:style w:type="paragraph" w:styleId="BalloonText">
    <w:name w:val="Balloon Text"/>
    <w:basedOn w:val="Normal"/>
    <w:link w:val="BalloonTextChar"/>
    <w:uiPriority w:val="99"/>
    <w:semiHidden/>
    <w:unhideWhenUsed/>
    <w:rsid w:val="0094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9C"/>
    <w:rPr>
      <w:rFonts w:ascii="Tahoma" w:hAnsi="Tahoma" w:cs="Tahoma"/>
      <w:sz w:val="16"/>
      <w:szCs w:val="16"/>
      <w:lang w:eastAsia="en-US"/>
    </w:rPr>
  </w:style>
  <w:style w:type="paragraph" w:styleId="Header">
    <w:name w:val="header"/>
    <w:basedOn w:val="Normal"/>
    <w:link w:val="HeaderChar"/>
    <w:uiPriority w:val="99"/>
    <w:unhideWhenUsed/>
    <w:rsid w:val="0093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B0A"/>
    <w:rPr>
      <w:sz w:val="22"/>
      <w:szCs w:val="22"/>
      <w:lang w:eastAsia="en-US"/>
    </w:rPr>
  </w:style>
  <w:style w:type="paragraph" w:styleId="Footer">
    <w:name w:val="footer"/>
    <w:basedOn w:val="Normal"/>
    <w:link w:val="FooterChar"/>
    <w:uiPriority w:val="99"/>
    <w:unhideWhenUsed/>
    <w:rsid w:val="0093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B0A"/>
    <w:rPr>
      <w:sz w:val="22"/>
      <w:szCs w:val="22"/>
      <w:lang w:eastAsia="en-US"/>
    </w:rPr>
  </w:style>
  <w:style w:type="paragraph" w:styleId="CommentSubject">
    <w:name w:val="annotation subject"/>
    <w:basedOn w:val="CommentText"/>
    <w:next w:val="CommentText"/>
    <w:link w:val="CommentSubjectChar"/>
    <w:uiPriority w:val="99"/>
    <w:semiHidden/>
    <w:unhideWhenUsed/>
    <w:rsid w:val="008A6A6E"/>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A6A6E"/>
    <w:rPr>
      <w:rFonts w:ascii="Times New Roman" w:eastAsia="Times New Roman" w:hAnsi="Times New Roman"/>
      <w:b/>
      <w:bCs/>
      <w:lang w:eastAsia="en-US"/>
    </w:rPr>
  </w:style>
  <w:style w:type="paragraph" w:styleId="Date">
    <w:name w:val="Date"/>
    <w:basedOn w:val="Normal"/>
    <w:next w:val="Normal"/>
    <w:link w:val="DateChar"/>
    <w:qFormat/>
    <w:rsid w:val="001B21EA"/>
    <w:pPr>
      <w:spacing w:after="240" w:line="240" w:lineRule="auto"/>
      <w:jc w:val="right"/>
    </w:pPr>
    <w:rPr>
      <w:rFonts w:ascii="Arial" w:eastAsia="Times New Roman" w:hAnsi="Arial" w:cs="Arial"/>
      <w:b/>
      <w:sz w:val="28"/>
      <w:szCs w:val="28"/>
    </w:rPr>
  </w:style>
  <w:style w:type="character" w:customStyle="1" w:styleId="DateChar">
    <w:name w:val="Date Char"/>
    <w:basedOn w:val="DefaultParagraphFont"/>
    <w:link w:val="Date"/>
    <w:rsid w:val="001B21EA"/>
    <w:rPr>
      <w:rFonts w:ascii="Arial" w:eastAsia="Times New Roman" w:hAnsi="Arial" w:cs="Arial"/>
      <w:b/>
      <w:sz w:val="28"/>
      <w:szCs w:val="28"/>
      <w:lang w:eastAsia="en-US"/>
    </w:rPr>
  </w:style>
  <w:style w:type="paragraph" w:customStyle="1" w:styleId="NormalParagraph">
    <w:name w:val="Normal Paragraph"/>
    <w:basedOn w:val="Normal"/>
    <w:link w:val="NormalParagraphChar"/>
    <w:qFormat/>
    <w:rsid w:val="00965510"/>
    <w:pPr>
      <w:spacing w:before="120" w:after="120" w:line="240" w:lineRule="auto"/>
    </w:pPr>
    <w:rPr>
      <w:rFonts w:ascii="Arial" w:eastAsia="Times New Roman" w:hAnsi="Arial" w:cs="Arial"/>
    </w:rPr>
  </w:style>
  <w:style w:type="character" w:customStyle="1" w:styleId="NormalParagraphChar">
    <w:name w:val="Normal Paragraph Char"/>
    <w:basedOn w:val="DefaultParagraphFont"/>
    <w:link w:val="NormalParagraph"/>
    <w:rsid w:val="00965510"/>
    <w:rPr>
      <w:rFonts w:ascii="Arial" w:eastAsia="Times New Roman" w:hAnsi="Arial" w:cs="Arial"/>
      <w:sz w:val="22"/>
      <w:szCs w:val="22"/>
      <w:lang w:eastAsia="en-US"/>
    </w:rPr>
  </w:style>
  <w:style w:type="paragraph" w:styleId="ListParagraph">
    <w:name w:val="List Paragraph"/>
    <w:basedOn w:val="Normal"/>
    <w:uiPriority w:val="34"/>
    <w:qFormat/>
    <w:rsid w:val="0096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B97A-EB5E-462C-9C54-69468EF6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ABD16EF.dotm</Template>
  <TotalTime>0</TotalTime>
  <Pages>2</Pages>
  <Words>419</Words>
  <Characters>2048</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2014-07-24T04:02:00Z</dcterms:created>
  <dcterms:modified xsi:type="dcterms:W3CDTF">2014-07-24T22:37:00Z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8227038</vt:lpwstr>
  </property>
  <property fmtid="{D5CDD505-2E9C-101B-9397-08002B2CF9AE}" pid="3" name="DatabaseID">
    <vt:lpwstr/>
  </property>
  <property fmtid="{D5CDD505-2E9C-101B-9397-08002B2CF9AE}" pid="4" name="OnClose">
    <vt:lpwstr/>
  </property>
  <property fmtid="{D5CDD505-2E9C-101B-9397-08002B2CF9AE}" pid="5" name="Status">
    <vt:lpwstr>Ready</vt:lpwstr>
  </property>
  <property fmtid="{D5CDD505-2E9C-101B-9397-08002B2CF9AE}" pid="6" name="currfile">
    <vt:lpwstr>\\SCBRFS001\home$\mduar\aquis reef casino - correction (MER2014-07582).docx</vt:lpwstr>
  </property>
</Properties>
</file>