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0" w:rsidRDefault="00A43F6D" w:rsidP="0042146A">
      <w:pPr>
        <w:pStyle w:val="Heading1"/>
      </w:pPr>
      <w:r>
        <w:rPr>
          <w:noProof/>
          <w:lang w:eastAsia="en-AU"/>
        </w:rPr>
        <w:drawing>
          <wp:inline distT="0" distB="0" distL="0" distR="0">
            <wp:extent cx="2190750" cy="1143000"/>
            <wp:effectExtent l="0" t="0" r="0" b="0"/>
            <wp:docPr id="4" name="Picture 4" descr="Australian Competition and Consum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Competition and Consumer Commis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inline>
        </w:drawing>
      </w:r>
    </w:p>
    <w:p w:rsidR="000F1353" w:rsidRPr="000F1353" w:rsidRDefault="000F1353" w:rsidP="00E424F0">
      <w:pPr>
        <w:pStyle w:val="Heading1"/>
      </w:pPr>
      <w:r w:rsidRPr="000F1353">
        <w:t>Statement of Issues</w:t>
      </w:r>
    </w:p>
    <w:p w:rsidR="00E50A22" w:rsidRPr="00E23669" w:rsidRDefault="00D56400" w:rsidP="00E23669">
      <w:pPr>
        <w:pStyle w:val="Date"/>
      </w:pPr>
      <w:r>
        <w:t>3</w:t>
      </w:r>
      <w:r w:rsidRPr="001566D1">
        <w:t xml:space="preserve"> </w:t>
      </w:r>
      <w:r w:rsidR="00E224B6" w:rsidRPr="001566D1">
        <w:t>Ju</w:t>
      </w:r>
      <w:r w:rsidR="003C129B">
        <w:t>ly</w:t>
      </w:r>
      <w:r w:rsidR="00E224B6">
        <w:t xml:space="preserve"> 2014</w:t>
      </w:r>
    </w:p>
    <w:p w:rsidR="00FB30A0" w:rsidRDefault="003E7C7B" w:rsidP="000F1353">
      <w:pPr>
        <w:pStyle w:val="Heading2"/>
      </w:pPr>
      <w:bookmarkStart w:id="0" w:name="Title"/>
      <w:bookmarkEnd w:id="0"/>
      <w:proofErr w:type="spellStart"/>
      <w:r>
        <w:t>Aquis</w:t>
      </w:r>
      <w:proofErr w:type="spellEnd"/>
      <w:r>
        <w:t xml:space="preserve"> - proposed acquisition of the Reef Casino</w:t>
      </w:r>
    </w:p>
    <w:p w:rsidR="000F1353" w:rsidRPr="00AD05CA" w:rsidRDefault="000F1353" w:rsidP="00A643E0">
      <w:pPr>
        <w:pStyle w:val="Heading3"/>
      </w:pPr>
      <w:r w:rsidRPr="00E813AE">
        <w:t>Introduction</w:t>
      </w:r>
    </w:p>
    <w:p w:rsidR="00FB30A0" w:rsidRDefault="00FB30A0" w:rsidP="00AC5F63">
      <w:pPr>
        <w:pStyle w:val="NormalParagraph"/>
      </w:pPr>
      <w:r w:rsidRPr="00393DD8">
        <w:t>Outlined below is the Statement of Issues released by the Australian Competition and Consumer Commission (</w:t>
      </w:r>
      <w:r w:rsidRPr="0042146A">
        <w:rPr>
          <w:b/>
        </w:rPr>
        <w:t>ACCC</w:t>
      </w:r>
      <w:r w:rsidRPr="00393DD8">
        <w:t xml:space="preserve">) </w:t>
      </w:r>
      <w:r w:rsidR="0097428E">
        <w:t>on</w:t>
      </w:r>
      <w:r w:rsidR="00135A93">
        <w:t xml:space="preserve"> the proposed acquisition by</w:t>
      </w:r>
      <w:r w:rsidRPr="00393DD8">
        <w:t xml:space="preserve"> </w:t>
      </w:r>
      <w:r w:rsidR="00135A93">
        <w:t xml:space="preserve">subsidiaries of </w:t>
      </w:r>
      <w:proofErr w:type="spellStart"/>
      <w:r w:rsidR="00A9556E">
        <w:t>Aquis</w:t>
      </w:r>
      <w:proofErr w:type="spellEnd"/>
      <w:r w:rsidR="00A9556E">
        <w:t xml:space="preserve"> Reef Holdings (</w:t>
      </w:r>
      <w:proofErr w:type="spellStart"/>
      <w:r w:rsidR="00A9556E">
        <w:t>Aus</w:t>
      </w:r>
      <w:proofErr w:type="spellEnd"/>
      <w:r w:rsidR="00A9556E">
        <w:t>) Pty Ltd (</w:t>
      </w:r>
      <w:r w:rsidR="00135A93">
        <w:t xml:space="preserve">together with its related bodies corporate, </w:t>
      </w:r>
      <w:proofErr w:type="spellStart"/>
      <w:r w:rsidR="00A9556E" w:rsidRPr="006E75E6">
        <w:rPr>
          <w:b/>
        </w:rPr>
        <w:t>Aquis</w:t>
      </w:r>
      <w:proofErr w:type="spellEnd"/>
      <w:r w:rsidR="00A9556E">
        <w:t>)</w:t>
      </w:r>
      <w:r w:rsidR="006E75E6">
        <w:t xml:space="preserve"> of:</w:t>
      </w:r>
    </w:p>
    <w:p w:rsidR="006E75E6" w:rsidRPr="001C2D04" w:rsidRDefault="006E75E6" w:rsidP="00464C6B">
      <w:pPr>
        <w:pStyle w:val="abc"/>
        <w:rPr>
          <w:rStyle w:val="SubtleEmphasis"/>
        </w:rPr>
      </w:pPr>
      <w:r w:rsidRPr="0016675E">
        <w:rPr>
          <w:rStyle w:val="SubtleEmphasis"/>
        </w:rPr>
        <w:t xml:space="preserve">all </w:t>
      </w:r>
      <w:r w:rsidRPr="001C2D04">
        <w:rPr>
          <w:rStyle w:val="SubtleEmphasis"/>
        </w:rPr>
        <w:t xml:space="preserve">the units in </w:t>
      </w:r>
      <w:r>
        <w:rPr>
          <w:rStyle w:val="SubtleEmphasis"/>
        </w:rPr>
        <w:t xml:space="preserve">the ASX-listed </w:t>
      </w:r>
      <w:r w:rsidRPr="001C2D04">
        <w:rPr>
          <w:rStyle w:val="SubtleEmphasis"/>
        </w:rPr>
        <w:t>Reef Casino Tru</w:t>
      </w:r>
      <w:r>
        <w:rPr>
          <w:rStyle w:val="SubtleEmphasis"/>
        </w:rPr>
        <w:t xml:space="preserve">st </w:t>
      </w:r>
    </w:p>
    <w:p w:rsidR="00135A93" w:rsidRPr="004F71CE" w:rsidRDefault="006E75E6" w:rsidP="00AC5F63">
      <w:pPr>
        <w:pStyle w:val="abc"/>
        <w:rPr>
          <w:rStyle w:val="SubtleEmphasis"/>
          <w:bCs/>
          <w:kern w:val="32"/>
          <w:lang w:eastAsia="en-US"/>
        </w:rPr>
      </w:pPr>
      <w:r w:rsidRPr="001C2D04">
        <w:rPr>
          <w:rStyle w:val="SubtleEmphasis"/>
        </w:rPr>
        <w:t xml:space="preserve">all of the issued shares in </w:t>
      </w:r>
      <w:r w:rsidRPr="006E75E6">
        <w:rPr>
          <w:rStyle w:val="SubtleEmphasis"/>
        </w:rPr>
        <w:t xml:space="preserve">Reef Corporate Services Limited </w:t>
      </w:r>
      <w:r w:rsidRPr="006E75E6">
        <w:rPr>
          <w:rStyle w:val="SubtleEmphasis"/>
          <w:b/>
        </w:rPr>
        <w:t>(</w:t>
      </w:r>
      <w:r w:rsidR="00AC565D">
        <w:rPr>
          <w:rStyle w:val="SubtleEmphasis"/>
          <w:b/>
        </w:rPr>
        <w:t xml:space="preserve">the </w:t>
      </w:r>
      <w:r w:rsidRPr="006E75E6">
        <w:rPr>
          <w:rStyle w:val="SubtleEmphasis"/>
          <w:b/>
        </w:rPr>
        <w:t xml:space="preserve">Reef </w:t>
      </w:r>
      <w:r w:rsidR="009F5417">
        <w:rPr>
          <w:rStyle w:val="SubtleEmphasis"/>
          <w:b/>
        </w:rPr>
        <w:t>responsible entity</w:t>
      </w:r>
      <w:r w:rsidRPr="006E75E6">
        <w:rPr>
          <w:rStyle w:val="SubtleEmphasis"/>
        </w:rPr>
        <w:t xml:space="preserve">) </w:t>
      </w:r>
      <w:r w:rsidRPr="001C2D04">
        <w:rPr>
          <w:rStyle w:val="SubtleEmphasis"/>
        </w:rPr>
        <w:t xml:space="preserve">and </w:t>
      </w:r>
      <w:r w:rsidRPr="006E75E6">
        <w:rPr>
          <w:rStyle w:val="SubtleEmphasis"/>
        </w:rPr>
        <w:t>Casinos Austria International (Cairns) Pty Ltd</w:t>
      </w:r>
      <w:r>
        <w:rPr>
          <w:rStyle w:val="SubtleEmphasis"/>
        </w:rPr>
        <w:t xml:space="preserve"> (</w:t>
      </w:r>
      <w:r w:rsidR="00AC565D">
        <w:rPr>
          <w:rStyle w:val="SubtleEmphasis"/>
          <w:b/>
        </w:rPr>
        <w:t xml:space="preserve">the </w:t>
      </w:r>
      <w:r w:rsidR="009F5417">
        <w:rPr>
          <w:rStyle w:val="SubtleEmphasis"/>
          <w:b/>
        </w:rPr>
        <w:t>Reef operator</w:t>
      </w:r>
      <w:r>
        <w:rPr>
          <w:rStyle w:val="SubtleEmphasis"/>
        </w:rPr>
        <w:t>)</w:t>
      </w:r>
    </w:p>
    <w:p w:rsidR="006E75E6" w:rsidRPr="0016675E" w:rsidRDefault="006E75E6" w:rsidP="00323671">
      <w:pPr>
        <w:pStyle w:val="abc"/>
        <w:numPr>
          <w:ilvl w:val="0"/>
          <w:numId w:val="0"/>
        </w:numPr>
        <w:ind w:left="567"/>
        <w:rPr>
          <w:rStyle w:val="SubtleEmphasis"/>
          <w:lang w:eastAsia="en-US"/>
        </w:rPr>
      </w:pPr>
      <w:r>
        <w:rPr>
          <w:rStyle w:val="SubtleEmphasis"/>
        </w:rPr>
        <w:t>(</w:t>
      </w:r>
      <w:proofErr w:type="gramStart"/>
      <w:r w:rsidR="00135A93">
        <w:rPr>
          <w:rStyle w:val="SubtleEmphasis"/>
        </w:rPr>
        <w:t>together</w:t>
      </w:r>
      <w:proofErr w:type="gramEnd"/>
      <w:r w:rsidR="00135A93">
        <w:rPr>
          <w:rStyle w:val="SubtleEmphasis"/>
        </w:rPr>
        <w:t xml:space="preserve">, </w:t>
      </w:r>
      <w:r>
        <w:rPr>
          <w:rStyle w:val="SubtleEmphasis"/>
        </w:rPr>
        <w:t xml:space="preserve">the </w:t>
      </w:r>
      <w:r w:rsidRPr="006E75E6">
        <w:rPr>
          <w:rStyle w:val="SubtleEmphasis"/>
          <w:b/>
        </w:rPr>
        <w:t>proposed acquisition</w:t>
      </w:r>
      <w:r>
        <w:rPr>
          <w:rStyle w:val="SubtleEmphasis"/>
        </w:rPr>
        <w:t>)</w:t>
      </w:r>
      <w:r w:rsidRPr="0016675E">
        <w:rPr>
          <w:rStyle w:val="SubtleEmphasis"/>
        </w:rPr>
        <w:t>.</w:t>
      </w:r>
    </w:p>
    <w:p w:rsidR="00F76494" w:rsidRDefault="00FB30A0" w:rsidP="009D2D4B">
      <w:pPr>
        <w:pStyle w:val="NormalParagraph"/>
      </w:pPr>
      <w:r>
        <w:t xml:space="preserve">A Statement of Issues published by the ACCC is not a final decision about a proposed acquisition, but provides the ACCC’s preliminary views, drawing attention to particular issues of varying degrees of competition concern, as well as identifying the lines of further inquiry that the ACCC </w:t>
      </w:r>
      <w:bookmarkStart w:id="1" w:name="_GoBack"/>
      <w:bookmarkEnd w:id="1"/>
      <w:r>
        <w:t>wishes to undertake.</w:t>
      </w:r>
    </w:p>
    <w:p w:rsidR="00FB30A0" w:rsidRDefault="00FB30A0" w:rsidP="00AC5F63">
      <w:pPr>
        <w:pStyle w:val="NormalParagraph"/>
      </w:pPr>
      <w:r>
        <w:t xml:space="preserve">In line with the ACCC’s </w:t>
      </w:r>
      <w:r w:rsidRPr="004618DD">
        <w:t>Merger Review Process Guidelines</w:t>
      </w:r>
      <w:r>
        <w:t xml:space="preserve"> </w:t>
      </w:r>
      <w:r w:rsidR="0097428E">
        <w:t xml:space="preserve">(at </w:t>
      </w:r>
      <w:hyperlink r:id="rId10" w:history="1">
        <w:r w:rsidR="0097428E" w:rsidRPr="00DD0F9F">
          <w:rPr>
            <w:rStyle w:val="Hyperlink"/>
          </w:rPr>
          <w:t>www.accc.gov.au/processguidelines</w:t>
        </w:r>
      </w:hyperlink>
      <w:r w:rsidR="0097428E">
        <w:t xml:space="preserve">) the ACCC </w:t>
      </w:r>
      <w:r>
        <w:t xml:space="preserve">has established a secondary timeline for further consideration of the issues. The ACCC anticipates completing further market inquiries by </w:t>
      </w:r>
      <w:r w:rsidR="00A67B53" w:rsidRPr="00A24A91">
        <w:t>1</w:t>
      </w:r>
      <w:r w:rsidR="00821E55">
        <w:t>7</w:t>
      </w:r>
      <w:r w:rsidR="00A67B53" w:rsidRPr="00A24A91">
        <w:t xml:space="preserve"> </w:t>
      </w:r>
      <w:r w:rsidR="00FC2ECC" w:rsidRPr="00A24A91">
        <w:t>July 2014</w:t>
      </w:r>
      <w:r w:rsidR="00FC2ECC" w:rsidRPr="001566D1">
        <w:t xml:space="preserve"> </w:t>
      </w:r>
      <w:r w:rsidRPr="001566D1">
        <w:t>and</w:t>
      </w:r>
      <w:r>
        <w:t xml:space="preserve"> anticipates making a final decision on</w:t>
      </w:r>
      <w:r w:rsidR="00FC2ECC">
        <w:t xml:space="preserve"> </w:t>
      </w:r>
      <w:r w:rsidR="00A67B53" w:rsidRPr="00A24A91">
        <w:t xml:space="preserve">21 </w:t>
      </w:r>
      <w:r w:rsidR="00FC2ECC" w:rsidRPr="00A24A91">
        <w:t>August 2014</w:t>
      </w:r>
      <w:r>
        <w:t xml:space="preserve">. However, the anticipated timeline can change in line with the </w:t>
      </w:r>
      <w:r w:rsidRPr="004618DD">
        <w:t>Merger Review Process Guidelines.</w:t>
      </w:r>
      <w:r>
        <w:t xml:space="preserve"> To keep abreast of possible changes in relation to timing and to find relevant documents, market participants should visit the Mergers Register on the ACCC's website at </w:t>
      </w:r>
      <w:r>
        <w:rPr>
          <w:rStyle w:val="Hyperlink"/>
        </w:rPr>
        <w:t>www.accc.gov.au/mergersregister</w:t>
      </w:r>
      <w:r>
        <w:t>.</w:t>
      </w:r>
    </w:p>
    <w:p w:rsidR="00FB30A0" w:rsidRDefault="00FB30A0" w:rsidP="00AC5F63">
      <w:pPr>
        <w:pStyle w:val="NormalParagraph"/>
      </w:pPr>
      <w:r>
        <w:t>A Statement of Issues provides an opportunity for all interested parties (including customers, competitors, shareholders and other stakeholders) to ascertain and consider the primary issues identified by the ACCC. It is also intended to provide the merger parties and other interested parties with the basis for making further submissions should they consider it necessary.</w:t>
      </w:r>
    </w:p>
    <w:p w:rsidR="00FB30A0" w:rsidRPr="009057A6" w:rsidRDefault="00FB30A0" w:rsidP="00A643E0">
      <w:pPr>
        <w:pStyle w:val="Heading3"/>
      </w:pPr>
      <w:r w:rsidRPr="000F1353">
        <w:lastRenderedPageBreak/>
        <w:t>Background</w:t>
      </w:r>
    </w:p>
    <w:p w:rsidR="00FC2ECC" w:rsidRPr="00FC2ECC" w:rsidRDefault="00FC2ECC" w:rsidP="00AC5F63">
      <w:pPr>
        <w:pStyle w:val="Numbered"/>
      </w:pPr>
      <w:r w:rsidRPr="00FC2ECC">
        <w:t xml:space="preserve">The ACCC commenced its </w:t>
      </w:r>
      <w:r w:rsidR="004D62A2">
        <w:t xml:space="preserve">public </w:t>
      </w:r>
      <w:r w:rsidRPr="00FC2ECC">
        <w:t xml:space="preserve">review of the proposed acquisition on </w:t>
      </w:r>
      <w:r w:rsidR="004D62A2">
        <w:t>9 April 2014</w:t>
      </w:r>
      <w:r w:rsidRPr="00FC2ECC">
        <w:t>.</w:t>
      </w:r>
    </w:p>
    <w:p w:rsidR="00FB30A0" w:rsidRDefault="00FB30A0" w:rsidP="00A643E0">
      <w:pPr>
        <w:pStyle w:val="Heading3"/>
      </w:pPr>
      <w:r>
        <w:t xml:space="preserve">The </w:t>
      </w:r>
      <w:r w:rsidR="000F132D">
        <w:t xml:space="preserve">merger </w:t>
      </w:r>
      <w:r w:rsidRPr="000F1353">
        <w:t>parties</w:t>
      </w:r>
      <w:r w:rsidR="000F132D">
        <w:t xml:space="preserve"> and other industry participants</w:t>
      </w:r>
    </w:p>
    <w:p w:rsidR="00FB30A0" w:rsidRPr="004D62A2" w:rsidRDefault="003E7C7B" w:rsidP="00FD2789">
      <w:pPr>
        <w:pStyle w:val="Heading4"/>
      </w:pPr>
      <w:bookmarkStart w:id="2" w:name="Acquirer3"/>
      <w:bookmarkEnd w:id="2"/>
      <w:proofErr w:type="spellStart"/>
      <w:r w:rsidRPr="00BA5E70">
        <w:t>Aquis</w:t>
      </w:r>
      <w:proofErr w:type="spellEnd"/>
      <w:r w:rsidRPr="004D62A2">
        <w:t xml:space="preserve"> </w:t>
      </w:r>
    </w:p>
    <w:p w:rsidR="004D62A2" w:rsidRPr="004D62A2" w:rsidRDefault="004D62A2" w:rsidP="008956B4">
      <w:pPr>
        <w:pStyle w:val="NormalParagraph"/>
        <w:rPr>
          <w:lang w:eastAsia="en-AU"/>
        </w:rPr>
      </w:pPr>
      <w:proofErr w:type="spellStart"/>
      <w:r w:rsidRPr="004D62A2">
        <w:rPr>
          <w:lang w:eastAsia="en-AU"/>
        </w:rPr>
        <w:t>Aquis</w:t>
      </w:r>
      <w:proofErr w:type="spellEnd"/>
      <w:r w:rsidRPr="004D62A2">
        <w:rPr>
          <w:lang w:eastAsia="en-AU"/>
        </w:rPr>
        <w:t xml:space="preserve"> is a privately held company ultimately wholly owned by Mr Tony Fung, a Hong Kong </w:t>
      </w:r>
      <w:r w:rsidRPr="008956B4">
        <w:t>resident</w:t>
      </w:r>
      <w:r w:rsidRPr="004D62A2">
        <w:rPr>
          <w:lang w:eastAsia="en-AU"/>
        </w:rPr>
        <w:t xml:space="preserve"> private investor. </w:t>
      </w:r>
    </w:p>
    <w:p w:rsidR="00A9556E" w:rsidRDefault="004D62A2" w:rsidP="00AC5F63">
      <w:pPr>
        <w:pStyle w:val="NormalParagraph"/>
        <w:rPr>
          <w:lang w:eastAsia="en-AU"/>
        </w:rPr>
      </w:pPr>
      <w:proofErr w:type="spellStart"/>
      <w:r w:rsidRPr="004D62A2">
        <w:rPr>
          <w:lang w:eastAsia="en-AU"/>
        </w:rPr>
        <w:t>Aquis</w:t>
      </w:r>
      <w:proofErr w:type="spellEnd"/>
      <w:r w:rsidRPr="004D62A2">
        <w:rPr>
          <w:lang w:eastAsia="en-AU"/>
        </w:rPr>
        <w:t xml:space="preserve"> currently has no existing interests in casinos in Australia. </w:t>
      </w:r>
    </w:p>
    <w:p w:rsidR="00186B09" w:rsidRDefault="00186B09" w:rsidP="00AC5F63">
      <w:pPr>
        <w:pStyle w:val="NormalParagraph"/>
        <w:rPr>
          <w:lang w:eastAsia="en-AU"/>
        </w:rPr>
      </w:pPr>
      <w:r>
        <w:rPr>
          <w:lang w:eastAsia="en-AU"/>
        </w:rPr>
        <w:t>In October 2013, the Premier of Queensland announced the government's intention to seek formal expressions of interest for up to two integrated resort developments (including a casino licence for any successful proponents) in regional Queensland</w:t>
      </w:r>
      <w:r w:rsidR="00126688">
        <w:rPr>
          <w:lang w:eastAsia="en-AU"/>
        </w:rPr>
        <w:t xml:space="preserve"> (the </w:t>
      </w:r>
      <w:r w:rsidR="00126688" w:rsidRPr="00126688">
        <w:rPr>
          <w:b/>
          <w:lang w:eastAsia="en-AU"/>
        </w:rPr>
        <w:t xml:space="preserve">Queensland Government </w:t>
      </w:r>
      <w:r w:rsidR="00D90C11">
        <w:rPr>
          <w:b/>
          <w:lang w:eastAsia="en-AU"/>
        </w:rPr>
        <w:t>bid</w:t>
      </w:r>
      <w:r w:rsidR="00D90C11" w:rsidRPr="00126688">
        <w:rPr>
          <w:b/>
          <w:lang w:eastAsia="en-AU"/>
        </w:rPr>
        <w:t xml:space="preserve"> </w:t>
      </w:r>
      <w:r w:rsidR="00126688" w:rsidRPr="00126688">
        <w:rPr>
          <w:b/>
          <w:lang w:eastAsia="en-AU"/>
        </w:rPr>
        <w:t>process</w:t>
      </w:r>
      <w:r w:rsidR="00126688">
        <w:rPr>
          <w:lang w:eastAsia="en-AU"/>
        </w:rPr>
        <w:t>)</w:t>
      </w:r>
      <w:r>
        <w:rPr>
          <w:lang w:eastAsia="en-AU"/>
        </w:rPr>
        <w:t>.</w:t>
      </w:r>
    </w:p>
    <w:p w:rsidR="004D62A2" w:rsidRPr="004D62A2" w:rsidRDefault="00A9556E" w:rsidP="00AC5F63">
      <w:pPr>
        <w:pStyle w:val="NormalParagraph"/>
        <w:rPr>
          <w:lang w:eastAsia="en-AU"/>
        </w:rPr>
      </w:pPr>
      <w:r>
        <w:rPr>
          <w:lang w:eastAsia="en-AU"/>
        </w:rPr>
        <w:t xml:space="preserve">On 28 March 2014, </w:t>
      </w:r>
      <w:proofErr w:type="spellStart"/>
      <w:r w:rsidR="004D62A2" w:rsidRPr="004D62A2">
        <w:rPr>
          <w:lang w:eastAsia="en-AU"/>
        </w:rPr>
        <w:t>Aquis</w:t>
      </w:r>
      <w:proofErr w:type="spellEnd"/>
      <w:r w:rsidR="004D62A2" w:rsidRPr="004D62A2">
        <w:rPr>
          <w:lang w:eastAsia="en-AU"/>
        </w:rPr>
        <w:t xml:space="preserve"> submitted a formal Expression of Interest </w:t>
      </w:r>
      <w:r w:rsidR="00126688">
        <w:rPr>
          <w:lang w:eastAsia="en-AU"/>
        </w:rPr>
        <w:t xml:space="preserve">as part of the Queensland Government </w:t>
      </w:r>
      <w:r w:rsidR="00D90C11">
        <w:rPr>
          <w:lang w:eastAsia="en-AU"/>
        </w:rPr>
        <w:t>bid process</w:t>
      </w:r>
      <w:r w:rsidR="004D62A2" w:rsidRPr="004D62A2">
        <w:rPr>
          <w:lang w:eastAsia="en-AU"/>
        </w:rPr>
        <w:t xml:space="preserve"> to develop an integrated resort and casino (the </w:t>
      </w:r>
      <w:proofErr w:type="spellStart"/>
      <w:r w:rsidR="004E1EE3" w:rsidRPr="00A52F02">
        <w:rPr>
          <w:b/>
          <w:lang w:eastAsia="en-AU"/>
        </w:rPr>
        <w:t>Aquis</w:t>
      </w:r>
      <w:proofErr w:type="spellEnd"/>
      <w:r w:rsidR="004E1EE3" w:rsidRPr="00A52F02">
        <w:rPr>
          <w:b/>
          <w:lang w:eastAsia="en-AU"/>
        </w:rPr>
        <w:t xml:space="preserve"> Resort</w:t>
      </w:r>
      <w:r w:rsidR="004D62A2" w:rsidRPr="004D62A2">
        <w:rPr>
          <w:lang w:eastAsia="en-AU"/>
        </w:rPr>
        <w:t xml:space="preserve">) at </w:t>
      </w:r>
      <w:proofErr w:type="spellStart"/>
      <w:r w:rsidR="004D62A2" w:rsidRPr="004D62A2">
        <w:rPr>
          <w:lang w:eastAsia="en-AU"/>
        </w:rPr>
        <w:t>Yorkeys</w:t>
      </w:r>
      <w:proofErr w:type="spellEnd"/>
      <w:r w:rsidR="004D62A2" w:rsidRPr="004D62A2">
        <w:rPr>
          <w:lang w:eastAsia="en-AU"/>
        </w:rPr>
        <w:t xml:space="preserve"> Knob, approximately 15 km north of </w:t>
      </w:r>
      <w:r w:rsidR="0049683F">
        <w:rPr>
          <w:lang w:eastAsia="en-AU"/>
        </w:rPr>
        <w:t xml:space="preserve">the Reef Hotel Casino in the </w:t>
      </w:r>
      <w:r w:rsidR="004D62A2" w:rsidRPr="004D62A2">
        <w:rPr>
          <w:lang w:eastAsia="en-AU"/>
        </w:rPr>
        <w:t>Cairns CBD.</w:t>
      </w:r>
    </w:p>
    <w:p w:rsidR="0035215C" w:rsidRPr="0035215C" w:rsidRDefault="00A9556E" w:rsidP="00AC5F63">
      <w:pPr>
        <w:pStyle w:val="Numbered"/>
        <w:rPr>
          <w:lang w:eastAsia="en-AU"/>
        </w:rPr>
      </w:pPr>
      <w:bookmarkStart w:id="3" w:name="_Ref389651982"/>
      <w:bookmarkStart w:id="4" w:name="_Ref390414322"/>
      <w:r>
        <w:rPr>
          <w:lang w:eastAsia="en-AU"/>
        </w:rPr>
        <w:t xml:space="preserve">On 27 May 2014, the Queensland Government announced that </w:t>
      </w:r>
      <w:r w:rsidR="00126688">
        <w:rPr>
          <w:lang w:eastAsia="en-AU"/>
        </w:rPr>
        <w:t xml:space="preserve">the </w:t>
      </w:r>
      <w:proofErr w:type="spellStart"/>
      <w:r w:rsidR="00126688">
        <w:rPr>
          <w:lang w:eastAsia="en-AU"/>
        </w:rPr>
        <w:t>Aquis</w:t>
      </w:r>
      <w:proofErr w:type="spellEnd"/>
      <w:r w:rsidR="00126688">
        <w:rPr>
          <w:lang w:eastAsia="en-AU"/>
        </w:rPr>
        <w:t xml:space="preserve"> Resort</w:t>
      </w:r>
      <w:r>
        <w:rPr>
          <w:lang w:eastAsia="en-AU"/>
        </w:rPr>
        <w:t xml:space="preserve"> was one of </w:t>
      </w:r>
      <w:r w:rsidR="00D76D4F">
        <w:rPr>
          <w:lang w:eastAsia="en-AU"/>
        </w:rPr>
        <w:t xml:space="preserve">two short-listed projects </w:t>
      </w:r>
      <w:r w:rsidR="0035215C">
        <w:rPr>
          <w:lang w:eastAsia="en-AU"/>
        </w:rPr>
        <w:t xml:space="preserve">in </w:t>
      </w:r>
      <w:r w:rsidR="00126688">
        <w:rPr>
          <w:lang w:eastAsia="en-AU"/>
        </w:rPr>
        <w:t xml:space="preserve">its </w:t>
      </w:r>
      <w:r w:rsidR="00D90C11">
        <w:rPr>
          <w:lang w:eastAsia="en-AU"/>
        </w:rPr>
        <w:t>bid process</w:t>
      </w:r>
      <w:r w:rsidR="00126688">
        <w:rPr>
          <w:lang w:eastAsia="en-AU"/>
        </w:rPr>
        <w:t>.</w:t>
      </w:r>
      <w:r w:rsidR="00186B09">
        <w:rPr>
          <w:rStyle w:val="FootnoteReference"/>
          <w:lang w:eastAsia="en-AU"/>
        </w:rPr>
        <w:footnoteReference w:id="1"/>
      </w:r>
      <w:r w:rsidR="0035215C">
        <w:rPr>
          <w:lang w:eastAsia="en-AU"/>
        </w:rPr>
        <w:t xml:space="preserve"> </w:t>
      </w:r>
      <w:r w:rsidR="00126688">
        <w:rPr>
          <w:lang w:eastAsia="en-AU"/>
        </w:rPr>
        <w:t xml:space="preserve">The Queensland Government announced that the </w:t>
      </w:r>
      <w:proofErr w:type="spellStart"/>
      <w:r w:rsidR="00126688">
        <w:rPr>
          <w:lang w:eastAsia="en-AU"/>
        </w:rPr>
        <w:t>Aquis</w:t>
      </w:r>
      <w:proofErr w:type="spellEnd"/>
      <w:r w:rsidR="00126688">
        <w:rPr>
          <w:lang w:eastAsia="en-AU"/>
        </w:rPr>
        <w:t xml:space="preserve"> Resort and the other short-listed project would both </w:t>
      </w:r>
      <w:r w:rsidR="0035215C" w:rsidRPr="0035215C">
        <w:rPr>
          <w:lang w:eastAsia="en-AU"/>
        </w:rPr>
        <w:t xml:space="preserve">be able to receive a </w:t>
      </w:r>
      <w:r w:rsidR="00186B09">
        <w:rPr>
          <w:lang w:eastAsia="en-AU"/>
        </w:rPr>
        <w:t>casino</w:t>
      </w:r>
      <w:r w:rsidR="0035215C" w:rsidRPr="0035215C">
        <w:rPr>
          <w:lang w:eastAsia="en-AU"/>
        </w:rPr>
        <w:t xml:space="preserve"> licence if </w:t>
      </w:r>
      <w:r w:rsidR="0035215C">
        <w:rPr>
          <w:lang w:eastAsia="en-AU"/>
        </w:rPr>
        <w:t>its “</w:t>
      </w:r>
      <w:r w:rsidR="0035215C" w:rsidRPr="0035215C">
        <w:rPr>
          <w:i/>
          <w:lang w:eastAsia="en-AU"/>
        </w:rPr>
        <w:t>project proceeded and met all the necessary environmental, planning and gaming licencing approvals</w:t>
      </w:r>
      <w:r w:rsidR="0035215C">
        <w:rPr>
          <w:lang w:eastAsia="en-AU"/>
        </w:rPr>
        <w:t>”</w:t>
      </w:r>
      <w:r w:rsidR="0035215C">
        <w:rPr>
          <w:rStyle w:val="FootnoteReference"/>
          <w:lang w:eastAsia="en-AU"/>
        </w:rPr>
        <w:footnoteReference w:id="2"/>
      </w:r>
      <w:r w:rsidR="0035215C" w:rsidRPr="0035215C">
        <w:rPr>
          <w:lang w:eastAsia="en-AU"/>
        </w:rPr>
        <w:t>.</w:t>
      </w:r>
      <w:bookmarkEnd w:id="3"/>
      <w:r w:rsidR="00F9084B">
        <w:rPr>
          <w:lang w:eastAsia="en-AU"/>
        </w:rPr>
        <w:t xml:space="preserve"> The Queensland Government expects to make a final decision on whether </w:t>
      </w:r>
      <w:r w:rsidR="00B63B39">
        <w:rPr>
          <w:lang w:eastAsia="en-AU"/>
        </w:rPr>
        <w:t xml:space="preserve">the </w:t>
      </w:r>
      <w:proofErr w:type="spellStart"/>
      <w:r w:rsidR="00B63B39">
        <w:rPr>
          <w:lang w:eastAsia="en-AU"/>
        </w:rPr>
        <w:t>Aquis</w:t>
      </w:r>
      <w:proofErr w:type="spellEnd"/>
      <w:r w:rsidR="00B63B39">
        <w:rPr>
          <w:lang w:eastAsia="en-AU"/>
        </w:rPr>
        <w:t xml:space="preserve"> Resort will </w:t>
      </w:r>
      <w:r w:rsidR="00F9084B">
        <w:rPr>
          <w:lang w:eastAsia="en-AU"/>
        </w:rPr>
        <w:t xml:space="preserve">receive </w:t>
      </w:r>
      <w:r w:rsidR="00B63B39">
        <w:rPr>
          <w:lang w:eastAsia="en-AU"/>
        </w:rPr>
        <w:t xml:space="preserve">a </w:t>
      </w:r>
      <w:r w:rsidR="00F9084B">
        <w:rPr>
          <w:lang w:eastAsia="en-AU"/>
        </w:rPr>
        <w:t xml:space="preserve">casino licence </w:t>
      </w:r>
      <w:r w:rsidR="00B63B39">
        <w:rPr>
          <w:lang w:eastAsia="en-AU"/>
        </w:rPr>
        <w:t>in 2015.</w:t>
      </w:r>
      <w:bookmarkEnd w:id="4"/>
    </w:p>
    <w:p w:rsidR="004D62A2" w:rsidRPr="004D62A2" w:rsidRDefault="004D62A2" w:rsidP="00AC5F63">
      <w:pPr>
        <w:pStyle w:val="NormalParagraph"/>
        <w:rPr>
          <w:lang w:eastAsia="en-AU"/>
        </w:rPr>
      </w:pPr>
      <w:r w:rsidRPr="004D62A2">
        <w:rPr>
          <w:lang w:eastAsia="en-AU"/>
        </w:rPr>
        <w:t xml:space="preserve">Subject to appropriate approvals being obtained, </w:t>
      </w:r>
      <w:proofErr w:type="spellStart"/>
      <w:r w:rsidRPr="004D62A2">
        <w:rPr>
          <w:lang w:eastAsia="en-AU"/>
        </w:rPr>
        <w:t>Aquis</w:t>
      </w:r>
      <w:proofErr w:type="spellEnd"/>
      <w:r w:rsidRPr="004D62A2">
        <w:rPr>
          <w:lang w:eastAsia="en-AU"/>
        </w:rPr>
        <w:t xml:space="preserve"> expects </w:t>
      </w:r>
      <w:r w:rsidR="00924FA2">
        <w:rPr>
          <w:lang w:eastAsia="en-AU"/>
        </w:rPr>
        <w:t xml:space="preserve">the </w:t>
      </w:r>
      <w:proofErr w:type="spellStart"/>
      <w:r w:rsidR="00924FA2">
        <w:rPr>
          <w:lang w:eastAsia="en-AU"/>
        </w:rPr>
        <w:t>Aquis</w:t>
      </w:r>
      <w:proofErr w:type="spellEnd"/>
      <w:r w:rsidR="00924FA2">
        <w:rPr>
          <w:lang w:eastAsia="en-AU"/>
        </w:rPr>
        <w:t xml:space="preserve"> Resort</w:t>
      </w:r>
      <w:r w:rsidRPr="004D62A2">
        <w:rPr>
          <w:lang w:eastAsia="en-AU"/>
        </w:rPr>
        <w:t xml:space="preserve"> to open in 2018.</w:t>
      </w:r>
    </w:p>
    <w:p w:rsidR="009933E8" w:rsidRDefault="009933E8" w:rsidP="00AC5F63">
      <w:pPr>
        <w:pStyle w:val="Numbered"/>
        <w:rPr>
          <w:lang w:eastAsia="en-AU"/>
        </w:rPr>
      </w:pPr>
      <w:bookmarkStart w:id="5" w:name="_Ref391630597"/>
      <w:proofErr w:type="spellStart"/>
      <w:r>
        <w:rPr>
          <w:lang w:eastAsia="en-AU"/>
        </w:rPr>
        <w:t>Aquis</w:t>
      </w:r>
      <w:proofErr w:type="spellEnd"/>
      <w:r>
        <w:rPr>
          <w:lang w:eastAsia="en-AU"/>
        </w:rPr>
        <w:t xml:space="preserve"> has sought approval for approximately 750 gaming tables and 1500 </w:t>
      </w:r>
      <w:r w:rsidR="007C61F6">
        <w:rPr>
          <w:lang w:eastAsia="en-AU"/>
        </w:rPr>
        <w:t xml:space="preserve">gaming </w:t>
      </w:r>
      <w:r w:rsidR="00B643D6">
        <w:rPr>
          <w:lang w:eastAsia="en-AU"/>
        </w:rPr>
        <w:t xml:space="preserve">machines </w:t>
      </w:r>
      <w:r>
        <w:rPr>
          <w:lang w:eastAsia="en-AU"/>
        </w:rPr>
        <w:t>at the resort. If it proceeds, the resort will also include:</w:t>
      </w:r>
      <w:bookmarkEnd w:id="5"/>
    </w:p>
    <w:p w:rsidR="009933E8" w:rsidRDefault="008058C9" w:rsidP="008956B4">
      <w:pPr>
        <w:pStyle w:val="abc"/>
        <w:numPr>
          <w:ilvl w:val="0"/>
          <w:numId w:val="28"/>
        </w:numPr>
      </w:pPr>
      <w:r>
        <w:t xml:space="preserve">eight </w:t>
      </w:r>
      <w:r w:rsidR="009933E8">
        <w:t xml:space="preserve">luxury hotels with a total of </w:t>
      </w:r>
      <w:r>
        <w:t xml:space="preserve">7500 </w:t>
      </w:r>
      <w:r w:rsidR="009933E8">
        <w:t>rooms</w:t>
      </w:r>
    </w:p>
    <w:p w:rsidR="009933E8" w:rsidRDefault="00C17784" w:rsidP="008956B4">
      <w:pPr>
        <w:pStyle w:val="abc"/>
      </w:pPr>
      <w:r>
        <w:t>10 000m</w:t>
      </w:r>
      <w:r w:rsidRPr="009A5E5E">
        <w:rPr>
          <w:vertAlign w:val="superscript"/>
        </w:rPr>
        <w:t>2</w:t>
      </w:r>
      <w:r>
        <w:t xml:space="preserve"> </w:t>
      </w:r>
      <w:r w:rsidR="009933E8">
        <w:t>of high-end retail shopping</w:t>
      </w:r>
    </w:p>
    <w:p w:rsidR="009933E8" w:rsidRDefault="009933E8" w:rsidP="008956B4">
      <w:pPr>
        <w:pStyle w:val="abc"/>
      </w:pPr>
      <w:r>
        <w:t>an aquarium</w:t>
      </w:r>
    </w:p>
    <w:p w:rsidR="009933E8" w:rsidRDefault="009933E8" w:rsidP="008956B4">
      <w:pPr>
        <w:pStyle w:val="abc"/>
      </w:pPr>
      <w:r>
        <w:t xml:space="preserve">two </w:t>
      </w:r>
      <w:r w:rsidR="00D403C6">
        <w:t xml:space="preserve">600 </w:t>
      </w:r>
      <w:r>
        <w:t>seat theatres</w:t>
      </w:r>
    </w:p>
    <w:p w:rsidR="009933E8" w:rsidRDefault="009933E8" w:rsidP="008956B4">
      <w:pPr>
        <w:pStyle w:val="abc"/>
      </w:pPr>
      <w:r>
        <w:t>an 18 hole championship golf course</w:t>
      </w:r>
    </w:p>
    <w:p w:rsidR="009933E8" w:rsidRDefault="009933E8" w:rsidP="008956B4">
      <w:pPr>
        <w:pStyle w:val="abc"/>
      </w:pPr>
      <w:r>
        <w:lastRenderedPageBreak/>
        <w:t xml:space="preserve">a </w:t>
      </w:r>
      <w:r w:rsidR="00C17784">
        <w:t xml:space="preserve">25 </w:t>
      </w:r>
      <w:r>
        <w:t>000m</w:t>
      </w:r>
      <w:r w:rsidRPr="009A5E5E">
        <w:rPr>
          <w:vertAlign w:val="superscript"/>
        </w:rPr>
        <w:t>2</w:t>
      </w:r>
      <w:r>
        <w:t xml:space="preserve"> convention and exhibition centre</w:t>
      </w:r>
    </w:p>
    <w:p w:rsidR="009933E8" w:rsidRDefault="009933E8" w:rsidP="008956B4">
      <w:pPr>
        <w:pStyle w:val="abc"/>
      </w:pPr>
      <w:proofErr w:type="gramStart"/>
      <w:r>
        <w:t>a</w:t>
      </w:r>
      <w:proofErr w:type="gramEnd"/>
      <w:r>
        <w:t xml:space="preserve"> cultural heritage centre.</w:t>
      </w:r>
      <w:bookmarkStart w:id="6" w:name="_Ref389844904"/>
      <w:r w:rsidR="009A5E5E">
        <w:rPr>
          <w:rStyle w:val="FootnoteReference"/>
        </w:rPr>
        <w:footnoteReference w:id="3"/>
      </w:r>
      <w:bookmarkEnd w:id="6"/>
    </w:p>
    <w:p w:rsidR="00FB30A0" w:rsidRPr="00BA5E70" w:rsidRDefault="003E7C7B" w:rsidP="00FD2789">
      <w:pPr>
        <w:pStyle w:val="Heading4"/>
      </w:pPr>
      <w:bookmarkStart w:id="7" w:name="Target2"/>
      <w:bookmarkEnd w:id="7"/>
      <w:r w:rsidRPr="00BA5E70">
        <w:t>Reef Casino Trust</w:t>
      </w:r>
    </w:p>
    <w:p w:rsidR="003604CD" w:rsidRPr="00C65016" w:rsidRDefault="003604CD" w:rsidP="008956B4">
      <w:pPr>
        <w:pStyle w:val="NormalParagraph"/>
      </w:pPr>
      <w:bookmarkStart w:id="8" w:name="_Ref391630607"/>
      <w:r w:rsidRPr="00C65016">
        <w:t>The Reef Hotel Casino</w:t>
      </w:r>
      <w:r>
        <w:t xml:space="preserve"> (</w:t>
      </w:r>
      <w:r w:rsidRPr="00AB78D3">
        <w:rPr>
          <w:b/>
        </w:rPr>
        <w:t>Reef Casino</w:t>
      </w:r>
      <w:r>
        <w:t>)</w:t>
      </w:r>
      <w:r w:rsidRPr="00C65016">
        <w:t xml:space="preserve"> is a combination hotel and casino complex in </w:t>
      </w:r>
      <w:r w:rsidRPr="00C65016">
        <w:rPr>
          <w:lang w:eastAsia="en-AU"/>
        </w:rPr>
        <w:t>Cairns</w:t>
      </w:r>
      <w:r w:rsidRPr="00C65016">
        <w:t>, Queensland. It has:</w:t>
      </w:r>
      <w:bookmarkEnd w:id="8"/>
    </w:p>
    <w:p w:rsidR="003604CD" w:rsidRPr="008956B4" w:rsidRDefault="003604CD" w:rsidP="008956B4">
      <w:pPr>
        <w:pStyle w:val="abc"/>
        <w:numPr>
          <w:ilvl w:val="0"/>
          <w:numId w:val="18"/>
        </w:numPr>
      </w:pPr>
      <w:r w:rsidRPr="008956B4">
        <w:t>128</w:t>
      </w:r>
      <w:r w:rsidRPr="001C2D04">
        <w:t xml:space="preserve"> </w:t>
      </w:r>
      <w:r w:rsidRPr="008956B4">
        <w:t>hotel rooms</w:t>
      </w:r>
    </w:p>
    <w:p w:rsidR="003604CD" w:rsidRPr="008956B4" w:rsidRDefault="003604CD" w:rsidP="008956B4">
      <w:pPr>
        <w:pStyle w:val="abc"/>
        <w:numPr>
          <w:ilvl w:val="0"/>
          <w:numId w:val="18"/>
        </w:numPr>
      </w:pPr>
      <w:r w:rsidRPr="008956B4">
        <w:t>38 gaming tables (offering Blackjack, Roulette, Mini and Midi Baccarat, Reef Routine, Paradise Pontoon, Sic-Bo, and the Money Wheel)</w:t>
      </w:r>
    </w:p>
    <w:p w:rsidR="0049683F" w:rsidRPr="008956B4" w:rsidRDefault="003604CD" w:rsidP="008956B4">
      <w:pPr>
        <w:pStyle w:val="abc"/>
        <w:numPr>
          <w:ilvl w:val="0"/>
          <w:numId w:val="18"/>
        </w:numPr>
      </w:pPr>
      <w:r w:rsidRPr="008956B4">
        <w:t xml:space="preserve">one electronic </w:t>
      </w:r>
      <w:r w:rsidR="0014471E">
        <w:t>table game</w:t>
      </w:r>
      <w:r w:rsidRPr="008956B4">
        <w:t xml:space="preserve"> </w:t>
      </w:r>
      <w:r w:rsidR="00420C43" w:rsidRPr="008956B4">
        <w:t>(</w:t>
      </w:r>
      <w:r w:rsidR="005E0D6B" w:rsidRPr="008956B4">
        <w:t>R</w:t>
      </w:r>
      <w:r w:rsidR="00420C43" w:rsidRPr="008956B4">
        <w:t xml:space="preserve">apid </w:t>
      </w:r>
      <w:r w:rsidR="005E0D6B" w:rsidRPr="008956B4">
        <w:t>R</w:t>
      </w:r>
      <w:r w:rsidR="00420C43" w:rsidRPr="008956B4">
        <w:t>oulette)</w:t>
      </w:r>
    </w:p>
    <w:p w:rsidR="003604CD" w:rsidRPr="008956B4" w:rsidRDefault="003604CD" w:rsidP="008956B4">
      <w:pPr>
        <w:pStyle w:val="abc"/>
        <w:numPr>
          <w:ilvl w:val="0"/>
          <w:numId w:val="18"/>
        </w:numPr>
      </w:pPr>
      <w:r w:rsidRPr="008956B4">
        <w:t xml:space="preserve">519 </w:t>
      </w:r>
      <w:r w:rsidR="0014471E">
        <w:t>gaming</w:t>
      </w:r>
      <w:r w:rsidR="0014471E" w:rsidRPr="008956B4">
        <w:t xml:space="preserve"> </w:t>
      </w:r>
      <w:r w:rsidRPr="008956B4">
        <w:t>machines</w:t>
      </w:r>
    </w:p>
    <w:p w:rsidR="003604CD" w:rsidRPr="008956B4" w:rsidRDefault="003604CD" w:rsidP="008956B4">
      <w:pPr>
        <w:pStyle w:val="abc"/>
        <w:numPr>
          <w:ilvl w:val="0"/>
          <w:numId w:val="18"/>
        </w:numPr>
      </w:pPr>
      <w:r w:rsidRPr="008956B4">
        <w:t>a VIP gaming room</w:t>
      </w:r>
    </w:p>
    <w:p w:rsidR="003604CD" w:rsidRPr="008956B4" w:rsidRDefault="003604CD" w:rsidP="008956B4">
      <w:pPr>
        <w:pStyle w:val="abc"/>
        <w:numPr>
          <w:ilvl w:val="0"/>
          <w:numId w:val="18"/>
        </w:numPr>
      </w:pPr>
      <w:r w:rsidRPr="008956B4">
        <w:t>TAB and Keno</w:t>
      </w:r>
    </w:p>
    <w:p w:rsidR="003604CD" w:rsidRPr="008956B4" w:rsidRDefault="003604CD" w:rsidP="008956B4">
      <w:pPr>
        <w:pStyle w:val="abc"/>
        <w:numPr>
          <w:ilvl w:val="0"/>
          <w:numId w:val="18"/>
        </w:numPr>
      </w:pPr>
      <w:proofErr w:type="gramStart"/>
      <w:r w:rsidRPr="008956B4">
        <w:t>dining</w:t>
      </w:r>
      <w:proofErr w:type="gramEnd"/>
      <w:r w:rsidRPr="008956B4">
        <w:t>, bars, entertainment and conference facilities.</w:t>
      </w:r>
    </w:p>
    <w:p w:rsidR="000E296B" w:rsidRPr="000E296B" w:rsidRDefault="000E296B" w:rsidP="008956B4">
      <w:pPr>
        <w:pStyle w:val="NormalParagraph"/>
        <w:rPr>
          <w:lang w:eastAsia="en-AU"/>
        </w:rPr>
      </w:pPr>
      <w:r w:rsidRPr="000E296B">
        <w:rPr>
          <w:lang w:eastAsia="en-AU"/>
        </w:rPr>
        <w:t xml:space="preserve">Ownership and </w:t>
      </w:r>
      <w:r w:rsidRPr="000E296B">
        <w:t>operation</w:t>
      </w:r>
      <w:r w:rsidRPr="000E296B">
        <w:rPr>
          <w:lang w:eastAsia="en-AU"/>
        </w:rPr>
        <w:t xml:space="preserve"> of the Reef Casino is divided between three entities:</w:t>
      </w:r>
    </w:p>
    <w:p w:rsidR="000E296B" w:rsidRPr="000E296B" w:rsidRDefault="00F8725D" w:rsidP="008956B4">
      <w:pPr>
        <w:pStyle w:val="abc"/>
        <w:numPr>
          <w:ilvl w:val="0"/>
          <w:numId w:val="65"/>
        </w:numPr>
      </w:pPr>
      <w:r>
        <w:t>The Reef operator</w:t>
      </w:r>
      <w:r w:rsidR="000E296B">
        <w:t xml:space="preserve">, </w:t>
      </w:r>
      <w:r>
        <w:t xml:space="preserve">which is </w:t>
      </w:r>
      <w:r w:rsidR="000E296B">
        <w:t>t</w:t>
      </w:r>
      <w:r w:rsidR="000E296B" w:rsidRPr="000E296B">
        <w:t>he lessee of the Reef Casino building and operator of the Reef Casino business</w:t>
      </w:r>
      <w:r w:rsidR="00A87D5B">
        <w:t>. This entity</w:t>
      </w:r>
      <w:r w:rsidR="000E296B">
        <w:t xml:space="preserve"> </w:t>
      </w:r>
      <w:r w:rsidR="000E296B" w:rsidRPr="000E296B">
        <w:t xml:space="preserve">operates the day-to-day management of the complex, including both the casino and the hotel. </w:t>
      </w:r>
    </w:p>
    <w:p w:rsidR="000E296B" w:rsidRDefault="000E296B" w:rsidP="008956B4">
      <w:pPr>
        <w:pStyle w:val="abc"/>
      </w:pPr>
      <w:r w:rsidRPr="000E296B">
        <w:t>The Reef Casino Trust</w:t>
      </w:r>
      <w:r>
        <w:t xml:space="preserve">, </w:t>
      </w:r>
      <w:r w:rsidRPr="000E296B">
        <w:t>an ASX listed unit trust</w:t>
      </w:r>
      <w:r>
        <w:t xml:space="preserve"> that owns</w:t>
      </w:r>
      <w:r w:rsidRPr="000E296B">
        <w:t xml:space="preserve"> </w:t>
      </w:r>
      <w:r>
        <w:t xml:space="preserve">the Reef </w:t>
      </w:r>
      <w:r w:rsidRPr="000E296B">
        <w:t>Casino building, including plant and equipment</w:t>
      </w:r>
      <w:r w:rsidR="006C6272">
        <w:t>,</w:t>
      </w:r>
      <w:r w:rsidRPr="000E296B">
        <w:t xml:space="preserve"> and also </w:t>
      </w:r>
      <w:r w:rsidR="006C6272">
        <w:t xml:space="preserve">holds </w:t>
      </w:r>
      <w:r w:rsidRPr="000E296B">
        <w:t xml:space="preserve">the relevant casino licence. </w:t>
      </w:r>
    </w:p>
    <w:p w:rsidR="000E296B" w:rsidRPr="000E296B" w:rsidRDefault="00A87D5B" w:rsidP="008956B4">
      <w:pPr>
        <w:pStyle w:val="abc"/>
      </w:pPr>
      <w:r>
        <w:t>T</w:t>
      </w:r>
      <w:r w:rsidR="00E15C0B">
        <w:t xml:space="preserve">he </w:t>
      </w:r>
      <w:r w:rsidR="000E296B">
        <w:t xml:space="preserve">Reef </w:t>
      </w:r>
      <w:r w:rsidR="00AC565D">
        <w:t>responsible entity</w:t>
      </w:r>
      <w:r w:rsidR="000E296B">
        <w:t xml:space="preserve">, </w:t>
      </w:r>
      <w:r w:rsidR="00E15C0B">
        <w:t xml:space="preserve">which is </w:t>
      </w:r>
      <w:r w:rsidR="000E296B">
        <w:t>t</w:t>
      </w:r>
      <w:r w:rsidR="000E296B" w:rsidRPr="000E296B">
        <w:t>he responsible entity / trustee for the Reef Casino Trust.</w:t>
      </w:r>
    </w:p>
    <w:p w:rsidR="006D2FDA" w:rsidRDefault="006D2FDA" w:rsidP="008956B4">
      <w:pPr>
        <w:pStyle w:val="Numbered"/>
        <w:rPr>
          <w:lang w:eastAsia="en-AU"/>
        </w:rPr>
      </w:pPr>
      <w:bookmarkStart w:id="9" w:name="_Ref388447927"/>
      <w:r>
        <w:rPr>
          <w:lang w:eastAsia="en-AU"/>
        </w:rPr>
        <w:t xml:space="preserve">Over </w:t>
      </w:r>
      <w:r w:rsidR="00E7740F">
        <w:rPr>
          <w:lang w:eastAsia="en-AU"/>
        </w:rPr>
        <w:t xml:space="preserve">70% </w:t>
      </w:r>
      <w:r>
        <w:rPr>
          <w:lang w:eastAsia="en-AU"/>
        </w:rPr>
        <w:t xml:space="preserve">of the units in the Reef Casino Trust are held by two </w:t>
      </w:r>
      <w:proofErr w:type="spellStart"/>
      <w:r>
        <w:rPr>
          <w:lang w:eastAsia="en-AU"/>
        </w:rPr>
        <w:t>unitholders</w:t>
      </w:r>
      <w:proofErr w:type="spellEnd"/>
      <w:r>
        <w:rPr>
          <w:lang w:eastAsia="en-AU"/>
        </w:rPr>
        <w:t xml:space="preserve"> – Casinos Austria International Limited and </w:t>
      </w:r>
      <w:r w:rsidR="00AC19C6">
        <w:rPr>
          <w:lang w:eastAsia="en-AU"/>
        </w:rPr>
        <w:t xml:space="preserve">Accor Casino Investments (Australia) Pty Ltd (and </w:t>
      </w:r>
      <w:r w:rsidR="00A90268">
        <w:rPr>
          <w:lang w:eastAsia="en-AU"/>
        </w:rPr>
        <w:t xml:space="preserve">their respective related </w:t>
      </w:r>
      <w:r w:rsidR="00A90268" w:rsidRPr="00A90268">
        <w:rPr>
          <w:lang w:eastAsia="en-AU"/>
        </w:rPr>
        <w:t>bodies corporate).</w:t>
      </w:r>
      <w:r w:rsidR="00AC19C6" w:rsidRPr="00A90268" w:rsidDel="00AC19C6">
        <w:rPr>
          <w:lang w:eastAsia="en-AU"/>
        </w:rPr>
        <w:t xml:space="preserve"> </w:t>
      </w:r>
      <w:r w:rsidR="00374004" w:rsidRPr="00A90268">
        <w:rPr>
          <w:lang w:eastAsia="en-AU"/>
        </w:rPr>
        <w:t xml:space="preserve">These two companies also jointly own </w:t>
      </w:r>
      <w:r w:rsidR="00E013F0">
        <w:rPr>
          <w:lang w:eastAsia="en-AU"/>
        </w:rPr>
        <w:t>the Reef responsible entity</w:t>
      </w:r>
      <w:r w:rsidR="00374004" w:rsidRPr="00A90268">
        <w:rPr>
          <w:lang w:eastAsia="en-AU"/>
        </w:rPr>
        <w:t xml:space="preserve"> and </w:t>
      </w:r>
      <w:r w:rsidR="00F8725D">
        <w:rPr>
          <w:lang w:eastAsia="en-AU"/>
        </w:rPr>
        <w:t>the Reef operator</w:t>
      </w:r>
      <w:r w:rsidR="00374004">
        <w:t>.</w:t>
      </w:r>
    </w:p>
    <w:bookmarkEnd w:id="9"/>
    <w:p w:rsidR="00BA5E70" w:rsidRPr="00BA5E70" w:rsidRDefault="00BA5E70" w:rsidP="00FD2789">
      <w:pPr>
        <w:pStyle w:val="Heading4"/>
      </w:pPr>
      <w:r>
        <w:t>Other industry participants</w:t>
      </w:r>
    </w:p>
    <w:p w:rsidR="00C1009F" w:rsidRPr="00846824" w:rsidRDefault="00C1009F" w:rsidP="008956B4">
      <w:pPr>
        <w:pStyle w:val="NormalParagraph"/>
      </w:pPr>
      <w:r>
        <w:t xml:space="preserve">There are 13 </w:t>
      </w:r>
      <w:r w:rsidRPr="00587546">
        <w:t>casinos</w:t>
      </w:r>
      <w:r>
        <w:t xml:space="preserve"> in Australia.</w:t>
      </w:r>
      <w:r w:rsidRPr="00846824">
        <w:t xml:space="preserve"> </w:t>
      </w:r>
      <w:r>
        <w:t xml:space="preserve">Most, if not all of these </w:t>
      </w:r>
      <w:r w:rsidRPr="00846824">
        <w:t xml:space="preserve">casinos are integrated entertainment complexes, featuring restaurants, conference facilities and hotels. </w:t>
      </w:r>
    </w:p>
    <w:p w:rsidR="00C1009F" w:rsidRDefault="00CD3E59" w:rsidP="00CD3E59">
      <w:pPr>
        <w:pStyle w:val="Numbered"/>
      </w:pPr>
      <w:bookmarkStart w:id="10" w:name="_Ref388528492"/>
      <w:r w:rsidRPr="00CD3E59">
        <w:rPr>
          <w:rFonts w:eastAsia="Calibri"/>
        </w:rPr>
        <w:t xml:space="preserve">The PricewaterhouseCoopers Independent Expert’s Report in respect of the proposed acquisition </w:t>
      </w:r>
      <w:r>
        <w:rPr>
          <w:rFonts w:eastAsia="Calibri"/>
        </w:rPr>
        <w:t xml:space="preserve">(the </w:t>
      </w:r>
      <w:r w:rsidRPr="00CD3E59">
        <w:rPr>
          <w:rFonts w:eastAsia="Calibri"/>
          <w:b/>
        </w:rPr>
        <w:t>Independent Expert’s Report</w:t>
      </w:r>
      <w:r>
        <w:rPr>
          <w:rFonts w:eastAsia="Calibri"/>
        </w:rPr>
        <w:t>)</w:t>
      </w:r>
      <w:r>
        <w:rPr>
          <w:rStyle w:val="FootnoteReference"/>
          <w:rFonts w:eastAsia="Calibri"/>
        </w:rPr>
        <w:footnoteReference w:id="4"/>
      </w:r>
      <w:r>
        <w:rPr>
          <w:rFonts w:eastAsia="Calibri"/>
        </w:rPr>
        <w:t xml:space="preserve"> states that t</w:t>
      </w:r>
      <w:r w:rsidRPr="00846824">
        <w:rPr>
          <w:rFonts w:eastAsia="Calibri"/>
        </w:rPr>
        <w:t xml:space="preserve">he </w:t>
      </w:r>
      <w:r w:rsidR="00C1009F" w:rsidRPr="00846824">
        <w:rPr>
          <w:rFonts w:eastAsia="Calibri"/>
        </w:rPr>
        <w:lastRenderedPageBreak/>
        <w:t>Australian casino industry is expected to generate $5.6 billion in tot</w:t>
      </w:r>
      <w:r w:rsidR="00C1009F" w:rsidRPr="00846824">
        <w:t xml:space="preserve">al revenues </w:t>
      </w:r>
      <w:r w:rsidR="00C1009F" w:rsidRPr="00846824">
        <w:rPr>
          <w:rFonts w:eastAsia="Calibri"/>
        </w:rPr>
        <w:t>in FY2014</w:t>
      </w:r>
      <w:r w:rsidR="00C1009F" w:rsidRPr="00846824">
        <w:rPr>
          <w:rStyle w:val="FootnoteReference"/>
          <w:vertAlign w:val="superscript"/>
        </w:rPr>
        <w:footnoteReference w:id="5"/>
      </w:r>
      <w:r w:rsidR="00C1009F" w:rsidRPr="00846824">
        <w:rPr>
          <w:rFonts w:eastAsia="Calibri"/>
        </w:rPr>
        <w:t xml:space="preserve">. Over the </w:t>
      </w:r>
      <w:r w:rsidR="00C1009F">
        <w:rPr>
          <w:rFonts w:eastAsia="Calibri"/>
        </w:rPr>
        <w:t>following</w:t>
      </w:r>
      <w:r w:rsidR="00C1009F" w:rsidRPr="00846824">
        <w:rPr>
          <w:rFonts w:eastAsia="Calibri"/>
        </w:rPr>
        <w:t xml:space="preserve"> five years through to FY2019, casino industry revenue is forecast to grow by 2.9% </w:t>
      </w:r>
      <w:r w:rsidR="00C1009F" w:rsidRPr="00846824">
        <w:t>annually, reaching</w:t>
      </w:r>
      <w:r w:rsidR="00C1009F" w:rsidRPr="00846824">
        <w:rPr>
          <w:rFonts w:eastAsia="Calibri"/>
        </w:rPr>
        <w:t xml:space="preserve"> $6.4 billion in FY2019</w:t>
      </w:r>
      <w:r w:rsidR="00C1009F" w:rsidRPr="00E71EAE">
        <w:rPr>
          <w:rStyle w:val="FootnoteReference"/>
          <w:vertAlign w:val="superscript"/>
        </w:rPr>
        <w:footnoteReference w:id="6"/>
      </w:r>
      <w:r w:rsidR="00C1009F" w:rsidRPr="00846824">
        <w:rPr>
          <w:rFonts w:eastAsia="Calibri"/>
        </w:rPr>
        <w:t>.</w:t>
      </w:r>
      <w:bookmarkEnd w:id="10"/>
    </w:p>
    <w:p w:rsidR="00C1009F" w:rsidRDefault="000E2D7D" w:rsidP="008956B4">
      <w:pPr>
        <w:pStyle w:val="NormalParagraph"/>
      </w:pPr>
      <w:r w:rsidRPr="00F76494">
        <w:fldChar w:fldCharType="begin"/>
      </w:r>
      <w:r w:rsidRPr="000E2D7D">
        <w:instrText xml:space="preserve"> REF _Ref391903169 \h </w:instrText>
      </w:r>
      <w:r w:rsidRPr="008D76B6">
        <w:instrText xml:space="preserve"> \* MERGEFORMAT </w:instrText>
      </w:r>
      <w:r w:rsidRPr="00F76494">
        <w:fldChar w:fldCharType="separate"/>
      </w:r>
      <w:r w:rsidR="00C37665" w:rsidRPr="00C37665">
        <w:rPr>
          <w:bCs/>
          <w:color w:val="000000"/>
        </w:rPr>
        <w:t xml:space="preserve">Table </w:t>
      </w:r>
      <w:r w:rsidR="00C37665" w:rsidRPr="00C37665">
        <w:rPr>
          <w:bCs/>
          <w:noProof/>
          <w:color w:val="000000"/>
        </w:rPr>
        <w:t>1</w:t>
      </w:r>
      <w:r w:rsidRPr="00F76494">
        <w:fldChar w:fldCharType="end"/>
      </w:r>
      <w:r w:rsidRPr="00F76494">
        <w:t xml:space="preserve"> </w:t>
      </w:r>
      <w:r w:rsidR="00C1009F">
        <w:t xml:space="preserve">below </w:t>
      </w:r>
      <w:r w:rsidR="00C1009F">
        <w:rPr>
          <w:rFonts w:eastAsia="Calibri"/>
        </w:rPr>
        <w:t>summarises details of existing Australian casinos</w:t>
      </w:r>
      <w:r w:rsidR="003B050C">
        <w:rPr>
          <w:rFonts w:eastAsia="Calibri"/>
        </w:rPr>
        <w:t>.</w:t>
      </w:r>
    </w:p>
    <w:p w:rsidR="00C1009F" w:rsidRPr="004756A1" w:rsidRDefault="00C1009F" w:rsidP="003B050C">
      <w:pPr>
        <w:keepNext/>
        <w:keepLines/>
        <w:autoSpaceDE w:val="0"/>
        <w:autoSpaceDN w:val="0"/>
        <w:rPr>
          <w:rFonts w:ascii="Arial" w:hAnsi="Arial" w:cs="Arial"/>
          <w:b/>
          <w:bCs/>
          <w:color w:val="000000"/>
          <w:sz w:val="22"/>
          <w:szCs w:val="22"/>
        </w:rPr>
      </w:pPr>
      <w:bookmarkStart w:id="11" w:name="_Ref391903169"/>
      <w:r w:rsidRPr="004756A1">
        <w:rPr>
          <w:rFonts w:ascii="Arial" w:hAnsi="Arial" w:cs="Arial"/>
          <w:b/>
          <w:bCs/>
          <w:color w:val="000000"/>
          <w:sz w:val="22"/>
          <w:szCs w:val="22"/>
        </w:rPr>
        <w:t xml:space="preserve">Table </w:t>
      </w:r>
      <w:r w:rsidRPr="004756A1">
        <w:rPr>
          <w:rFonts w:ascii="Arial" w:hAnsi="Arial" w:cs="Arial"/>
          <w:b/>
          <w:bCs/>
          <w:color w:val="000000"/>
          <w:sz w:val="22"/>
          <w:szCs w:val="22"/>
        </w:rPr>
        <w:fldChar w:fldCharType="begin"/>
      </w:r>
      <w:r w:rsidRPr="004756A1">
        <w:rPr>
          <w:rFonts w:ascii="Arial" w:hAnsi="Arial" w:cs="Arial"/>
          <w:b/>
          <w:bCs/>
          <w:color w:val="000000"/>
          <w:sz w:val="22"/>
          <w:szCs w:val="22"/>
        </w:rPr>
        <w:instrText xml:space="preserve"> SEQ Table \* ARABIC </w:instrText>
      </w:r>
      <w:r w:rsidRPr="004756A1">
        <w:rPr>
          <w:rFonts w:ascii="Arial" w:hAnsi="Arial" w:cs="Arial"/>
          <w:b/>
          <w:bCs/>
          <w:color w:val="000000"/>
          <w:sz w:val="22"/>
          <w:szCs w:val="22"/>
        </w:rPr>
        <w:fldChar w:fldCharType="separate"/>
      </w:r>
      <w:r w:rsidR="00C37665">
        <w:rPr>
          <w:rFonts w:ascii="Arial" w:hAnsi="Arial" w:cs="Arial"/>
          <w:b/>
          <w:bCs/>
          <w:noProof/>
          <w:color w:val="000000"/>
          <w:sz w:val="22"/>
          <w:szCs w:val="22"/>
        </w:rPr>
        <w:t>1</w:t>
      </w:r>
      <w:r w:rsidRPr="004756A1">
        <w:rPr>
          <w:rFonts w:ascii="Arial" w:hAnsi="Arial" w:cs="Arial"/>
          <w:b/>
          <w:bCs/>
          <w:color w:val="000000"/>
          <w:sz w:val="22"/>
          <w:szCs w:val="22"/>
        </w:rPr>
        <w:fldChar w:fldCharType="end"/>
      </w:r>
      <w:bookmarkEnd w:id="11"/>
      <w:r w:rsidRPr="004756A1">
        <w:rPr>
          <w:rFonts w:ascii="Arial" w:hAnsi="Arial" w:cs="Arial"/>
          <w:b/>
          <w:bCs/>
          <w:color w:val="000000"/>
          <w:sz w:val="22"/>
          <w:szCs w:val="22"/>
        </w:rPr>
        <w:t xml:space="preserve">  – Summary of </w:t>
      </w:r>
      <w:r>
        <w:rPr>
          <w:rFonts w:ascii="Arial" w:hAnsi="Arial" w:cs="Arial"/>
          <w:b/>
          <w:bCs/>
          <w:color w:val="000000"/>
          <w:sz w:val="22"/>
          <w:szCs w:val="22"/>
        </w:rPr>
        <w:t>existing</w:t>
      </w:r>
      <w:r w:rsidRPr="004756A1">
        <w:rPr>
          <w:rFonts w:ascii="Arial" w:hAnsi="Arial" w:cs="Arial"/>
          <w:b/>
          <w:bCs/>
          <w:color w:val="000000"/>
          <w:sz w:val="22"/>
          <w:szCs w:val="22"/>
        </w:rPr>
        <w:t xml:space="preserve"> Australia</w:t>
      </w:r>
      <w:r>
        <w:rPr>
          <w:rFonts w:ascii="Arial" w:hAnsi="Arial" w:cs="Arial"/>
          <w:b/>
          <w:bCs/>
          <w:color w:val="000000"/>
          <w:sz w:val="22"/>
          <w:szCs w:val="22"/>
        </w:rPr>
        <w:t>n</w:t>
      </w:r>
      <w:r w:rsidRPr="004756A1">
        <w:rPr>
          <w:rFonts w:ascii="Arial" w:hAnsi="Arial" w:cs="Arial"/>
          <w:b/>
          <w:bCs/>
          <w:color w:val="000000"/>
          <w:sz w:val="22"/>
          <w:szCs w:val="22"/>
        </w:rPr>
        <w:t xml:space="preserve"> </w:t>
      </w:r>
      <w:r>
        <w:rPr>
          <w:rFonts w:ascii="Arial" w:hAnsi="Arial" w:cs="Arial"/>
          <w:b/>
          <w:bCs/>
          <w:color w:val="000000"/>
          <w:sz w:val="22"/>
          <w:szCs w:val="22"/>
        </w:rPr>
        <w:t>c</w:t>
      </w:r>
      <w:r w:rsidRPr="004756A1">
        <w:rPr>
          <w:rFonts w:ascii="Arial" w:hAnsi="Arial" w:cs="Arial"/>
          <w:b/>
          <w:bCs/>
          <w:color w:val="000000"/>
          <w:sz w:val="22"/>
          <w:szCs w:val="22"/>
        </w:rPr>
        <w:t>asinos</w:t>
      </w:r>
      <w:r w:rsidR="00CD3E59">
        <w:rPr>
          <w:rStyle w:val="FootnoteReference"/>
          <w:rFonts w:ascii="Arial" w:hAnsi="Arial" w:cs="Arial"/>
          <w:b/>
          <w:bCs/>
          <w:color w:val="000000"/>
        </w:rPr>
        <w:footnoteReference w:id="7"/>
      </w:r>
    </w:p>
    <w:tbl>
      <w:tblPr>
        <w:tblW w:w="8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02"/>
        <w:gridCol w:w="1188"/>
        <w:gridCol w:w="1564"/>
        <w:gridCol w:w="1275"/>
        <w:gridCol w:w="918"/>
        <w:gridCol w:w="1209"/>
        <w:gridCol w:w="975"/>
      </w:tblGrid>
      <w:tr w:rsidR="00E643B7" w:rsidTr="00A43F6D">
        <w:tc>
          <w:tcPr>
            <w:tcW w:w="1502"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Casino</w:t>
            </w:r>
          </w:p>
        </w:tc>
        <w:tc>
          <w:tcPr>
            <w:tcW w:w="1188"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Opened</w:t>
            </w:r>
          </w:p>
        </w:tc>
        <w:tc>
          <w:tcPr>
            <w:tcW w:w="1564"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Ownership</w:t>
            </w:r>
          </w:p>
        </w:tc>
        <w:tc>
          <w:tcPr>
            <w:tcW w:w="1275"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Location</w:t>
            </w:r>
          </w:p>
        </w:tc>
        <w:tc>
          <w:tcPr>
            <w:tcW w:w="918"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Tables</w:t>
            </w:r>
          </w:p>
        </w:tc>
        <w:tc>
          <w:tcPr>
            <w:tcW w:w="1209"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Machines</w:t>
            </w:r>
          </w:p>
        </w:tc>
        <w:tc>
          <w:tcPr>
            <w:tcW w:w="975" w:type="dxa"/>
            <w:shd w:val="clear" w:color="auto" w:fill="D9D9D9"/>
            <w:vAlign w:val="center"/>
          </w:tcPr>
          <w:p w:rsidR="00C1009F" w:rsidRPr="0045533B" w:rsidRDefault="00C1009F" w:rsidP="00805443">
            <w:pPr>
              <w:keepNext/>
              <w:keepLines/>
              <w:rPr>
                <w:rFonts w:ascii="Arial" w:hAnsi="Arial" w:cs="Arial"/>
                <w:b/>
                <w:sz w:val="20"/>
                <w:szCs w:val="20"/>
              </w:rPr>
            </w:pPr>
            <w:r w:rsidRPr="0045533B">
              <w:rPr>
                <w:rFonts w:ascii="Arial" w:hAnsi="Arial" w:cs="Arial"/>
                <w:b/>
                <w:sz w:val="20"/>
                <w:szCs w:val="20"/>
              </w:rPr>
              <w:t>Hotel Rooms</w:t>
            </w:r>
          </w:p>
        </w:tc>
      </w:tr>
      <w:tr w:rsidR="00E643B7" w:rsidRPr="0052459C" w:rsidTr="00A43F6D">
        <w:tc>
          <w:tcPr>
            <w:tcW w:w="1502" w:type="dxa"/>
            <w:shd w:val="clear" w:color="auto" w:fill="auto"/>
            <w:vAlign w:val="center"/>
          </w:tcPr>
          <w:p w:rsidR="00C1009F" w:rsidRPr="0045533B" w:rsidRDefault="00C1009F" w:rsidP="00805443">
            <w:pPr>
              <w:keepNext/>
              <w:keepLines/>
              <w:rPr>
                <w:rFonts w:ascii="Arial" w:hAnsi="Arial" w:cs="Arial"/>
                <w:b/>
                <w:bCs/>
                <w:sz w:val="20"/>
                <w:szCs w:val="20"/>
              </w:rPr>
            </w:pPr>
            <w:r w:rsidRPr="0045533B">
              <w:rPr>
                <w:rFonts w:ascii="Arial" w:hAnsi="Arial" w:cs="Arial"/>
                <w:sz w:val="20"/>
                <w:szCs w:val="20"/>
              </w:rPr>
              <w:t>Alice Springs Casino</w:t>
            </w:r>
          </w:p>
        </w:tc>
        <w:tc>
          <w:tcPr>
            <w:tcW w:w="1188" w:type="dxa"/>
            <w:shd w:val="clear" w:color="auto" w:fill="auto"/>
            <w:vAlign w:val="center"/>
          </w:tcPr>
          <w:p w:rsidR="00C1009F" w:rsidRPr="0045533B" w:rsidRDefault="00C1009F" w:rsidP="003B050C">
            <w:pPr>
              <w:keepNext/>
              <w:keepLines/>
              <w:tabs>
                <w:tab w:val="center" w:pos="0"/>
              </w:tabs>
              <w:autoSpaceDE w:val="0"/>
              <w:autoSpaceDN w:val="0"/>
              <w:rPr>
                <w:rFonts w:ascii="Arial" w:hAnsi="Arial" w:cs="Arial"/>
                <w:b/>
                <w:bCs/>
                <w:color w:val="000000"/>
                <w:sz w:val="20"/>
                <w:szCs w:val="20"/>
              </w:rPr>
            </w:pPr>
            <w:r w:rsidRPr="0045533B">
              <w:rPr>
                <w:rFonts w:ascii="Arial" w:hAnsi="Arial" w:cs="Arial"/>
                <w:color w:val="000000"/>
                <w:sz w:val="20"/>
                <w:szCs w:val="20"/>
              </w:rPr>
              <w:t>1982</w:t>
            </w:r>
          </w:p>
        </w:tc>
        <w:tc>
          <w:tcPr>
            <w:tcW w:w="1564" w:type="dxa"/>
            <w:shd w:val="clear" w:color="auto" w:fill="auto"/>
            <w:vAlign w:val="center"/>
          </w:tcPr>
          <w:p w:rsidR="00C1009F" w:rsidRPr="0045533B" w:rsidRDefault="00C1009F" w:rsidP="003B050C">
            <w:pPr>
              <w:keepNext/>
              <w:keepLines/>
              <w:autoSpaceDE w:val="0"/>
              <w:autoSpaceDN w:val="0"/>
              <w:rPr>
                <w:rFonts w:ascii="Arial" w:hAnsi="Arial" w:cs="Arial"/>
                <w:b/>
                <w:bCs/>
                <w:color w:val="000000"/>
                <w:sz w:val="20"/>
                <w:szCs w:val="20"/>
              </w:rPr>
            </w:pPr>
            <w:proofErr w:type="spellStart"/>
            <w:r w:rsidRPr="0045533B">
              <w:rPr>
                <w:rFonts w:ascii="Arial" w:hAnsi="Arial" w:cs="Arial"/>
                <w:color w:val="000000"/>
                <w:sz w:val="20"/>
                <w:szCs w:val="20"/>
              </w:rPr>
              <w:t>Lasseters</w:t>
            </w:r>
            <w:proofErr w:type="spellEnd"/>
            <w:r w:rsidRPr="0045533B">
              <w:rPr>
                <w:rFonts w:ascii="Arial" w:hAnsi="Arial" w:cs="Arial"/>
                <w:color w:val="000000"/>
                <w:sz w:val="20"/>
                <w:szCs w:val="20"/>
              </w:rPr>
              <w:t xml:space="preserve"> Holdings</w:t>
            </w:r>
          </w:p>
        </w:tc>
        <w:tc>
          <w:tcPr>
            <w:tcW w:w="1275" w:type="dxa"/>
            <w:shd w:val="clear" w:color="auto" w:fill="auto"/>
            <w:vAlign w:val="center"/>
          </w:tcPr>
          <w:p w:rsidR="00C1009F" w:rsidRPr="0045533B" w:rsidRDefault="00C1009F" w:rsidP="003B050C">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Alice Springs</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21</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188</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75</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b/>
                <w:bCs/>
                <w:sz w:val="20"/>
                <w:szCs w:val="20"/>
              </w:rPr>
            </w:pPr>
            <w:r w:rsidRPr="0045533B">
              <w:rPr>
                <w:rFonts w:ascii="Arial" w:hAnsi="Arial" w:cs="Arial"/>
                <w:sz w:val="20"/>
                <w:szCs w:val="20"/>
              </w:rPr>
              <w:t>Canberra Casino</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1992</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Casinos Austria</w:t>
            </w:r>
            <w:r w:rsidR="00A2128F">
              <w:rPr>
                <w:rFonts w:ascii="Arial" w:hAnsi="Arial" w:cs="Arial"/>
                <w:color w:val="000000"/>
                <w:sz w:val="20"/>
                <w:szCs w:val="20"/>
              </w:rPr>
              <w:t xml:space="preserve"> International Lim</w:t>
            </w:r>
            <w:r w:rsidR="007B31D9">
              <w:rPr>
                <w:rFonts w:ascii="Arial" w:hAnsi="Arial" w:cs="Arial"/>
                <w:color w:val="000000"/>
                <w:sz w:val="20"/>
                <w:szCs w:val="20"/>
              </w:rPr>
              <w:t>i</w:t>
            </w:r>
            <w:r w:rsidR="00A2128F">
              <w:rPr>
                <w:rFonts w:ascii="Arial" w:hAnsi="Arial" w:cs="Arial"/>
                <w:color w:val="000000"/>
                <w:sz w:val="20"/>
                <w:szCs w:val="20"/>
              </w:rPr>
              <w:t>ted</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Canberra</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Cs/>
                <w:color w:val="000000"/>
                <w:sz w:val="20"/>
                <w:szCs w:val="20"/>
              </w:rPr>
            </w:pPr>
            <w:r w:rsidRPr="0045533B">
              <w:rPr>
                <w:rFonts w:ascii="Arial" w:hAnsi="Arial" w:cs="Arial"/>
                <w:bCs/>
                <w:color w:val="000000"/>
                <w:sz w:val="20"/>
                <w:szCs w:val="20"/>
              </w:rPr>
              <w:t>38</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b/>
                <w:bCs/>
                <w:color w:val="000000"/>
                <w:sz w:val="20"/>
                <w:szCs w:val="20"/>
              </w:rPr>
              <w:t>-</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b/>
                <w:bCs/>
                <w:color w:val="000000"/>
                <w:sz w:val="20"/>
                <w:szCs w:val="20"/>
              </w:rPr>
              <w:t>-</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b/>
                <w:bCs/>
                <w:sz w:val="20"/>
                <w:szCs w:val="20"/>
              </w:rPr>
            </w:pPr>
            <w:r w:rsidRPr="0045533B">
              <w:rPr>
                <w:rFonts w:ascii="Arial" w:hAnsi="Arial" w:cs="Arial"/>
                <w:sz w:val="20"/>
                <w:szCs w:val="20"/>
              </w:rPr>
              <w:t>Country Club Casino</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1982</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proofErr w:type="spellStart"/>
            <w:r w:rsidRPr="0045533B">
              <w:rPr>
                <w:rFonts w:ascii="Arial" w:hAnsi="Arial" w:cs="Arial"/>
                <w:color w:val="000000"/>
                <w:sz w:val="20"/>
                <w:szCs w:val="20"/>
              </w:rPr>
              <w:t>Mulawa</w:t>
            </w:r>
            <w:proofErr w:type="spellEnd"/>
            <w:r w:rsidRPr="0045533B">
              <w:rPr>
                <w:rFonts w:ascii="Arial" w:hAnsi="Arial" w:cs="Arial"/>
                <w:color w:val="000000"/>
                <w:sz w:val="20"/>
                <w:szCs w:val="20"/>
              </w:rPr>
              <w:t xml:space="preserve"> Holdings</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Launceston</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25</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315</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104</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b/>
                <w:bCs/>
                <w:sz w:val="20"/>
                <w:szCs w:val="20"/>
              </w:rPr>
            </w:pPr>
            <w:r w:rsidRPr="0045533B">
              <w:rPr>
                <w:rFonts w:ascii="Arial" w:hAnsi="Arial" w:cs="Arial"/>
                <w:sz w:val="20"/>
                <w:szCs w:val="20"/>
              </w:rPr>
              <w:t>Crown Melbourne</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1997</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Crown Resorts</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Melbourne</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500</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2,500</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1,604</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b/>
                <w:bCs/>
                <w:sz w:val="20"/>
                <w:szCs w:val="20"/>
              </w:rPr>
            </w:pPr>
            <w:r w:rsidRPr="0045533B">
              <w:rPr>
                <w:rFonts w:ascii="Arial" w:hAnsi="Arial" w:cs="Arial"/>
                <w:sz w:val="20"/>
                <w:szCs w:val="20"/>
              </w:rPr>
              <w:t>Crown Perth</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1985</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Crown Resorts</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Perth</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245</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2,100</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686</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b/>
                <w:bCs/>
                <w:sz w:val="20"/>
                <w:szCs w:val="20"/>
              </w:rPr>
            </w:pPr>
            <w:proofErr w:type="spellStart"/>
            <w:r w:rsidRPr="0045533B">
              <w:rPr>
                <w:rFonts w:ascii="Arial" w:hAnsi="Arial" w:cs="Arial"/>
                <w:sz w:val="20"/>
                <w:szCs w:val="20"/>
              </w:rPr>
              <w:t>Jupiters</w:t>
            </w:r>
            <w:proofErr w:type="spellEnd"/>
            <w:r w:rsidRPr="0045533B">
              <w:rPr>
                <w:rFonts w:ascii="Arial" w:hAnsi="Arial" w:cs="Arial"/>
                <w:sz w:val="20"/>
                <w:szCs w:val="20"/>
              </w:rPr>
              <w:t xml:space="preserve"> Gold Coast</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1985</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Echo Entertainment</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Gold Coast</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93</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1,426</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594</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b/>
                <w:bCs/>
                <w:sz w:val="20"/>
                <w:szCs w:val="20"/>
              </w:rPr>
            </w:pPr>
            <w:proofErr w:type="spellStart"/>
            <w:r w:rsidRPr="0045533B">
              <w:rPr>
                <w:rFonts w:ascii="Arial" w:hAnsi="Arial" w:cs="Arial"/>
                <w:sz w:val="20"/>
                <w:szCs w:val="20"/>
              </w:rPr>
              <w:t>Jupiters</w:t>
            </w:r>
            <w:proofErr w:type="spellEnd"/>
            <w:r w:rsidRPr="0045533B">
              <w:rPr>
                <w:rFonts w:ascii="Arial" w:hAnsi="Arial" w:cs="Arial"/>
                <w:sz w:val="20"/>
                <w:szCs w:val="20"/>
              </w:rPr>
              <w:t xml:space="preserve"> Townsville</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1986</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Colonial Leisure Group</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b/>
                <w:bCs/>
                <w:color w:val="000000"/>
                <w:sz w:val="20"/>
                <w:szCs w:val="20"/>
              </w:rPr>
            </w:pPr>
            <w:r w:rsidRPr="0045533B">
              <w:rPr>
                <w:rFonts w:ascii="Arial" w:hAnsi="Arial" w:cs="Arial"/>
                <w:color w:val="000000"/>
                <w:sz w:val="20"/>
                <w:szCs w:val="20"/>
              </w:rPr>
              <w:t>Townsville</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26</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333</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194</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sz w:val="20"/>
                <w:szCs w:val="20"/>
              </w:rPr>
            </w:pPr>
            <w:r w:rsidRPr="0045533B">
              <w:rPr>
                <w:rFonts w:ascii="Arial" w:hAnsi="Arial" w:cs="Arial"/>
                <w:sz w:val="20"/>
                <w:szCs w:val="20"/>
              </w:rPr>
              <w:t>Reef Casino</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1996</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Reef Casino Trust</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Cairns</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38</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b/>
                <w:bCs/>
                <w:color w:val="000000"/>
                <w:sz w:val="20"/>
                <w:szCs w:val="20"/>
              </w:rPr>
            </w:pPr>
            <w:r w:rsidRPr="0045533B">
              <w:rPr>
                <w:rFonts w:ascii="Arial" w:hAnsi="Arial" w:cs="Arial"/>
                <w:color w:val="000000"/>
                <w:sz w:val="20"/>
                <w:szCs w:val="20"/>
              </w:rPr>
              <w:t>519</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b/>
                <w:bCs/>
                <w:color w:val="000000"/>
                <w:sz w:val="20"/>
                <w:szCs w:val="20"/>
              </w:rPr>
            </w:pPr>
            <w:r w:rsidRPr="0045533B">
              <w:rPr>
                <w:rFonts w:ascii="Arial" w:hAnsi="Arial" w:cs="Arial"/>
                <w:color w:val="000000"/>
                <w:sz w:val="20"/>
                <w:szCs w:val="20"/>
              </w:rPr>
              <w:t>128</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sz w:val="20"/>
                <w:szCs w:val="20"/>
              </w:rPr>
            </w:pPr>
            <w:proofErr w:type="spellStart"/>
            <w:r w:rsidRPr="0045533B">
              <w:rPr>
                <w:rFonts w:ascii="Arial" w:hAnsi="Arial" w:cs="Arial"/>
                <w:sz w:val="20"/>
                <w:szCs w:val="20"/>
              </w:rPr>
              <w:t>Skycity</w:t>
            </w:r>
            <w:proofErr w:type="spellEnd"/>
            <w:r w:rsidRPr="0045533B">
              <w:rPr>
                <w:rFonts w:ascii="Arial" w:hAnsi="Arial" w:cs="Arial"/>
                <w:sz w:val="20"/>
                <w:szCs w:val="20"/>
              </w:rPr>
              <w:t xml:space="preserve"> Adelaide</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1985</w:t>
            </w:r>
          </w:p>
        </w:tc>
        <w:tc>
          <w:tcPr>
            <w:tcW w:w="1564" w:type="dxa"/>
            <w:shd w:val="clear" w:color="auto" w:fill="auto"/>
            <w:vAlign w:val="center"/>
          </w:tcPr>
          <w:p w:rsidR="00C1009F" w:rsidRPr="0045533B" w:rsidRDefault="00C1009F" w:rsidP="008B0C50">
            <w:pPr>
              <w:keepNext/>
              <w:keepLines/>
              <w:autoSpaceDE w:val="0"/>
              <w:autoSpaceDN w:val="0"/>
              <w:rPr>
                <w:rFonts w:ascii="Arial" w:hAnsi="Arial" w:cs="Arial"/>
                <w:color w:val="000000"/>
                <w:sz w:val="20"/>
                <w:szCs w:val="20"/>
              </w:rPr>
            </w:pPr>
            <w:r w:rsidRPr="0045533B">
              <w:rPr>
                <w:rFonts w:ascii="Arial" w:hAnsi="Arial" w:cs="Arial"/>
                <w:color w:val="000000"/>
                <w:sz w:val="20"/>
                <w:szCs w:val="20"/>
              </w:rPr>
              <w:t xml:space="preserve">Sky </w:t>
            </w:r>
            <w:r w:rsidR="008B0C50">
              <w:rPr>
                <w:rFonts w:ascii="Arial" w:hAnsi="Arial" w:cs="Arial"/>
                <w:color w:val="000000"/>
                <w:sz w:val="20"/>
                <w:szCs w:val="20"/>
              </w:rPr>
              <w:t>C</w:t>
            </w:r>
            <w:r w:rsidRPr="0045533B">
              <w:rPr>
                <w:rFonts w:ascii="Arial" w:hAnsi="Arial" w:cs="Arial"/>
                <w:color w:val="000000"/>
                <w:sz w:val="20"/>
                <w:szCs w:val="20"/>
              </w:rPr>
              <w:t>ity Entertainment</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Adelaide</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90</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color w:val="000000"/>
                <w:sz w:val="20"/>
                <w:szCs w:val="20"/>
              </w:rPr>
            </w:pPr>
            <w:r w:rsidRPr="0045533B">
              <w:rPr>
                <w:rFonts w:ascii="Arial" w:hAnsi="Arial" w:cs="Arial"/>
                <w:color w:val="000000"/>
                <w:sz w:val="20"/>
                <w:szCs w:val="20"/>
              </w:rPr>
              <w:t xml:space="preserve">995 </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sz w:val="20"/>
                <w:szCs w:val="20"/>
              </w:rPr>
            </w:pPr>
            <w:r w:rsidRPr="0045533B">
              <w:rPr>
                <w:rFonts w:ascii="Arial" w:hAnsi="Arial" w:cs="Arial"/>
                <w:sz w:val="20"/>
                <w:szCs w:val="20"/>
              </w:rPr>
              <w:t>Sky city Darwin</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1979</w:t>
            </w:r>
          </w:p>
        </w:tc>
        <w:tc>
          <w:tcPr>
            <w:tcW w:w="1564" w:type="dxa"/>
            <w:shd w:val="clear" w:color="auto" w:fill="auto"/>
            <w:vAlign w:val="center"/>
          </w:tcPr>
          <w:p w:rsidR="00C1009F" w:rsidRPr="0045533B" w:rsidRDefault="00C1009F" w:rsidP="008B0C50">
            <w:pPr>
              <w:keepNext/>
              <w:keepLines/>
              <w:autoSpaceDE w:val="0"/>
              <w:autoSpaceDN w:val="0"/>
              <w:rPr>
                <w:rFonts w:ascii="Arial" w:hAnsi="Arial" w:cs="Arial"/>
                <w:color w:val="000000"/>
                <w:sz w:val="20"/>
                <w:szCs w:val="20"/>
              </w:rPr>
            </w:pPr>
            <w:r w:rsidRPr="0045533B">
              <w:rPr>
                <w:rFonts w:ascii="Arial" w:hAnsi="Arial" w:cs="Arial"/>
                <w:color w:val="000000"/>
                <w:sz w:val="20"/>
                <w:szCs w:val="20"/>
              </w:rPr>
              <w:t xml:space="preserve">Sky </w:t>
            </w:r>
            <w:r w:rsidR="008B0C50">
              <w:rPr>
                <w:rFonts w:ascii="Arial" w:hAnsi="Arial" w:cs="Arial"/>
                <w:color w:val="000000"/>
                <w:sz w:val="20"/>
                <w:szCs w:val="20"/>
              </w:rPr>
              <w:t>C</w:t>
            </w:r>
            <w:r w:rsidRPr="0045533B">
              <w:rPr>
                <w:rFonts w:ascii="Arial" w:hAnsi="Arial" w:cs="Arial"/>
                <w:color w:val="000000"/>
                <w:sz w:val="20"/>
                <w:szCs w:val="20"/>
              </w:rPr>
              <w:t>ity Entertainment</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Darwin</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33</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color w:val="000000"/>
                <w:sz w:val="20"/>
                <w:szCs w:val="20"/>
              </w:rPr>
            </w:pPr>
            <w:r w:rsidRPr="0045533B">
              <w:rPr>
                <w:rFonts w:ascii="Arial" w:hAnsi="Arial" w:cs="Arial"/>
                <w:color w:val="000000"/>
                <w:sz w:val="20"/>
                <w:szCs w:val="20"/>
              </w:rPr>
              <w:t>750</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54</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sz w:val="20"/>
                <w:szCs w:val="20"/>
              </w:rPr>
            </w:pPr>
            <w:r w:rsidRPr="0045533B">
              <w:rPr>
                <w:rFonts w:ascii="Arial" w:hAnsi="Arial" w:cs="Arial"/>
                <w:sz w:val="20"/>
                <w:szCs w:val="20"/>
              </w:rPr>
              <w:t>The Star</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1997</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Echo Entertainment</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Sydney</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300</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color w:val="000000"/>
                <w:sz w:val="20"/>
                <w:szCs w:val="20"/>
              </w:rPr>
            </w:pPr>
            <w:r w:rsidRPr="0045533B">
              <w:rPr>
                <w:rFonts w:ascii="Arial" w:hAnsi="Arial" w:cs="Arial"/>
                <w:color w:val="000000"/>
                <w:sz w:val="20"/>
                <w:szCs w:val="20"/>
              </w:rPr>
              <w:t>1,500</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650</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sz w:val="20"/>
                <w:szCs w:val="20"/>
              </w:rPr>
            </w:pPr>
            <w:r w:rsidRPr="0045533B">
              <w:rPr>
                <w:rFonts w:ascii="Arial" w:hAnsi="Arial" w:cs="Arial"/>
                <w:sz w:val="20"/>
                <w:szCs w:val="20"/>
              </w:rPr>
              <w:t>Treasury Casino</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1995</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Echo Entertainment</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Brisbane</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861</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color w:val="000000"/>
                <w:sz w:val="20"/>
                <w:szCs w:val="20"/>
              </w:rPr>
            </w:pPr>
            <w:r w:rsidRPr="0045533B">
              <w:rPr>
                <w:rFonts w:ascii="Arial" w:hAnsi="Arial" w:cs="Arial"/>
                <w:color w:val="000000"/>
                <w:sz w:val="20"/>
                <w:szCs w:val="20"/>
              </w:rPr>
              <w:t>360</w:t>
            </w:r>
          </w:p>
        </w:tc>
        <w:tc>
          <w:tcPr>
            <w:tcW w:w="975"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130</w:t>
            </w:r>
          </w:p>
        </w:tc>
      </w:tr>
      <w:tr w:rsidR="00E643B7" w:rsidRPr="0052459C" w:rsidTr="00A43F6D">
        <w:tc>
          <w:tcPr>
            <w:tcW w:w="1502" w:type="dxa"/>
            <w:shd w:val="clear" w:color="auto" w:fill="auto"/>
            <w:vAlign w:val="center"/>
          </w:tcPr>
          <w:p w:rsidR="00C1009F" w:rsidRPr="0045533B" w:rsidRDefault="00C1009F" w:rsidP="000B5086">
            <w:pPr>
              <w:rPr>
                <w:rFonts w:ascii="Arial" w:hAnsi="Arial" w:cs="Arial"/>
                <w:sz w:val="20"/>
                <w:szCs w:val="20"/>
              </w:rPr>
            </w:pPr>
            <w:r w:rsidRPr="0045533B">
              <w:rPr>
                <w:rFonts w:ascii="Arial" w:hAnsi="Arial" w:cs="Arial"/>
                <w:sz w:val="20"/>
                <w:szCs w:val="20"/>
              </w:rPr>
              <w:t>Wrest Point Hotel Casino</w:t>
            </w:r>
          </w:p>
        </w:tc>
        <w:tc>
          <w:tcPr>
            <w:tcW w:w="1188"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1973</w:t>
            </w:r>
          </w:p>
        </w:tc>
        <w:tc>
          <w:tcPr>
            <w:tcW w:w="1564"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proofErr w:type="spellStart"/>
            <w:r w:rsidRPr="0045533B">
              <w:rPr>
                <w:rFonts w:ascii="Arial" w:hAnsi="Arial" w:cs="Arial"/>
                <w:color w:val="000000"/>
                <w:sz w:val="20"/>
                <w:szCs w:val="20"/>
              </w:rPr>
              <w:t>Mulawa</w:t>
            </w:r>
            <w:proofErr w:type="spellEnd"/>
            <w:r w:rsidRPr="0045533B">
              <w:rPr>
                <w:rFonts w:ascii="Arial" w:hAnsi="Arial" w:cs="Arial"/>
                <w:color w:val="000000"/>
                <w:sz w:val="20"/>
                <w:szCs w:val="20"/>
              </w:rPr>
              <w:t xml:space="preserve"> Holdings</w:t>
            </w:r>
          </w:p>
        </w:tc>
        <w:tc>
          <w:tcPr>
            <w:tcW w:w="1275" w:type="dxa"/>
            <w:shd w:val="clear" w:color="auto" w:fill="auto"/>
            <w:vAlign w:val="center"/>
          </w:tcPr>
          <w:p w:rsidR="00C1009F" w:rsidRPr="0045533B" w:rsidRDefault="00C1009F" w:rsidP="0045533B">
            <w:pPr>
              <w:keepNext/>
              <w:keepLines/>
              <w:autoSpaceDE w:val="0"/>
              <w:autoSpaceDN w:val="0"/>
              <w:rPr>
                <w:rFonts w:ascii="Arial" w:hAnsi="Arial" w:cs="Arial"/>
                <w:color w:val="000000"/>
                <w:sz w:val="20"/>
                <w:szCs w:val="20"/>
              </w:rPr>
            </w:pPr>
            <w:r w:rsidRPr="0045533B">
              <w:rPr>
                <w:rFonts w:ascii="Arial" w:hAnsi="Arial" w:cs="Arial"/>
                <w:color w:val="000000"/>
                <w:sz w:val="20"/>
                <w:szCs w:val="20"/>
              </w:rPr>
              <w:t>Hobart</w:t>
            </w:r>
          </w:p>
        </w:tc>
        <w:tc>
          <w:tcPr>
            <w:tcW w:w="918" w:type="dxa"/>
            <w:shd w:val="clear" w:color="auto" w:fill="auto"/>
            <w:vAlign w:val="center"/>
          </w:tcPr>
          <w:p w:rsidR="00C1009F" w:rsidRPr="0045533B" w:rsidRDefault="00C1009F" w:rsidP="00F557F5">
            <w:pPr>
              <w:keepNext/>
              <w:keepLines/>
              <w:tabs>
                <w:tab w:val="decimal" w:pos="601"/>
              </w:tabs>
              <w:autoSpaceDE w:val="0"/>
              <w:autoSpaceDN w:val="0"/>
              <w:rPr>
                <w:rFonts w:ascii="Arial" w:hAnsi="Arial" w:cs="Arial"/>
                <w:color w:val="000000"/>
                <w:sz w:val="20"/>
                <w:szCs w:val="20"/>
              </w:rPr>
            </w:pPr>
            <w:r w:rsidRPr="0045533B">
              <w:rPr>
                <w:rFonts w:ascii="Arial" w:hAnsi="Arial" w:cs="Arial"/>
                <w:color w:val="000000"/>
                <w:sz w:val="20"/>
                <w:szCs w:val="20"/>
              </w:rPr>
              <w:t>30</w:t>
            </w:r>
          </w:p>
        </w:tc>
        <w:tc>
          <w:tcPr>
            <w:tcW w:w="1209" w:type="dxa"/>
            <w:shd w:val="clear" w:color="auto" w:fill="auto"/>
            <w:vAlign w:val="center"/>
          </w:tcPr>
          <w:p w:rsidR="00C1009F" w:rsidRPr="0045533B" w:rsidRDefault="00C1009F" w:rsidP="00F557F5">
            <w:pPr>
              <w:keepNext/>
              <w:keepLines/>
              <w:tabs>
                <w:tab w:val="decimal" w:pos="817"/>
              </w:tabs>
              <w:autoSpaceDE w:val="0"/>
              <w:autoSpaceDN w:val="0"/>
              <w:rPr>
                <w:rFonts w:ascii="Arial" w:hAnsi="Arial" w:cs="Arial"/>
                <w:color w:val="000000"/>
                <w:sz w:val="20"/>
                <w:szCs w:val="20"/>
              </w:rPr>
            </w:pPr>
            <w:r w:rsidRPr="0045533B">
              <w:rPr>
                <w:rFonts w:ascii="Arial" w:hAnsi="Arial" w:cs="Arial"/>
                <w:color w:val="000000"/>
                <w:sz w:val="20"/>
                <w:szCs w:val="20"/>
              </w:rPr>
              <w:t>490</w:t>
            </w:r>
          </w:p>
        </w:tc>
        <w:tc>
          <w:tcPr>
            <w:tcW w:w="975" w:type="dxa"/>
            <w:shd w:val="clear" w:color="auto" w:fill="auto"/>
            <w:vAlign w:val="center"/>
          </w:tcPr>
          <w:p w:rsidR="00C1009F" w:rsidRPr="0045533B" w:rsidRDefault="00C1009F" w:rsidP="00F557F5">
            <w:pPr>
              <w:keepNext/>
              <w:keepLines/>
              <w:tabs>
                <w:tab w:val="decimal" w:pos="601"/>
              </w:tabs>
              <w:rPr>
                <w:rFonts w:ascii="Arial" w:hAnsi="Arial" w:cs="Arial"/>
                <w:color w:val="000000"/>
                <w:sz w:val="20"/>
                <w:szCs w:val="20"/>
              </w:rPr>
            </w:pPr>
            <w:r w:rsidRPr="0045533B">
              <w:rPr>
                <w:rFonts w:ascii="Arial" w:hAnsi="Arial" w:cs="Arial"/>
                <w:color w:val="000000"/>
                <w:sz w:val="20"/>
                <w:szCs w:val="20"/>
              </w:rPr>
              <w:t>280</w:t>
            </w:r>
          </w:p>
        </w:tc>
      </w:tr>
    </w:tbl>
    <w:p w:rsidR="00D717B8" w:rsidRPr="00B15C6A" w:rsidRDefault="00D717B8" w:rsidP="008956B4">
      <w:pPr>
        <w:pStyle w:val="Heading5"/>
      </w:pPr>
      <w:r w:rsidRPr="00B15C6A">
        <w:t>Crown Resorts Limited (</w:t>
      </w:r>
      <w:r w:rsidRPr="00B15C6A">
        <w:rPr>
          <w:b/>
        </w:rPr>
        <w:t>Crown</w:t>
      </w:r>
      <w:r w:rsidRPr="00B15C6A">
        <w:t>)</w:t>
      </w:r>
    </w:p>
    <w:p w:rsidR="00D717B8" w:rsidRPr="00D717B8" w:rsidRDefault="00D717B8" w:rsidP="008956B4">
      <w:pPr>
        <w:pStyle w:val="NormalParagraph"/>
        <w:rPr>
          <w:lang w:eastAsia="en-AU"/>
        </w:rPr>
      </w:pPr>
      <w:r w:rsidRPr="00D717B8">
        <w:rPr>
          <w:rFonts w:eastAsia="Calibri"/>
          <w:lang w:eastAsia="en-AU"/>
        </w:rPr>
        <w:t xml:space="preserve">Crown operates in the gaming and entertainment industry primarily in Australia. </w:t>
      </w:r>
      <w:r>
        <w:rPr>
          <w:lang w:eastAsia="en-AU"/>
        </w:rPr>
        <w:t>It</w:t>
      </w:r>
      <w:r w:rsidRPr="00D717B8">
        <w:rPr>
          <w:lang w:eastAsia="en-AU"/>
        </w:rPr>
        <w:t xml:space="preserve"> </w:t>
      </w:r>
      <w:r w:rsidR="00420C43">
        <w:rPr>
          <w:lang w:eastAsia="en-AU"/>
        </w:rPr>
        <w:t>currently owns two casinos</w:t>
      </w:r>
      <w:r w:rsidRPr="00D717B8">
        <w:rPr>
          <w:lang w:eastAsia="en-AU"/>
        </w:rPr>
        <w:t xml:space="preserve"> in Australia: Crown Melbourne and Crown Perth. Crown is the largest casino operator in Australia </w:t>
      </w:r>
      <w:r w:rsidRPr="00D717B8">
        <w:rPr>
          <w:rFonts w:eastAsia="Calibri"/>
          <w:lang w:eastAsia="en-AU"/>
        </w:rPr>
        <w:t xml:space="preserve">with over 50% of total Australian </w:t>
      </w:r>
      <w:r w:rsidRPr="00D717B8">
        <w:t>casino</w:t>
      </w:r>
      <w:r w:rsidRPr="00D717B8">
        <w:rPr>
          <w:rFonts w:eastAsia="Calibri"/>
          <w:lang w:eastAsia="en-AU"/>
        </w:rPr>
        <w:t xml:space="preserve"> revenues. It has also recently entered into an agreement with the New South Wales Government to develop a new integrated casino resort at </w:t>
      </w:r>
      <w:proofErr w:type="spellStart"/>
      <w:r w:rsidRPr="00D717B8">
        <w:rPr>
          <w:rFonts w:eastAsia="Calibri"/>
          <w:lang w:eastAsia="en-AU"/>
        </w:rPr>
        <w:t>Barangaroo</w:t>
      </w:r>
      <w:proofErr w:type="spellEnd"/>
      <w:r w:rsidRPr="00D717B8">
        <w:rPr>
          <w:rFonts w:eastAsia="Calibri"/>
          <w:lang w:eastAsia="en-AU"/>
        </w:rPr>
        <w:t xml:space="preserve"> in New South Wales which will focus on VIPs.</w:t>
      </w:r>
    </w:p>
    <w:p w:rsidR="00D717B8" w:rsidRPr="00D717B8" w:rsidRDefault="00D717B8" w:rsidP="00064A30">
      <w:pPr>
        <w:pStyle w:val="Heading5"/>
        <w:keepNext/>
      </w:pPr>
      <w:r w:rsidRPr="00D717B8">
        <w:lastRenderedPageBreak/>
        <w:t>Echo Entertainment Group Limited (</w:t>
      </w:r>
      <w:r w:rsidRPr="00D717B8">
        <w:rPr>
          <w:b/>
        </w:rPr>
        <w:t>Echo</w:t>
      </w:r>
      <w:r w:rsidRPr="00D717B8">
        <w:t>)</w:t>
      </w:r>
    </w:p>
    <w:p w:rsidR="00D717B8" w:rsidRPr="00D717B8" w:rsidRDefault="00D717B8" w:rsidP="008956B4">
      <w:pPr>
        <w:pStyle w:val="NormalParagraph"/>
        <w:rPr>
          <w:lang w:eastAsia="en-AU"/>
        </w:rPr>
      </w:pPr>
      <w:r w:rsidRPr="00D717B8">
        <w:rPr>
          <w:lang w:eastAsia="en-AU"/>
        </w:rPr>
        <w:t xml:space="preserve">Echo </w:t>
      </w:r>
      <w:r w:rsidRPr="00D717B8">
        <w:rPr>
          <w:rFonts w:eastAsia="Calibri"/>
          <w:lang w:eastAsia="en-AU"/>
        </w:rPr>
        <w:t>owns the Star (NSW),</w:t>
      </w:r>
      <w:r w:rsidRPr="00D717B8">
        <w:rPr>
          <w:lang w:eastAsia="en-AU"/>
        </w:rPr>
        <w:t xml:space="preserve"> </w:t>
      </w:r>
      <w:proofErr w:type="spellStart"/>
      <w:r w:rsidRPr="00D717B8">
        <w:rPr>
          <w:rFonts w:eastAsia="Calibri"/>
          <w:lang w:eastAsia="en-AU"/>
        </w:rPr>
        <w:t>Jupiters</w:t>
      </w:r>
      <w:proofErr w:type="spellEnd"/>
      <w:r w:rsidRPr="00D717B8">
        <w:rPr>
          <w:rFonts w:eastAsia="Calibri"/>
          <w:lang w:eastAsia="en-AU"/>
        </w:rPr>
        <w:t xml:space="preserve"> and Treasury (QLD) casinos, and in January 2014 sold </w:t>
      </w:r>
      <w:proofErr w:type="spellStart"/>
      <w:r w:rsidRPr="00D717B8">
        <w:rPr>
          <w:rFonts w:eastAsia="Calibri"/>
          <w:lang w:eastAsia="en-AU"/>
        </w:rPr>
        <w:t>Jupiters</w:t>
      </w:r>
      <w:proofErr w:type="spellEnd"/>
      <w:r w:rsidRPr="00D717B8">
        <w:rPr>
          <w:rFonts w:eastAsia="Calibri"/>
          <w:lang w:eastAsia="en-AU"/>
        </w:rPr>
        <w:t xml:space="preserve"> Townsville to Colonial Leisure</w:t>
      </w:r>
      <w:r w:rsidRPr="00D717B8">
        <w:rPr>
          <w:lang w:eastAsia="en-AU"/>
        </w:rPr>
        <w:t xml:space="preserve"> </w:t>
      </w:r>
      <w:r w:rsidRPr="00D717B8">
        <w:rPr>
          <w:rFonts w:eastAsia="Calibri"/>
          <w:lang w:eastAsia="en-AU"/>
        </w:rPr>
        <w:t>Group.</w:t>
      </w:r>
      <w:r w:rsidRPr="00D717B8">
        <w:rPr>
          <w:lang w:eastAsia="en-AU"/>
        </w:rPr>
        <w:t xml:space="preserve"> </w:t>
      </w:r>
      <w:r w:rsidRPr="00D717B8">
        <w:rPr>
          <w:rFonts w:eastAsia="Calibri"/>
          <w:lang w:eastAsia="en-AU"/>
        </w:rPr>
        <w:t>Echo earns over 32% of total Australian casino revenues.</w:t>
      </w:r>
    </w:p>
    <w:p w:rsidR="00194D5D" w:rsidRDefault="00194D5D" w:rsidP="008956B4">
      <w:pPr>
        <w:pStyle w:val="Heading3"/>
      </w:pPr>
      <w:r>
        <w:t>The transaction</w:t>
      </w:r>
    </w:p>
    <w:p w:rsidR="00F757A5" w:rsidRDefault="00D717B8" w:rsidP="008956B4">
      <w:pPr>
        <w:pStyle w:val="NormalParagraph"/>
        <w:rPr>
          <w:lang w:eastAsia="en-AU"/>
        </w:rPr>
      </w:pPr>
      <w:r w:rsidRPr="00D717B8">
        <w:rPr>
          <w:lang w:eastAsia="en-AU"/>
        </w:rPr>
        <w:t xml:space="preserve">On 24 March 2014, </w:t>
      </w:r>
      <w:proofErr w:type="spellStart"/>
      <w:r w:rsidRPr="00D717B8">
        <w:rPr>
          <w:lang w:eastAsia="en-AU"/>
        </w:rPr>
        <w:t>Aquis</w:t>
      </w:r>
      <w:proofErr w:type="spellEnd"/>
      <w:r w:rsidRPr="00D717B8">
        <w:rPr>
          <w:lang w:eastAsia="en-AU"/>
        </w:rPr>
        <w:t xml:space="preserve"> made a public off-market offer to acquire all the units in the ASX-listed Reef Casino Trust from its current </w:t>
      </w:r>
      <w:proofErr w:type="spellStart"/>
      <w:r w:rsidRPr="00D717B8">
        <w:rPr>
          <w:lang w:eastAsia="en-AU"/>
        </w:rPr>
        <w:t>unitholders</w:t>
      </w:r>
      <w:proofErr w:type="spellEnd"/>
      <w:r w:rsidR="00F757A5">
        <w:rPr>
          <w:lang w:eastAsia="en-AU"/>
        </w:rPr>
        <w:t xml:space="preserve"> for a total purchase price of $216.9 million</w:t>
      </w:r>
      <w:r w:rsidRPr="00D717B8">
        <w:rPr>
          <w:lang w:eastAsia="en-AU"/>
        </w:rPr>
        <w:t>.</w:t>
      </w:r>
    </w:p>
    <w:p w:rsidR="00F757A5" w:rsidRPr="00D717B8" w:rsidRDefault="00D717B8" w:rsidP="008956B4">
      <w:pPr>
        <w:pStyle w:val="NormalParagraph"/>
        <w:rPr>
          <w:lang w:eastAsia="en-AU"/>
        </w:rPr>
      </w:pPr>
      <w:proofErr w:type="spellStart"/>
      <w:r w:rsidRPr="00D717B8">
        <w:rPr>
          <w:lang w:eastAsia="en-AU"/>
        </w:rPr>
        <w:t>Aquis</w:t>
      </w:r>
      <w:proofErr w:type="spellEnd"/>
      <w:r w:rsidRPr="00D717B8">
        <w:rPr>
          <w:lang w:eastAsia="en-AU"/>
        </w:rPr>
        <w:t xml:space="preserve"> is also acquiring all of the issued shares in </w:t>
      </w:r>
      <w:r w:rsidR="00E013F0">
        <w:rPr>
          <w:lang w:eastAsia="en-AU"/>
        </w:rPr>
        <w:t>the Reef responsible entity</w:t>
      </w:r>
      <w:r w:rsidR="00F757A5">
        <w:rPr>
          <w:lang w:eastAsia="en-AU"/>
        </w:rPr>
        <w:t xml:space="preserve"> (for $12.6 million)</w:t>
      </w:r>
      <w:r w:rsidRPr="00D717B8">
        <w:rPr>
          <w:lang w:eastAsia="en-AU"/>
        </w:rPr>
        <w:t xml:space="preserve"> and </w:t>
      </w:r>
      <w:r w:rsidR="00F8725D">
        <w:rPr>
          <w:lang w:eastAsia="en-AU"/>
        </w:rPr>
        <w:t>the Reef operator</w:t>
      </w:r>
      <w:r w:rsidR="00F757A5">
        <w:rPr>
          <w:lang w:eastAsia="en-AU"/>
        </w:rPr>
        <w:t xml:space="preserve"> (for $30.</w:t>
      </w:r>
      <w:r w:rsidR="00F95CE0">
        <w:rPr>
          <w:lang w:eastAsia="en-AU"/>
        </w:rPr>
        <w:t xml:space="preserve">9 </w:t>
      </w:r>
      <w:r w:rsidR="00F757A5">
        <w:rPr>
          <w:lang w:eastAsia="en-AU"/>
        </w:rPr>
        <w:t>million)</w:t>
      </w:r>
      <w:r w:rsidRPr="00D717B8">
        <w:rPr>
          <w:lang w:eastAsia="en-AU"/>
        </w:rPr>
        <w:t>, from their current shareholders.</w:t>
      </w:r>
      <w:r w:rsidR="00F757A5">
        <w:rPr>
          <w:lang w:eastAsia="en-AU"/>
        </w:rPr>
        <w:t xml:space="preserve"> </w:t>
      </w:r>
    </w:p>
    <w:p w:rsidR="00D717B8" w:rsidRPr="00D717B8" w:rsidRDefault="00D717B8" w:rsidP="008956B4">
      <w:pPr>
        <w:pStyle w:val="NormalParagraph"/>
        <w:rPr>
          <w:lang w:eastAsia="en-AU"/>
        </w:rPr>
      </w:pPr>
      <w:r w:rsidRPr="00D717B8">
        <w:rPr>
          <w:lang w:eastAsia="en-AU"/>
        </w:rPr>
        <w:t xml:space="preserve">As a result of the proposed acquisition, </w:t>
      </w:r>
      <w:proofErr w:type="spellStart"/>
      <w:r w:rsidRPr="00D717B8">
        <w:rPr>
          <w:lang w:eastAsia="en-AU"/>
        </w:rPr>
        <w:t>Aquis</w:t>
      </w:r>
      <w:proofErr w:type="spellEnd"/>
      <w:r w:rsidRPr="00D717B8">
        <w:rPr>
          <w:lang w:eastAsia="en-AU"/>
        </w:rPr>
        <w:t xml:space="preserve"> would become the owner and operator of the Reef Hotel Casino.</w:t>
      </w:r>
    </w:p>
    <w:p w:rsidR="00D717B8" w:rsidRPr="00D717B8" w:rsidRDefault="00D717B8" w:rsidP="008956B4">
      <w:pPr>
        <w:pStyle w:val="NormalParagraph"/>
        <w:rPr>
          <w:lang w:eastAsia="en-AU"/>
        </w:rPr>
      </w:pPr>
      <w:bookmarkStart w:id="12" w:name="_Ref388337029"/>
      <w:r w:rsidRPr="00D717B8">
        <w:rPr>
          <w:lang w:eastAsia="en-AU"/>
        </w:rPr>
        <w:t xml:space="preserve">Casinos Austria </w:t>
      </w:r>
      <w:r w:rsidR="00F8725D">
        <w:rPr>
          <w:lang w:eastAsia="en-AU"/>
        </w:rPr>
        <w:t xml:space="preserve">International Limited </w:t>
      </w:r>
      <w:r w:rsidRPr="00D717B8">
        <w:rPr>
          <w:lang w:eastAsia="en-AU"/>
        </w:rPr>
        <w:t xml:space="preserve">is also selling its other Australian casino operation – Casino Canberra – to </w:t>
      </w:r>
      <w:proofErr w:type="spellStart"/>
      <w:r w:rsidRPr="00D717B8">
        <w:rPr>
          <w:lang w:eastAsia="en-AU"/>
        </w:rPr>
        <w:t>Aquis</w:t>
      </w:r>
      <w:proofErr w:type="spellEnd"/>
      <w:r w:rsidR="008F5CD9">
        <w:rPr>
          <w:lang w:eastAsia="en-AU"/>
        </w:rPr>
        <w:t xml:space="preserve"> for $8.</w:t>
      </w:r>
      <w:r w:rsidR="00F95CE0">
        <w:rPr>
          <w:lang w:eastAsia="en-AU"/>
        </w:rPr>
        <w:t xml:space="preserve">9 </w:t>
      </w:r>
      <w:r w:rsidR="008F5CD9">
        <w:rPr>
          <w:lang w:eastAsia="en-AU"/>
        </w:rPr>
        <w:t>million</w:t>
      </w:r>
      <w:r w:rsidRPr="00D717B8">
        <w:rPr>
          <w:lang w:eastAsia="en-AU"/>
        </w:rPr>
        <w:t>.</w:t>
      </w:r>
      <w:bookmarkEnd w:id="12"/>
      <w:r w:rsidRPr="00D717B8">
        <w:rPr>
          <w:lang w:eastAsia="en-AU"/>
        </w:rPr>
        <w:t xml:space="preserve"> The acquisition of Casino Canberra is conditional on the acquisition of the Reef Casino. </w:t>
      </w:r>
    </w:p>
    <w:p w:rsidR="00FB30A0" w:rsidRDefault="00FB30A0" w:rsidP="008956B4">
      <w:pPr>
        <w:pStyle w:val="Heading3"/>
      </w:pPr>
      <w:r>
        <w:t xml:space="preserve">Market </w:t>
      </w:r>
      <w:r w:rsidRPr="00194D5D">
        <w:t>inquiries</w:t>
      </w:r>
    </w:p>
    <w:p w:rsidR="00491ED8" w:rsidRPr="00491ED8" w:rsidRDefault="00FB30A0" w:rsidP="008956B4">
      <w:pPr>
        <w:pStyle w:val="NormalParagraph"/>
        <w:rPr>
          <w:lang w:eastAsia="en-AU"/>
        </w:rPr>
      </w:pPr>
      <w:r>
        <w:t xml:space="preserve">On </w:t>
      </w:r>
      <w:r w:rsidR="00566B14">
        <w:t xml:space="preserve">9 </w:t>
      </w:r>
      <w:r w:rsidR="0013072A">
        <w:t xml:space="preserve">April 2014, </w:t>
      </w:r>
      <w:r>
        <w:t xml:space="preserve">the ACCC commenced market inquiries regarding the proposed acquisition. </w:t>
      </w:r>
      <w:r w:rsidR="002C177E" w:rsidRPr="002C177E">
        <w:t xml:space="preserve">The ACCC has </w:t>
      </w:r>
      <w:r w:rsidR="002C177E" w:rsidRPr="002C177E">
        <w:rPr>
          <w:lang w:eastAsia="en-AU"/>
        </w:rPr>
        <w:t>received</w:t>
      </w:r>
      <w:r w:rsidR="002C177E" w:rsidRPr="002C177E">
        <w:t xml:space="preserve"> information from a </w:t>
      </w:r>
      <w:r w:rsidR="000C5560">
        <w:t>number</w:t>
      </w:r>
      <w:r w:rsidR="002C177E" w:rsidRPr="002C177E">
        <w:t xml:space="preserve"> of interested parties and is now calling for further information to assist with its investigation.</w:t>
      </w:r>
      <w:r w:rsidR="002C177E">
        <w:t xml:space="preserve"> </w:t>
      </w:r>
    </w:p>
    <w:p w:rsidR="00194D5D" w:rsidRDefault="00D632EA" w:rsidP="008956B4">
      <w:pPr>
        <w:pStyle w:val="Heading3"/>
      </w:pPr>
      <w:r>
        <w:t>The future with and without</w:t>
      </w:r>
      <w:r w:rsidR="00BF2C12">
        <w:t xml:space="preserve"> the proposed acquisition</w:t>
      </w:r>
    </w:p>
    <w:p w:rsidR="00194D5D" w:rsidRDefault="00194D5D" w:rsidP="008956B4">
      <w:pPr>
        <w:pStyle w:val="NormalParagraph"/>
      </w:pPr>
      <w:r>
        <w:t xml:space="preserve">Section 50 of </w:t>
      </w:r>
      <w:r w:rsidR="009D2D4B">
        <w:t xml:space="preserve">the </w:t>
      </w:r>
      <w:r w:rsidR="009D2D4B" w:rsidRPr="00F76494">
        <w:rPr>
          <w:i/>
        </w:rPr>
        <w:t>Competition and Consumer Act 2010</w:t>
      </w:r>
      <w:r w:rsidR="009D2D4B">
        <w:t xml:space="preserve"> (the </w:t>
      </w:r>
      <w:r w:rsidR="009D2D4B" w:rsidRPr="00F76494">
        <w:rPr>
          <w:b/>
        </w:rPr>
        <w:t>Act</w:t>
      </w:r>
      <w:r w:rsidR="009D2D4B">
        <w:t>)</w:t>
      </w:r>
      <w:r>
        <w:t xml:space="preserve"> prohibits mergers or acquisitions that would have the effect or be likely to have the effect of substantially lessening competition in a market. In assessing a proposed acquisition pursuant to section 50 of the Act, the ACCC considers the effects of the acquisition by comparing the likely future competitive environment post-acquisition if the acquisition proceeds (the “with” position) to the likely future competitive environment if the acquisition does not proceed (the “without” position) to determine whether the proposed acquisition is likely to substantially lessen competition in any relevant market.</w:t>
      </w:r>
    </w:p>
    <w:p w:rsidR="00F535D8" w:rsidRDefault="00F535D8" w:rsidP="008956B4">
      <w:pPr>
        <w:pStyle w:val="NormalParagraph"/>
      </w:pPr>
      <w:r>
        <w:t>On the basis of the information available to it, the ACCC considers</w:t>
      </w:r>
      <w:r w:rsidR="002342D0">
        <w:t xml:space="preserve"> that</w:t>
      </w:r>
      <w:r>
        <w:t>:</w:t>
      </w:r>
    </w:p>
    <w:p w:rsidR="00F535D8" w:rsidRDefault="00F535D8" w:rsidP="008956B4">
      <w:pPr>
        <w:pStyle w:val="NormalParagraph"/>
        <w:numPr>
          <w:ilvl w:val="1"/>
          <w:numId w:val="2"/>
        </w:numPr>
      </w:pPr>
      <w:r>
        <w:t xml:space="preserve">In the future with the proposed acquisition, </w:t>
      </w:r>
      <w:r w:rsidR="00491FB0">
        <w:t xml:space="preserve">the Reef Casino and the </w:t>
      </w:r>
      <w:proofErr w:type="spellStart"/>
      <w:r w:rsidR="00491FB0">
        <w:t>Aquis</w:t>
      </w:r>
      <w:proofErr w:type="spellEnd"/>
      <w:r w:rsidR="00491FB0">
        <w:t xml:space="preserve"> Resort (if the </w:t>
      </w:r>
      <w:r w:rsidR="00D07BFA">
        <w:t xml:space="preserve">development of the </w:t>
      </w:r>
      <w:r w:rsidR="00491FB0">
        <w:t>resort proceeds) would operate under common ownership</w:t>
      </w:r>
    </w:p>
    <w:p w:rsidR="00491FB0" w:rsidRDefault="00491FB0" w:rsidP="008956B4">
      <w:pPr>
        <w:pStyle w:val="NormalParagraph"/>
        <w:numPr>
          <w:ilvl w:val="1"/>
          <w:numId w:val="2"/>
        </w:numPr>
      </w:pPr>
      <w:r>
        <w:t xml:space="preserve">In the future without the proposed acquisition, the Reef Casino is likely to continue operating under its current ownership (or </w:t>
      </w:r>
      <w:r w:rsidR="00195C7B">
        <w:t xml:space="preserve">under the ownership of </w:t>
      </w:r>
      <w:r>
        <w:t xml:space="preserve">an alternative purchaser), </w:t>
      </w:r>
      <w:r w:rsidR="009363BD">
        <w:t xml:space="preserve">regardless of </w:t>
      </w:r>
      <w:r>
        <w:t xml:space="preserve">whether the </w:t>
      </w:r>
      <w:proofErr w:type="spellStart"/>
      <w:r>
        <w:t>Aquis</w:t>
      </w:r>
      <w:proofErr w:type="spellEnd"/>
      <w:r>
        <w:t xml:space="preserve"> Resort proceeds.</w:t>
      </w:r>
    </w:p>
    <w:p w:rsidR="00CB7604" w:rsidRDefault="00CB7604" w:rsidP="00FD2789">
      <w:pPr>
        <w:pStyle w:val="Heading4"/>
      </w:pPr>
      <w:r>
        <w:t>The Reef Casino</w:t>
      </w:r>
    </w:p>
    <w:p w:rsidR="005224F1" w:rsidRDefault="00AF7A45" w:rsidP="005A0016">
      <w:pPr>
        <w:pStyle w:val="Numbered"/>
        <w:rPr>
          <w:lang w:eastAsia="en-AU"/>
        </w:rPr>
      </w:pPr>
      <w:r w:rsidRPr="00AF7A45">
        <w:rPr>
          <w:lang w:eastAsia="en-AU"/>
        </w:rPr>
        <w:t>The ACCC’s preliminary view is that</w:t>
      </w:r>
      <w:r w:rsidR="00E71B84">
        <w:rPr>
          <w:lang w:eastAsia="en-AU"/>
        </w:rPr>
        <w:t xml:space="preserve"> </w:t>
      </w:r>
      <w:r w:rsidR="00A87D5B">
        <w:rPr>
          <w:lang w:eastAsia="en-AU"/>
        </w:rPr>
        <w:t xml:space="preserve">without </w:t>
      </w:r>
      <w:r w:rsidRPr="00AF7A45">
        <w:rPr>
          <w:lang w:eastAsia="en-AU"/>
        </w:rPr>
        <w:t xml:space="preserve">the proposed acquisition </w:t>
      </w:r>
      <w:r w:rsidR="00491ED8" w:rsidRPr="00491ED8">
        <w:rPr>
          <w:lang w:eastAsia="en-AU"/>
        </w:rPr>
        <w:t xml:space="preserve">the Reef Casino would </w:t>
      </w:r>
      <w:r w:rsidR="006C6272">
        <w:rPr>
          <w:lang w:eastAsia="en-AU"/>
        </w:rPr>
        <w:t xml:space="preserve">be </w:t>
      </w:r>
      <w:r w:rsidR="00491ED8">
        <w:rPr>
          <w:lang w:eastAsia="en-AU"/>
        </w:rPr>
        <w:t xml:space="preserve">likely </w:t>
      </w:r>
      <w:r w:rsidR="006C6272">
        <w:rPr>
          <w:lang w:eastAsia="en-AU"/>
        </w:rPr>
        <w:t xml:space="preserve">to </w:t>
      </w:r>
      <w:r w:rsidR="00491ED8" w:rsidRPr="00491ED8">
        <w:rPr>
          <w:lang w:eastAsia="en-AU"/>
        </w:rPr>
        <w:t xml:space="preserve">continue to operate </w:t>
      </w:r>
      <w:bookmarkStart w:id="13" w:name="_Ref388450288"/>
      <w:r w:rsidR="00E71B84" w:rsidRPr="00E71B84">
        <w:rPr>
          <w:lang w:eastAsia="en-AU"/>
        </w:rPr>
        <w:t xml:space="preserve">either under </w:t>
      </w:r>
      <w:r w:rsidR="00E71B84">
        <w:rPr>
          <w:lang w:eastAsia="en-AU"/>
        </w:rPr>
        <w:t>its</w:t>
      </w:r>
      <w:r w:rsidR="00E71B84" w:rsidRPr="00E71B84">
        <w:rPr>
          <w:lang w:eastAsia="en-AU"/>
        </w:rPr>
        <w:t xml:space="preserve"> current ownership or under the ownership of another </w:t>
      </w:r>
      <w:r w:rsidR="00E71B84">
        <w:rPr>
          <w:lang w:eastAsia="en-AU"/>
        </w:rPr>
        <w:t>non-</w:t>
      </w:r>
      <w:proofErr w:type="spellStart"/>
      <w:r w:rsidR="00E71B84">
        <w:rPr>
          <w:lang w:eastAsia="en-AU"/>
        </w:rPr>
        <w:t>Aquis</w:t>
      </w:r>
      <w:proofErr w:type="spellEnd"/>
      <w:r w:rsidR="00E71B84">
        <w:rPr>
          <w:lang w:eastAsia="en-AU"/>
        </w:rPr>
        <w:t xml:space="preserve"> o</w:t>
      </w:r>
      <w:r w:rsidR="00E71B84" w:rsidRPr="00E71B84">
        <w:rPr>
          <w:lang w:eastAsia="en-AU"/>
        </w:rPr>
        <w:t>perator</w:t>
      </w:r>
      <w:r w:rsidR="00E71B84">
        <w:rPr>
          <w:lang w:eastAsia="en-AU"/>
        </w:rPr>
        <w:t>.</w:t>
      </w:r>
      <w:r w:rsidR="00D37054">
        <w:rPr>
          <w:lang w:eastAsia="en-AU"/>
        </w:rPr>
        <w:t xml:space="preserve"> </w:t>
      </w:r>
      <w:r w:rsidR="006766DA">
        <w:rPr>
          <w:lang w:eastAsia="en-AU"/>
        </w:rPr>
        <w:t xml:space="preserve">However the ACCC received submissions during the course of market inquiries suggesting that </w:t>
      </w:r>
      <w:r w:rsidR="006766DA">
        <w:rPr>
          <w:lang w:eastAsia="en-AU"/>
        </w:rPr>
        <w:lastRenderedPageBreak/>
        <w:t xml:space="preserve">Cairns could not sustain two commercially viable casinos. As a result of this material, the ACCC is considering the likely impact </w:t>
      </w:r>
      <w:r w:rsidR="006C6272">
        <w:rPr>
          <w:lang w:eastAsia="en-AU"/>
        </w:rPr>
        <w:t xml:space="preserve">of the </w:t>
      </w:r>
      <w:proofErr w:type="spellStart"/>
      <w:r w:rsidR="006C6272">
        <w:rPr>
          <w:lang w:eastAsia="en-AU"/>
        </w:rPr>
        <w:t>Aquis</w:t>
      </w:r>
      <w:proofErr w:type="spellEnd"/>
      <w:r w:rsidR="006C6272">
        <w:rPr>
          <w:lang w:eastAsia="en-AU"/>
        </w:rPr>
        <w:t xml:space="preserve"> Resort </w:t>
      </w:r>
      <w:r w:rsidR="006766DA">
        <w:rPr>
          <w:lang w:eastAsia="en-AU"/>
        </w:rPr>
        <w:t>on the Reef Casino’s ongoing viability.</w:t>
      </w:r>
    </w:p>
    <w:p w:rsidR="00852F4D" w:rsidRPr="0045466B" w:rsidRDefault="0045533B" w:rsidP="005A0016">
      <w:pPr>
        <w:pStyle w:val="commentbox"/>
      </w:pPr>
      <w:r w:rsidRPr="00D90E6B">
        <w:t>The A</w:t>
      </w:r>
      <w:r w:rsidR="007D2C70">
        <w:t>C</w:t>
      </w:r>
      <w:r w:rsidRPr="00D90E6B">
        <w:t xml:space="preserve">CC invites comments from market participants on its preliminary </w:t>
      </w:r>
      <w:r w:rsidR="00F535D8">
        <w:t>view</w:t>
      </w:r>
      <w:r w:rsidR="00F535D8" w:rsidRPr="00D90E6B">
        <w:t xml:space="preserve"> </w:t>
      </w:r>
      <w:r w:rsidRPr="00D90E6B">
        <w:t xml:space="preserve">regarding the </w:t>
      </w:r>
      <w:r w:rsidR="00D90E6B" w:rsidRPr="00D90E6B">
        <w:t xml:space="preserve">operation and viability </w:t>
      </w:r>
      <w:r w:rsidRPr="00D90E6B">
        <w:t>of the Reef Casino if the proposed acquisition does not proceed</w:t>
      </w:r>
      <w:r w:rsidR="00D90E6B" w:rsidRPr="00D90E6B">
        <w:t xml:space="preserve">. In </w:t>
      </w:r>
      <w:r w:rsidR="0069590A">
        <w:t>commenting on these issues</w:t>
      </w:r>
      <w:r w:rsidR="00D90E6B" w:rsidRPr="00D90E6B">
        <w:t>, market participants may wish to co</w:t>
      </w:r>
      <w:r w:rsidR="0069590A">
        <w:t>nsider</w:t>
      </w:r>
      <w:r w:rsidR="00D90E6B" w:rsidRPr="0045466B">
        <w:t>:</w:t>
      </w:r>
    </w:p>
    <w:p w:rsidR="0045466B" w:rsidRPr="0045466B" w:rsidRDefault="0045466B" w:rsidP="008956B4">
      <w:pPr>
        <w:pStyle w:val="commentbox"/>
        <w:numPr>
          <w:ilvl w:val="0"/>
          <w:numId w:val="29"/>
        </w:numPr>
        <w:ind w:left="567" w:hanging="567"/>
      </w:pPr>
      <w:r w:rsidRPr="0045466B">
        <w:t>The Reef Casino’s current financial circumstances</w:t>
      </w:r>
    </w:p>
    <w:p w:rsidR="000603AB" w:rsidRPr="0045466B" w:rsidRDefault="000603AB" w:rsidP="008956B4">
      <w:pPr>
        <w:pStyle w:val="commentbox"/>
        <w:numPr>
          <w:ilvl w:val="0"/>
          <w:numId w:val="29"/>
        </w:numPr>
        <w:ind w:left="567" w:hanging="567"/>
      </w:pPr>
      <w:r w:rsidRPr="0045466B">
        <w:t>The types of customers that visit the Reef Casino, or that would visit the Reef Casino in the future</w:t>
      </w:r>
      <w:r w:rsidR="0045466B" w:rsidRPr="0045466B">
        <w:t xml:space="preserve">, and whether those customers would </w:t>
      </w:r>
      <w:r w:rsidR="00F535D8" w:rsidRPr="0045466B">
        <w:t xml:space="preserve">instead </w:t>
      </w:r>
      <w:r w:rsidR="0045466B" w:rsidRPr="0045466B">
        <w:t xml:space="preserve">be likely to visit the </w:t>
      </w:r>
      <w:proofErr w:type="spellStart"/>
      <w:r w:rsidR="0045466B" w:rsidRPr="0045466B">
        <w:t>Aquis</w:t>
      </w:r>
      <w:proofErr w:type="spellEnd"/>
      <w:r w:rsidR="0045466B" w:rsidRPr="0045466B">
        <w:t xml:space="preserve"> Resort once it opened</w:t>
      </w:r>
    </w:p>
    <w:p w:rsidR="000603AB" w:rsidRPr="0045466B" w:rsidRDefault="0045466B" w:rsidP="008956B4">
      <w:pPr>
        <w:pStyle w:val="commentbox"/>
        <w:numPr>
          <w:ilvl w:val="0"/>
          <w:numId w:val="29"/>
        </w:numPr>
        <w:ind w:left="567" w:hanging="567"/>
      </w:pPr>
      <w:r w:rsidRPr="0045466B">
        <w:t xml:space="preserve">The population of Cairns, the </w:t>
      </w:r>
      <w:r w:rsidR="006920FA">
        <w:t xml:space="preserve">expected </w:t>
      </w:r>
      <w:r w:rsidRPr="0045466B">
        <w:t xml:space="preserve">number of tourists that would travel to Cairns in the future if the </w:t>
      </w:r>
      <w:proofErr w:type="spellStart"/>
      <w:r w:rsidRPr="0045466B">
        <w:t>Aquis</w:t>
      </w:r>
      <w:proofErr w:type="spellEnd"/>
      <w:r w:rsidRPr="0045466B">
        <w:t xml:space="preserve"> Resort </w:t>
      </w:r>
      <w:r w:rsidR="00F535D8">
        <w:t>were</w:t>
      </w:r>
      <w:r w:rsidR="00F535D8" w:rsidRPr="0045466B">
        <w:t xml:space="preserve"> </w:t>
      </w:r>
      <w:r w:rsidRPr="0045466B">
        <w:t>developed</w:t>
      </w:r>
      <w:r w:rsidR="00F535D8">
        <w:t>,</w:t>
      </w:r>
      <w:r w:rsidR="006C6272">
        <w:t xml:space="preserve"> and </w:t>
      </w:r>
      <w:r w:rsidR="00F535D8">
        <w:t xml:space="preserve">how many of those tourists would be likely to visit </w:t>
      </w:r>
      <w:r w:rsidR="006C6272">
        <w:t>the Reef Casino</w:t>
      </w:r>
      <w:r w:rsidR="009363BD">
        <w:t>.</w:t>
      </w:r>
    </w:p>
    <w:p w:rsidR="006766DA" w:rsidRDefault="00924FA2" w:rsidP="00FD2789">
      <w:pPr>
        <w:pStyle w:val="Heading4"/>
      </w:pPr>
      <w:r>
        <w:t xml:space="preserve">The </w:t>
      </w:r>
      <w:proofErr w:type="spellStart"/>
      <w:r>
        <w:t>Aquis</w:t>
      </w:r>
      <w:proofErr w:type="spellEnd"/>
      <w:r>
        <w:t xml:space="preserve"> Resort</w:t>
      </w:r>
    </w:p>
    <w:bookmarkEnd w:id="13"/>
    <w:p w:rsidR="002C2124" w:rsidRDefault="00BD4211" w:rsidP="008956B4">
      <w:pPr>
        <w:pStyle w:val="Numbered"/>
        <w:rPr>
          <w:lang w:eastAsia="en-AU"/>
        </w:rPr>
      </w:pPr>
      <w:r>
        <w:rPr>
          <w:lang w:eastAsia="en-AU"/>
        </w:rPr>
        <w:t xml:space="preserve">Before the </w:t>
      </w:r>
      <w:proofErr w:type="spellStart"/>
      <w:r>
        <w:rPr>
          <w:lang w:eastAsia="en-AU"/>
        </w:rPr>
        <w:t>Aquis</w:t>
      </w:r>
      <w:proofErr w:type="spellEnd"/>
      <w:r>
        <w:rPr>
          <w:lang w:eastAsia="en-AU"/>
        </w:rPr>
        <w:t xml:space="preserve"> Resort can be developed, it needs to obtain various regulatory approvals, including</w:t>
      </w:r>
      <w:r w:rsidR="002C2124">
        <w:rPr>
          <w:lang w:eastAsia="en-AU"/>
        </w:rPr>
        <w:t>:</w:t>
      </w:r>
    </w:p>
    <w:p w:rsidR="002C2124" w:rsidRDefault="008D76B6" w:rsidP="008956B4">
      <w:pPr>
        <w:pStyle w:val="abc"/>
        <w:numPr>
          <w:ilvl w:val="0"/>
          <w:numId w:val="55"/>
        </w:numPr>
      </w:pPr>
      <w:r>
        <w:t>A</w:t>
      </w:r>
      <w:r w:rsidR="002342D0">
        <w:t xml:space="preserve"> </w:t>
      </w:r>
      <w:r w:rsidR="00BD4211">
        <w:t>casino licence from the Queensland Government</w:t>
      </w:r>
      <w:r w:rsidR="002C2124">
        <w:t xml:space="preserve"> as part of its bid process</w:t>
      </w:r>
    </w:p>
    <w:p w:rsidR="002C2124" w:rsidRDefault="008D76B6" w:rsidP="008956B4">
      <w:pPr>
        <w:pStyle w:val="abc"/>
      </w:pPr>
      <w:r>
        <w:t>V</w:t>
      </w:r>
      <w:r w:rsidR="002342D0">
        <w:t xml:space="preserve">arious </w:t>
      </w:r>
      <w:r w:rsidR="00BD4211">
        <w:t xml:space="preserve">probity and other regulatory approvals relating to the resort from the </w:t>
      </w:r>
      <w:r w:rsidR="008712C2">
        <w:t>Queensland Office of Liquor and Gaming Regulation</w:t>
      </w:r>
    </w:p>
    <w:p w:rsidR="002C2124" w:rsidRDefault="002C2124" w:rsidP="008956B4">
      <w:pPr>
        <w:pStyle w:val="abc"/>
      </w:pPr>
      <w:r>
        <w:t>E</w:t>
      </w:r>
      <w:r w:rsidR="008712C2" w:rsidRPr="008712C2">
        <w:t>nvironmental approvals from state and federal governments</w:t>
      </w:r>
    </w:p>
    <w:p w:rsidR="00BD4211" w:rsidRDefault="002C2124" w:rsidP="008956B4">
      <w:pPr>
        <w:pStyle w:val="abc"/>
      </w:pPr>
      <w:r>
        <w:t>L</w:t>
      </w:r>
      <w:r w:rsidR="008712C2" w:rsidRPr="008712C2">
        <w:t>ocal planning approvals</w:t>
      </w:r>
      <w:r>
        <w:t>.</w:t>
      </w:r>
    </w:p>
    <w:p w:rsidR="00C3329D" w:rsidRDefault="00075D57" w:rsidP="008956B4">
      <w:pPr>
        <w:pStyle w:val="Numbered"/>
        <w:rPr>
          <w:lang w:eastAsia="en-AU"/>
        </w:rPr>
      </w:pPr>
      <w:r>
        <w:rPr>
          <w:lang w:eastAsia="en-AU"/>
        </w:rPr>
        <w:t>The</w:t>
      </w:r>
      <w:r w:rsidR="0055372B">
        <w:rPr>
          <w:lang w:eastAsia="en-AU"/>
        </w:rPr>
        <w:t xml:space="preserve"> </w:t>
      </w:r>
      <w:r w:rsidR="00333189">
        <w:rPr>
          <w:lang w:eastAsia="en-AU"/>
        </w:rPr>
        <w:t xml:space="preserve">ACCC </w:t>
      </w:r>
      <w:r>
        <w:rPr>
          <w:lang w:eastAsia="en-AU"/>
        </w:rPr>
        <w:t xml:space="preserve">notes there is a degree of </w:t>
      </w:r>
      <w:r w:rsidR="00333189">
        <w:rPr>
          <w:lang w:eastAsia="en-AU"/>
        </w:rPr>
        <w:t xml:space="preserve">uncertainty inherent in the </w:t>
      </w:r>
      <w:proofErr w:type="spellStart"/>
      <w:r w:rsidR="0055372B">
        <w:rPr>
          <w:lang w:eastAsia="en-AU"/>
        </w:rPr>
        <w:t>Aquis</w:t>
      </w:r>
      <w:proofErr w:type="spellEnd"/>
      <w:r w:rsidR="0055372B">
        <w:rPr>
          <w:lang w:eastAsia="en-AU"/>
        </w:rPr>
        <w:t xml:space="preserve"> Resort </w:t>
      </w:r>
      <w:r w:rsidR="00333189">
        <w:rPr>
          <w:lang w:eastAsia="en-AU"/>
        </w:rPr>
        <w:t xml:space="preserve">proposal. </w:t>
      </w:r>
      <w:r>
        <w:rPr>
          <w:lang w:eastAsia="en-AU"/>
        </w:rPr>
        <w:t>T</w:t>
      </w:r>
      <w:r w:rsidR="00333189">
        <w:rPr>
          <w:lang w:eastAsia="en-AU"/>
        </w:rPr>
        <w:t xml:space="preserve">he </w:t>
      </w:r>
      <w:proofErr w:type="spellStart"/>
      <w:r w:rsidR="00333189">
        <w:rPr>
          <w:lang w:eastAsia="en-AU"/>
        </w:rPr>
        <w:t>Aquis</w:t>
      </w:r>
      <w:proofErr w:type="spellEnd"/>
      <w:r w:rsidR="00333189">
        <w:rPr>
          <w:lang w:eastAsia="en-AU"/>
        </w:rPr>
        <w:t xml:space="preserve"> Resort </w:t>
      </w:r>
      <w:r w:rsidR="0055372B">
        <w:rPr>
          <w:lang w:eastAsia="en-AU"/>
        </w:rPr>
        <w:t xml:space="preserve">would be of a scale that is unprecedented in Australia, and the viability </w:t>
      </w:r>
      <w:r w:rsidR="009331C2">
        <w:rPr>
          <w:lang w:eastAsia="en-AU"/>
        </w:rPr>
        <w:t xml:space="preserve">of </w:t>
      </w:r>
      <w:r w:rsidR="0055372B">
        <w:rPr>
          <w:lang w:eastAsia="en-AU"/>
        </w:rPr>
        <w:t xml:space="preserve">an ambitious project of this scale </w:t>
      </w:r>
      <w:r>
        <w:rPr>
          <w:lang w:eastAsia="en-AU"/>
        </w:rPr>
        <w:t xml:space="preserve">may be </w:t>
      </w:r>
      <w:r w:rsidR="00333189">
        <w:rPr>
          <w:lang w:eastAsia="en-AU"/>
        </w:rPr>
        <w:t xml:space="preserve">less certain than a smaller project would be. </w:t>
      </w:r>
      <w:r>
        <w:rPr>
          <w:lang w:eastAsia="en-AU"/>
        </w:rPr>
        <w:t xml:space="preserve">There is also some uncertainty as to whether wealthy Chinese patrons will visit the </w:t>
      </w:r>
      <w:proofErr w:type="spellStart"/>
      <w:r>
        <w:rPr>
          <w:lang w:eastAsia="en-AU"/>
        </w:rPr>
        <w:t>Aquis</w:t>
      </w:r>
      <w:proofErr w:type="spellEnd"/>
      <w:r>
        <w:rPr>
          <w:lang w:eastAsia="en-AU"/>
        </w:rPr>
        <w:t xml:space="preserve"> Resort in such numbers as </w:t>
      </w:r>
      <w:proofErr w:type="spellStart"/>
      <w:r>
        <w:rPr>
          <w:lang w:eastAsia="en-AU"/>
        </w:rPr>
        <w:t>Aquis</w:t>
      </w:r>
      <w:proofErr w:type="spellEnd"/>
      <w:r>
        <w:rPr>
          <w:lang w:eastAsia="en-AU"/>
        </w:rPr>
        <w:t xml:space="preserve"> hopes.</w:t>
      </w:r>
    </w:p>
    <w:p w:rsidR="00C3329D" w:rsidRDefault="00BD4211" w:rsidP="00712AB0">
      <w:pPr>
        <w:pStyle w:val="Numbered"/>
        <w:keepNext/>
        <w:rPr>
          <w:lang w:eastAsia="en-AU"/>
        </w:rPr>
      </w:pPr>
      <w:proofErr w:type="spellStart"/>
      <w:r>
        <w:rPr>
          <w:lang w:eastAsia="en-AU"/>
        </w:rPr>
        <w:t>Aquis</w:t>
      </w:r>
      <w:proofErr w:type="spellEnd"/>
      <w:r>
        <w:rPr>
          <w:lang w:eastAsia="en-AU"/>
        </w:rPr>
        <w:t xml:space="preserve"> </w:t>
      </w:r>
      <w:r w:rsidR="00C3329D">
        <w:rPr>
          <w:lang w:eastAsia="en-AU"/>
        </w:rPr>
        <w:t xml:space="preserve">has </w:t>
      </w:r>
      <w:r w:rsidR="00270BF4">
        <w:rPr>
          <w:lang w:eastAsia="en-AU"/>
        </w:rPr>
        <w:t xml:space="preserve">told the ACCC </w:t>
      </w:r>
      <w:r w:rsidR="00C3329D">
        <w:rPr>
          <w:lang w:eastAsia="en-AU"/>
        </w:rPr>
        <w:t xml:space="preserve">that the </w:t>
      </w:r>
      <w:proofErr w:type="spellStart"/>
      <w:r w:rsidR="00C3329D">
        <w:rPr>
          <w:lang w:eastAsia="en-AU"/>
        </w:rPr>
        <w:t>Aquis</w:t>
      </w:r>
      <w:proofErr w:type="spellEnd"/>
      <w:r w:rsidR="00C3329D">
        <w:rPr>
          <w:lang w:eastAsia="en-AU"/>
        </w:rPr>
        <w:t xml:space="preserve"> Resort will not be developed in the absence of the proposed acquisition, because:</w:t>
      </w:r>
    </w:p>
    <w:p w:rsidR="00C3329D" w:rsidRDefault="00C3329D" w:rsidP="008956B4">
      <w:pPr>
        <w:pStyle w:val="abc"/>
        <w:numPr>
          <w:ilvl w:val="0"/>
          <w:numId w:val="61"/>
        </w:numPr>
      </w:pPr>
      <w:proofErr w:type="spellStart"/>
      <w:r>
        <w:t>Aquis</w:t>
      </w:r>
      <w:proofErr w:type="spellEnd"/>
      <w:r>
        <w:t xml:space="preserve"> </w:t>
      </w:r>
      <w:r w:rsidR="00BD4211">
        <w:t>need</w:t>
      </w:r>
      <w:r>
        <w:t>s</w:t>
      </w:r>
      <w:r w:rsidR="00BD4211">
        <w:t xml:space="preserve"> to obtain finance for its resort - the </w:t>
      </w:r>
      <w:r w:rsidR="00C8365D">
        <w:t xml:space="preserve">first phase of the first stage of the </w:t>
      </w:r>
      <w:proofErr w:type="spellStart"/>
      <w:r w:rsidR="00C8365D">
        <w:t>Aquis</w:t>
      </w:r>
      <w:proofErr w:type="spellEnd"/>
      <w:r w:rsidR="00C8365D">
        <w:t xml:space="preserve"> Resort is estimated to cost approximately $4 billion to construct. </w:t>
      </w:r>
      <w:proofErr w:type="spellStart"/>
      <w:r w:rsidR="00C8365D">
        <w:t>Aquis</w:t>
      </w:r>
      <w:proofErr w:type="spellEnd"/>
      <w:r w:rsidR="00C8365D">
        <w:t xml:space="preserve"> has </w:t>
      </w:r>
      <w:r w:rsidR="00270BF4">
        <w:t>told</w:t>
      </w:r>
      <w:r w:rsidR="00C8365D">
        <w:t xml:space="preserve"> the </w:t>
      </w:r>
      <w:r w:rsidR="004E792A">
        <w:t xml:space="preserve">ACCC that </w:t>
      </w:r>
      <w:r w:rsidR="00C8365D">
        <w:t xml:space="preserve">it is unlikely to be able to raise sufficient funds </w:t>
      </w:r>
      <w:r w:rsidR="002E2536">
        <w:t xml:space="preserve">from debt and/or capital markets </w:t>
      </w:r>
      <w:r w:rsidR="00C8365D">
        <w:t xml:space="preserve">to construct the </w:t>
      </w:r>
      <w:proofErr w:type="spellStart"/>
      <w:r w:rsidR="00924FA2">
        <w:t>Aquis</w:t>
      </w:r>
      <w:proofErr w:type="spellEnd"/>
      <w:r w:rsidR="00924FA2">
        <w:t xml:space="preserve"> Resort</w:t>
      </w:r>
      <w:r w:rsidR="004E792A">
        <w:t xml:space="preserve"> in the absence of the proposed acquisition.</w:t>
      </w:r>
    </w:p>
    <w:p w:rsidR="004E792A" w:rsidRDefault="004E792A" w:rsidP="008956B4">
      <w:pPr>
        <w:pStyle w:val="abc"/>
        <w:numPr>
          <w:ilvl w:val="0"/>
          <w:numId w:val="61"/>
        </w:numPr>
      </w:pPr>
      <w:proofErr w:type="spellStart"/>
      <w:r>
        <w:t>Aquis</w:t>
      </w:r>
      <w:proofErr w:type="spellEnd"/>
      <w:r>
        <w:t xml:space="preserve"> </w:t>
      </w:r>
      <w:r w:rsidR="00C3329D">
        <w:t xml:space="preserve">needs </w:t>
      </w:r>
      <w:r>
        <w:t>to use the existing Reef Casino as a platform from which to develop its profile</w:t>
      </w:r>
      <w:r w:rsidR="00927137">
        <w:t xml:space="preserve"> with its intended customers (predominantly international VIPs)</w:t>
      </w:r>
      <w:r w:rsidR="00A32A9D">
        <w:t>, and train its workforce,</w:t>
      </w:r>
      <w:r>
        <w:t xml:space="preserve"> </w:t>
      </w:r>
      <w:r w:rsidR="00CE3D31">
        <w:t xml:space="preserve">while </w:t>
      </w:r>
      <w:r w:rsidR="00924FA2">
        <w:t xml:space="preserve">the </w:t>
      </w:r>
      <w:proofErr w:type="spellStart"/>
      <w:r w:rsidR="00924FA2">
        <w:t>Aquis</w:t>
      </w:r>
      <w:proofErr w:type="spellEnd"/>
      <w:r w:rsidR="00924FA2">
        <w:t xml:space="preserve"> Resort</w:t>
      </w:r>
      <w:r w:rsidR="00CE3D31">
        <w:t xml:space="preserve"> is being constructed.</w:t>
      </w:r>
    </w:p>
    <w:p w:rsidR="009C6DD7" w:rsidRDefault="00CE3D31" w:rsidP="008956B4">
      <w:pPr>
        <w:pStyle w:val="Numbered"/>
        <w:rPr>
          <w:lang w:eastAsia="en-AU"/>
        </w:rPr>
      </w:pPr>
      <w:r>
        <w:rPr>
          <w:lang w:eastAsia="en-AU"/>
        </w:rPr>
        <w:lastRenderedPageBreak/>
        <w:t>The ACCC’s preliminary view</w:t>
      </w:r>
      <w:r w:rsidR="00EA7E7B">
        <w:rPr>
          <w:lang w:eastAsia="en-AU"/>
        </w:rPr>
        <w:t>,</w:t>
      </w:r>
      <w:r>
        <w:rPr>
          <w:lang w:eastAsia="en-AU"/>
        </w:rPr>
        <w:t xml:space="preserve"> based on the information presently available</w:t>
      </w:r>
      <w:r w:rsidR="00EA7E7B">
        <w:rPr>
          <w:lang w:eastAsia="en-AU"/>
        </w:rPr>
        <w:t>,</w:t>
      </w:r>
      <w:r>
        <w:rPr>
          <w:lang w:eastAsia="en-AU"/>
        </w:rPr>
        <w:t xml:space="preserve"> is that </w:t>
      </w:r>
      <w:r w:rsidR="00924FA2">
        <w:rPr>
          <w:lang w:eastAsia="en-AU"/>
        </w:rPr>
        <w:t xml:space="preserve">the </w:t>
      </w:r>
      <w:proofErr w:type="spellStart"/>
      <w:r w:rsidR="00924FA2">
        <w:rPr>
          <w:lang w:eastAsia="en-AU"/>
        </w:rPr>
        <w:t>Aquis</w:t>
      </w:r>
      <w:proofErr w:type="spellEnd"/>
      <w:r w:rsidR="00924FA2">
        <w:rPr>
          <w:lang w:eastAsia="en-AU"/>
        </w:rPr>
        <w:t xml:space="preserve"> Resort</w:t>
      </w:r>
      <w:r>
        <w:rPr>
          <w:lang w:eastAsia="en-AU"/>
        </w:rPr>
        <w:t xml:space="preserve"> is likely to be developed </w:t>
      </w:r>
      <w:r w:rsidR="009C6DD7">
        <w:rPr>
          <w:lang w:eastAsia="en-AU"/>
        </w:rPr>
        <w:t>(in the sense of being a realistic commercial proposition)</w:t>
      </w:r>
      <w:r w:rsidR="00C85EF1">
        <w:rPr>
          <w:lang w:eastAsia="en-AU"/>
        </w:rPr>
        <w:t xml:space="preserve"> with or without the proposed acquisition</w:t>
      </w:r>
      <w:r>
        <w:rPr>
          <w:lang w:eastAsia="en-AU"/>
        </w:rPr>
        <w:t>.</w:t>
      </w:r>
      <w:r w:rsidR="00E84D6E">
        <w:rPr>
          <w:lang w:eastAsia="en-AU"/>
        </w:rPr>
        <w:t xml:space="preserve"> </w:t>
      </w:r>
      <w:r w:rsidR="009C6DD7">
        <w:rPr>
          <w:lang w:eastAsia="en-AU"/>
        </w:rPr>
        <w:t>In reaching this view, the ACCC has taken into account factors including that:</w:t>
      </w:r>
    </w:p>
    <w:p w:rsidR="009C6DD7" w:rsidRDefault="009C6DD7" w:rsidP="008956B4">
      <w:pPr>
        <w:pStyle w:val="abc"/>
        <w:numPr>
          <w:ilvl w:val="0"/>
          <w:numId w:val="57"/>
        </w:numPr>
      </w:pPr>
      <w:proofErr w:type="spellStart"/>
      <w:r>
        <w:t>Aquis</w:t>
      </w:r>
      <w:proofErr w:type="spellEnd"/>
      <w:r>
        <w:t xml:space="preserve"> is investing significant funds in the proposed development and clearly intends to build it, subject to regulatory approvals being received on commercial terms</w:t>
      </w:r>
      <w:r w:rsidR="00E51083">
        <w:t>.</w:t>
      </w:r>
    </w:p>
    <w:p w:rsidR="009C6DD7" w:rsidRDefault="009C6DD7" w:rsidP="008956B4">
      <w:pPr>
        <w:pStyle w:val="abc"/>
      </w:pPr>
      <w:proofErr w:type="spellStart"/>
      <w:r>
        <w:t>Aquis</w:t>
      </w:r>
      <w:proofErr w:type="spellEnd"/>
      <w:r>
        <w:t xml:space="preserve"> holds an option to acquire the land on which it plans to build the resort</w:t>
      </w:r>
      <w:r w:rsidR="00E51083">
        <w:t>.</w:t>
      </w:r>
    </w:p>
    <w:p w:rsidR="009C6DD7" w:rsidRDefault="009C6DD7" w:rsidP="008956B4">
      <w:pPr>
        <w:pStyle w:val="abc"/>
      </w:pPr>
      <w:r>
        <w:t xml:space="preserve">As discussed above at </w:t>
      </w:r>
      <w:r w:rsidR="002403E6">
        <w:t xml:space="preserve">paragraph </w:t>
      </w:r>
      <w:r w:rsidR="002403E6">
        <w:fldChar w:fldCharType="begin"/>
      </w:r>
      <w:r w:rsidR="002403E6">
        <w:instrText xml:space="preserve"> REF _Ref390414322 \r \h </w:instrText>
      </w:r>
      <w:r w:rsidR="002403E6">
        <w:fldChar w:fldCharType="separate"/>
      </w:r>
      <w:r w:rsidR="00C37665">
        <w:t>10</w:t>
      </w:r>
      <w:r w:rsidR="002403E6">
        <w:fldChar w:fldCharType="end"/>
      </w:r>
      <w:r>
        <w:t xml:space="preserve">, the Queensland Government has included the </w:t>
      </w:r>
      <w:proofErr w:type="spellStart"/>
      <w:r>
        <w:t>Aquis</w:t>
      </w:r>
      <w:proofErr w:type="spellEnd"/>
      <w:r>
        <w:t xml:space="preserve"> resort in a shortlist of two developments for the award of up to two casino licences as part of the Queensland Government bid process.</w:t>
      </w:r>
    </w:p>
    <w:p w:rsidR="009C6DD7" w:rsidRDefault="009C6DD7" w:rsidP="008956B4">
      <w:pPr>
        <w:pStyle w:val="abc"/>
      </w:pPr>
      <w:proofErr w:type="spellStart"/>
      <w:r>
        <w:t>Aquis</w:t>
      </w:r>
      <w:proofErr w:type="spellEnd"/>
      <w:r>
        <w:t xml:space="preserve"> has commenced the process of seeking regulatory approvals – it </w:t>
      </w:r>
      <w:r w:rsidR="007E7D16">
        <w:t>has released an Environmental Impact Statement for public consultation</w:t>
      </w:r>
      <w:r w:rsidR="00E51083">
        <w:t>.</w:t>
      </w:r>
      <w:r w:rsidR="007E7D16">
        <w:rPr>
          <w:rStyle w:val="FootnoteReference"/>
        </w:rPr>
        <w:footnoteReference w:id="8"/>
      </w:r>
    </w:p>
    <w:p w:rsidR="00E51083" w:rsidRDefault="00E51083" w:rsidP="008956B4">
      <w:pPr>
        <w:pStyle w:val="Numbered"/>
      </w:pPr>
      <w:r>
        <w:t xml:space="preserve">The ACCC understands that the proposed acquisition may provide </w:t>
      </w:r>
      <w:proofErr w:type="spellStart"/>
      <w:r>
        <w:t>Aquis</w:t>
      </w:r>
      <w:proofErr w:type="spellEnd"/>
      <w:r>
        <w:t xml:space="preserve"> with certain advantages in developing the </w:t>
      </w:r>
      <w:proofErr w:type="spellStart"/>
      <w:r>
        <w:t>Aquis</w:t>
      </w:r>
      <w:proofErr w:type="spellEnd"/>
      <w:r>
        <w:t xml:space="preserve"> Resort. However, the ACCC’s preliminary view is that the proposed acquisition is not necessarily essential to </w:t>
      </w:r>
      <w:proofErr w:type="spellStart"/>
      <w:r>
        <w:t>Aquis</w:t>
      </w:r>
      <w:proofErr w:type="spellEnd"/>
      <w:r>
        <w:t xml:space="preserve"> obtaining finance for the development of the resort, or the successful promotion and opening of the resort.</w:t>
      </w:r>
    </w:p>
    <w:p w:rsidR="00C2491C" w:rsidRPr="00550C1A" w:rsidRDefault="00C2491C" w:rsidP="00C2491C">
      <w:pPr>
        <w:pStyle w:val="commentbox"/>
      </w:pPr>
      <w:r w:rsidRPr="00550C1A">
        <w:t xml:space="preserve">The ACCC invites comments from market participants on its preliminary view regarding the likelihood of the </w:t>
      </w:r>
      <w:proofErr w:type="spellStart"/>
      <w:r w:rsidRPr="00550C1A">
        <w:t>Aquis</w:t>
      </w:r>
      <w:proofErr w:type="spellEnd"/>
      <w:r w:rsidRPr="00550C1A">
        <w:t xml:space="preserve"> Resort being developed. In particular, market participants may wish to comment on:</w:t>
      </w:r>
    </w:p>
    <w:p w:rsidR="00C2491C" w:rsidRPr="00550C1A" w:rsidRDefault="00C2491C" w:rsidP="00C2491C">
      <w:pPr>
        <w:pStyle w:val="Commentbox-question"/>
        <w:numPr>
          <w:ilvl w:val="0"/>
          <w:numId w:val="49"/>
        </w:numPr>
        <w:ind w:left="567" w:hanging="567"/>
      </w:pPr>
      <w:r w:rsidRPr="00550C1A">
        <w:t xml:space="preserve">The likelihood of the </w:t>
      </w:r>
      <w:proofErr w:type="spellStart"/>
      <w:r w:rsidRPr="00550C1A">
        <w:t>Aquis</w:t>
      </w:r>
      <w:proofErr w:type="spellEnd"/>
      <w:r w:rsidRPr="00550C1A">
        <w:t xml:space="preserve"> Resort receiving a casino licence as a result of the Queensland Government bid process, and the conditions on which any licence may be issued</w:t>
      </w:r>
    </w:p>
    <w:p w:rsidR="00C2491C" w:rsidRPr="00550C1A" w:rsidRDefault="00C2491C" w:rsidP="00C2491C">
      <w:pPr>
        <w:pStyle w:val="commentbox"/>
        <w:numPr>
          <w:ilvl w:val="0"/>
          <w:numId w:val="29"/>
        </w:numPr>
        <w:ind w:left="567" w:hanging="567"/>
      </w:pPr>
      <w:r w:rsidRPr="00550C1A">
        <w:t xml:space="preserve">Any commercial, legislative, economic, regulatory, demographic or other impediments to the </w:t>
      </w:r>
      <w:proofErr w:type="spellStart"/>
      <w:r w:rsidRPr="00550C1A">
        <w:t>Aquis</w:t>
      </w:r>
      <w:proofErr w:type="spellEnd"/>
      <w:r w:rsidRPr="00550C1A">
        <w:t xml:space="preserve"> Resort being developed</w:t>
      </w:r>
    </w:p>
    <w:p w:rsidR="00C2491C" w:rsidRPr="00550C1A" w:rsidRDefault="00C2491C" w:rsidP="00C2491C">
      <w:pPr>
        <w:pStyle w:val="commentbox"/>
        <w:numPr>
          <w:ilvl w:val="0"/>
          <w:numId w:val="29"/>
        </w:numPr>
        <w:ind w:left="567" w:hanging="567"/>
      </w:pPr>
      <w:r w:rsidRPr="00550C1A">
        <w:t xml:space="preserve">Whether and how the proposed acquisition might affect the likelihood of the </w:t>
      </w:r>
      <w:proofErr w:type="spellStart"/>
      <w:r w:rsidRPr="00550C1A">
        <w:t>Aquis</w:t>
      </w:r>
      <w:proofErr w:type="spellEnd"/>
      <w:r w:rsidRPr="00550C1A">
        <w:t xml:space="preserve"> Resort being developed, including but not limited to:</w:t>
      </w:r>
    </w:p>
    <w:p w:rsidR="00C2491C" w:rsidRPr="00550C1A" w:rsidRDefault="00C2491C" w:rsidP="00C2491C">
      <w:pPr>
        <w:pStyle w:val="commentbox"/>
        <w:ind w:left="1077" w:hanging="1077"/>
      </w:pPr>
      <w:r>
        <w:t xml:space="preserve">          a)    </w:t>
      </w:r>
      <w:r w:rsidRPr="00550C1A">
        <w:t xml:space="preserve">Whether </w:t>
      </w:r>
      <w:proofErr w:type="spellStart"/>
      <w:r w:rsidRPr="00550C1A">
        <w:t>Aquis</w:t>
      </w:r>
      <w:proofErr w:type="spellEnd"/>
      <w:r w:rsidRPr="00550C1A">
        <w:t xml:space="preserve"> would be able to secure finance (through debt and/or capital markets) to develop the </w:t>
      </w:r>
      <w:proofErr w:type="spellStart"/>
      <w:r w:rsidRPr="00550C1A">
        <w:t>Aquis</w:t>
      </w:r>
      <w:proofErr w:type="spellEnd"/>
      <w:r w:rsidRPr="00550C1A">
        <w:t xml:space="preserve"> Resort if it </w:t>
      </w:r>
      <w:r>
        <w:t>did</w:t>
      </w:r>
      <w:r w:rsidRPr="00550C1A">
        <w:t xml:space="preserve"> not acquire the Reef Casino</w:t>
      </w:r>
    </w:p>
    <w:p w:rsidR="00C2491C" w:rsidRDefault="00C2491C" w:rsidP="00C2491C">
      <w:pPr>
        <w:pStyle w:val="commentbox"/>
        <w:ind w:left="1077" w:hanging="1077"/>
      </w:pPr>
      <w:r>
        <w:t xml:space="preserve">          b)    </w:t>
      </w:r>
      <w:r w:rsidRPr="00550C1A">
        <w:t xml:space="preserve">Whether the </w:t>
      </w:r>
      <w:proofErr w:type="spellStart"/>
      <w:r w:rsidRPr="00550C1A">
        <w:t>Aquis</w:t>
      </w:r>
      <w:proofErr w:type="spellEnd"/>
      <w:r w:rsidRPr="00550C1A">
        <w:t xml:space="preserve"> Resort is likely to be commercially successful if it is not able to make use of the Reef Casino to </w:t>
      </w:r>
      <w:r>
        <w:t xml:space="preserve">help </w:t>
      </w:r>
      <w:r w:rsidRPr="00550C1A">
        <w:t xml:space="preserve">develop an international profile and experienced workforce while the </w:t>
      </w:r>
      <w:proofErr w:type="spellStart"/>
      <w:r w:rsidRPr="00550C1A">
        <w:t>Aquis</w:t>
      </w:r>
      <w:proofErr w:type="spellEnd"/>
      <w:r w:rsidRPr="00550C1A">
        <w:t xml:space="preserve"> Resort is being constructed.</w:t>
      </w:r>
    </w:p>
    <w:p w:rsidR="00927137" w:rsidRDefault="00927137" w:rsidP="008956B4">
      <w:pPr>
        <w:pStyle w:val="Heading3"/>
      </w:pPr>
      <w:r>
        <w:lastRenderedPageBreak/>
        <w:t>Industry background</w:t>
      </w:r>
    </w:p>
    <w:p w:rsidR="000F132D" w:rsidRPr="00885FEB" w:rsidRDefault="000F132D" w:rsidP="00FD2789">
      <w:pPr>
        <w:pStyle w:val="Heading4"/>
        <w:rPr>
          <w:rFonts w:eastAsia="Calibri"/>
        </w:rPr>
      </w:pPr>
      <w:r w:rsidRPr="00BA5E70">
        <w:rPr>
          <w:rFonts w:eastAsia="Calibri"/>
        </w:rPr>
        <w:t xml:space="preserve">Types </w:t>
      </w:r>
      <w:r w:rsidRPr="00885FEB">
        <w:rPr>
          <w:rFonts w:eastAsia="Calibri"/>
        </w:rPr>
        <w:t>of customers</w:t>
      </w:r>
    </w:p>
    <w:p w:rsidR="00DD672B" w:rsidRPr="00885FEB" w:rsidRDefault="00DD672B" w:rsidP="008956B4">
      <w:pPr>
        <w:pStyle w:val="Numbered"/>
        <w:rPr>
          <w:b/>
        </w:rPr>
      </w:pPr>
      <w:bookmarkStart w:id="14" w:name="_Ref389750149"/>
      <w:bookmarkStart w:id="15" w:name="_Ref388519562"/>
      <w:r w:rsidRPr="00885FEB">
        <w:t xml:space="preserve">Casinos typically distinguish between lower stake customers </w:t>
      </w:r>
      <w:r w:rsidR="00FB7040" w:rsidRPr="00885FEB">
        <w:t xml:space="preserve">(typically </w:t>
      </w:r>
      <w:r w:rsidR="00FB7040">
        <w:t xml:space="preserve">from </w:t>
      </w:r>
      <w:r w:rsidR="00FB7040" w:rsidRPr="00885FEB">
        <w:t>average or lower income</w:t>
      </w:r>
      <w:r w:rsidR="00FB7040">
        <w:t xml:space="preserve"> levels</w:t>
      </w:r>
      <w:r w:rsidR="00FB7040" w:rsidRPr="00885FEB">
        <w:t>)</w:t>
      </w:r>
      <w:r w:rsidR="00FB7040">
        <w:t xml:space="preserve"> </w:t>
      </w:r>
      <w:r w:rsidRPr="00885FEB">
        <w:t>and various levels of more affluent customers</w:t>
      </w:r>
      <w:r w:rsidR="002F38DF">
        <w:t xml:space="preserve"> who gamble at higher stake levels</w:t>
      </w:r>
      <w:r w:rsidRPr="00885FEB">
        <w:t xml:space="preserve">. For </w:t>
      </w:r>
      <w:r w:rsidR="00AB5905" w:rsidRPr="0066619D">
        <w:t>this Statement of Issues, the ACCC</w:t>
      </w:r>
      <w:r w:rsidRPr="00885FEB">
        <w:t xml:space="preserve"> use</w:t>
      </w:r>
      <w:r w:rsidR="00AB5905" w:rsidRPr="0066619D">
        <w:t>s</w:t>
      </w:r>
      <w:r w:rsidRPr="00885FEB">
        <w:t xml:space="preserve"> the following terminology:</w:t>
      </w:r>
      <w:bookmarkEnd w:id="14"/>
    </w:p>
    <w:p w:rsidR="003B299D" w:rsidRDefault="00AB5905" w:rsidP="008956B4">
      <w:pPr>
        <w:pStyle w:val="abc"/>
        <w:numPr>
          <w:ilvl w:val="0"/>
          <w:numId w:val="31"/>
        </w:numPr>
      </w:pPr>
      <w:r w:rsidRPr="0066619D">
        <w:rPr>
          <w:b/>
        </w:rPr>
        <w:t>VIP customers</w:t>
      </w:r>
      <w:r w:rsidRPr="0066619D">
        <w:t xml:space="preserve"> are customers that receive a valuable incentive to gamble with a casino </w:t>
      </w:r>
      <w:r w:rsidRPr="00C01FCA">
        <w:t>such as compl</w:t>
      </w:r>
      <w:r w:rsidR="00504DCA">
        <w:t>i</w:t>
      </w:r>
      <w:r w:rsidRPr="00C01FCA">
        <w:t>mentary accommodation, compl</w:t>
      </w:r>
      <w:r w:rsidR="00504DCA">
        <w:t>i</w:t>
      </w:r>
      <w:r w:rsidRPr="00C01FCA">
        <w:t xml:space="preserve">mentary </w:t>
      </w:r>
      <w:r w:rsidR="008230BD">
        <w:t xml:space="preserve">domestic or international </w:t>
      </w:r>
      <w:r w:rsidRPr="00C01FCA">
        <w:t>airfares, and cash rebates for losses</w:t>
      </w:r>
      <w:r w:rsidR="00C01FCA" w:rsidRPr="00C01FCA">
        <w:t xml:space="preserve">. </w:t>
      </w:r>
      <w:r w:rsidR="003B299D">
        <w:t xml:space="preserve">VIP customers receive these incentives because of the amounts that they are </w:t>
      </w:r>
      <w:r w:rsidR="00716ADA">
        <w:t>willing to gamble at the casino;</w:t>
      </w:r>
      <w:r w:rsidR="003B299D">
        <w:t xml:space="preserve"> the greater the amount that the patron is willing to gamble, the more incentives they may receive. The ACCC understands that customers willing to place bets of $20,000 would be considered to be low-end VIPs, receiving relatively modest incentives.</w:t>
      </w:r>
    </w:p>
    <w:p w:rsidR="008C0F9A" w:rsidRDefault="00C01FCA" w:rsidP="00F8073F">
      <w:pPr>
        <w:pStyle w:val="abc"/>
        <w:numPr>
          <w:ilvl w:val="0"/>
          <w:numId w:val="0"/>
        </w:numPr>
        <w:ind w:left="1080"/>
      </w:pPr>
      <w:r w:rsidRPr="00C01FCA">
        <w:t xml:space="preserve">In addition to these incentives, casinos </w:t>
      </w:r>
      <w:r w:rsidRPr="0066619D">
        <w:t>also offer distinct VIP areas with higher monetary risk for table gaming for VIP customers.</w:t>
      </w:r>
    </w:p>
    <w:p w:rsidR="003B050C" w:rsidRDefault="00924FB3" w:rsidP="00F8073F">
      <w:pPr>
        <w:pStyle w:val="abc"/>
        <w:numPr>
          <w:ilvl w:val="0"/>
          <w:numId w:val="0"/>
        </w:numPr>
        <w:ind w:left="1080"/>
      </w:pPr>
      <w:r>
        <w:t>Other terms used in the industry to refer to customers of this type include ‘premium’ customers or ‘high-rollers’</w:t>
      </w:r>
      <w:r w:rsidR="008C0F9A">
        <w:t xml:space="preserve"> (for higher spending VIPs)</w:t>
      </w:r>
      <w:r>
        <w:t>.</w:t>
      </w:r>
      <w:r w:rsidR="003B050C" w:rsidRPr="003B050C">
        <w:t xml:space="preserve"> </w:t>
      </w:r>
    </w:p>
    <w:p w:rsidR="001A7318" w:rsidRPr="00810038" w:rsidRDefault="001A7318" w:rsidP="00F8073F">
      <w:pPr>
        <w:pStyle w:val="abc"/>
        <w:numPr>
          <w:ilvl w:val="0"/>
          <w:numId w:val="0"/>
        </w:numPr>
        <w:ind w:left="1080"/>
      </w:pPr>
      <w:r w:rsidRPr="00810038">
        <w:t xml:space="preserve">The ACCC understands that a significant proportion of the VIP customers that visit Australian casinos are not Australian residents. These customers </w:t>
      </w:r>
      <w:r w:rsidR="002125F0">
        <w:t xml:space="preserve">may </w:t>
      </w:r>
      <w:r w:rsidRPr="00810038">
        <w:t>travel to Australia for the express purpose of visiting a casino.</w:t>
      </w:r>
    </w:p>
    <w:p w:rsidR="001A7318" w:rsidRPr="00810038" w:rsidRDefault="001A7318" w:rsidP="00F8073F">
      <w:pPr>
        <w:pStyle w:val="abc"/>
        <w:numPr>
          <w:ilvl w:val="0"/>
          <w:numId w:val="0"/>
        </w:numPr>
        <w:ind w:left="1080"/>
      </w:pPr>
      <w:r w:rsidRPr="00810038">
        <w:t xml:space="preserve">A sophisticated industry of third-party </w:t>
      </w:r>
      <w:r w:rsidR="002F38DF">
        <w:t>“</w:t>
      </w:r>
      <w:r w:rsidRPr="00810038">
        <w:t>junket</w:t>
      </w:r>
      <w:r w:rsidR="002F38DF">
        <w:t>”</w:t>
      </w:r>
      <w:r w:rsidRPr="00810038">
        <w:t xml:space="preserve"> operators has evolved to facilitate interactions between VIP customers and casinos.</w:t>
      </w:r>
      <w:r w:rsidR="00810038">
        <w:t xml:space="preserve"> These </w:t>
      </w:r>
      <w:r w:rsidR="00AA1A68">
        <w:t xml:space="preserve">junket operators </w:t>
      </w:r>
      <w:r w:rsidR="00810038">
        <w:t>connect VIP customers with casinos,</w:t>
      </w:r>
      <w:r w:rsidR="002F38DF" w:rsidRPr="002F38DF">
        <w:t xml:space="preserve"> </w:t>
      </w:r>
      <w:r w:rsidR="002F38DF">
        <w:t xml:space="preserve">provide VIP customers with credit and handle debt collection, </w:t>
      </w:r>
      <w:r w:rsidR="00810038">
        <w:t>and provide other ancillary services to VIP customers, in return for a commission from casinos.</w:t>
      </w:r>
    </w:p>
    <w:p w:rsidR="00DD672B" w:rsidRPr="00885FEB" w:rsidRDefault="00AB5905" w:rsidP="008956B4">
      <w:pPr>
        <w:pStyle w:val="abc"/>
      </w:pPr>
      <w:r w:rsidRPr="0066619D">
        <w:t xml:space="preserve">Customers other than VIP customers </w:t>
      </w:r>
      <w:r w:rsidR="00DD672B" w:rsidRPr="00885FEB">
        <w:t xml:space="preserve">are referred to as </w:t>
      </w:r>
      <w:r w:rsidR="00924FB3">
        <w:rPr>
          <w:b/>
        </w:rPr>
        <w:t>mass</w:t>
      </w:r>
      <w:r w:rsidR="00DD672B" w:rsidRPr="00885FEB">
        <w:rPr>
          <w:b/>
        </w:rPr>
        <w:t xml:space="preserve"> customers</w:t>
      </w:r>
      <w:r w:rsidR="0095629D" w:rsidRPr="0066619D">
        <w:t>.</w:t>
      </w:r>
      <w:r w:rsidR="00924FB3">
        <w:t xml:space="preserve"> Other terms used in the industry to refer to customers of this type include ‘non-VIP’ or ‘grind’ customers.</w:t>
      </w:r>
    </w:p>
    <w:p w:rsidR="00603830" w:rsidRPr="0066619D" w:rsidRDefault="00AB5905" w:rsidP="008956B4">
      <w:pPr>
        <w:pStyle w:val="Numbered"/>
        <w:rPr>
          <w:b/>
        </w:rPr>
      </w:pPr>
      <w:r w:rsidRPr="0066619D">
        <w:t xml:space="preserve">While the ACCC has </w:t>
      </w:r>
      <w:r w:rsidR="00885FEB" w:rsidRPr="0066619D">
        <w:t>adopted</w:t>
      </w:r>
      <w:r w:rsidRPr="0066619D">
        <w:t xml:space="preserve"> these terms </w:t>
      </w:r>
      <w:r w:rsidR="00885FEB" w:rsidRPr="0066619D">
        <w:t>based on i</w:t>
      </w:r>
      <w:r w:rsidRPr="0066619D">
        <w:t xml:space="preserve">ts understanding of industry usage, </w:t>
      </w:r>
      <w:r w:rsidR="00CD1BC7">
        <w:t>it notes that</w:t>
      </w:r>
      <w:r w:rsidR="00603830">
        <w:t xml:space="preserve"> </w:t>
      </w:r>
      <w:r w:rsidR="00DD672B" w:rsidRPr="00885FEB">
        <w:t>these are not standard terms</w:t>
      </w:r>
      <w:r w:rsidR="00A643E0">
        <w:t>,</w:t>
      </w:r>
      <w:r w:rsidR="00DD672B" w:rsidRPr="00885FEB">
        <w:t xml:space="preserve"> and </w:t>
      </w:r>
      <w:r w:rsidR="00A643E0">
        <w:t xml:space="preserve">terminology is </w:t>
      </w:r>
      <w:r w:rsidR="00DD672B" w:rsidRPr="00885FEB">
        <w:t>applied differentl</w:t>
      </w:r>
      <w:r w:rsidR="00CD1BC7">
        <w:t>y by different casino operators</w:t>
      </w:r>
      <w:r w:rsidR="00603830">
        <w:t xml:space="preserve">. Further, there may be significant differences between the amounts gambled by different customers within either of these categories. For example, </w:t>
      </w:r>
      <w:r w:rsidR="00016857">
        <w:t>‘</w:t>
      </w:r>
      <w:r w:rsidR="00924FB3">
        <w:t>mass</w:t>
      </w:r>
      <w:r w:rsidR="00603830">
        <w:t xml:space="preserve"> customers</w:t>
      </w:r>
      <w:r w:rsidR="00016857">
        <w:t>’</w:t>
      </w:r>
      <w:r w:rsidR="00603830">
        <w:t xml:space="preserve"> include</w:t>
      </w:r>
      <w:r w:rsidR="00875BD3">
        <w:t>s a wide spectrum of customers, ranging between</w:t>
      </w:r>
      <w:r w:rsidR="00603830">
        <w:t>:</w:t>
      </w:r>
    </w:p>
    <w:p w:rsidR="00603830" w:rsidRPr="0066619D" w:rsidRDefault="00603830" w:rsidP="008956B4">
      <w:pPr>
        <w:pStyle w:val="abc"/>
        <w:numPr>
          <w:ilvl w:val="0"/>
          <w:numId w:val="32"/>
        </w:numPr>
        <w:rPr>
          <w:b/>
        </w:rPr>
      </w:pPr>
      <w:bookmarkStart w:id="16" w:name="_Ref390355068"/>
      <w:r>
        <w:t>patrons making bets at or around the minimum table stakes</w:t>
      </w:r>
      <w:bookmarkEnd w:id="16"/>
      <w:r w:rsidR="009231E5">
        <w:t xml:space="preserve"> (</w:t>
      </w:r>
      <w:r w:rsidR="003F218A">
        <w:t xml:space="preserve">referred to in this Statement of Issues as </w:t>
      </w:r>
      <w:r w:rsidR="009231E5" w:rsidRPr="009231E5">
        <w:rPr>
          <w:b/>
        </w:rPr>
        <w:t>lower stake mass customers</w:t>
      </w:r>
      <w:r w:rsidR="009231E5">
        <w:t>)</w:t>
      </w:r>
    </w:p>
    <w:p w:rsidR="00016857" w:rsidRPr="003F218A" w:rsidRDefault="00603830" w:rsidP="008956B4">
      <w:pPr>
        <w:pStyle w:val="abc"/>
        <w:rPr>
          <w:b/>
        </w:rPr>
      </w:pPr>
      <w:bookmarkStart w:id="17" w:name="_Ref390355167"/>
      <w:proofErr w:type="gramStart"/>
      <w:r>
        <w:t>wealthy</w:t>
      </w:r>
      <w:proofErr w:type="gramEnd"/>
      <w:r>
        <w:t xml:space="preserve"> </w:t>
      </w:r>
      <w:r w:rsidR="00A060FF">
        <w:t>patrons</w:t>
      </w:r>
      <w:r>
        <w:t xml:space="preserve"> who are willing to bet thousands of dollars </w:t>
      </w:r>
      <w:r w:rsidR="00664FAE">
        <w:t>during a visit to a casino</w:t>
      </w:r>
      <w:r w:rsidR="00A643E0">
        <w:t>,</w:t>
      </w:r>
      <w:r>
        <w:t xml:space="preserve"> but are unwilling to bet the significantly larger amounts required to become VIPs</w:t>
      </w:r>
      <w:r w:rsidR="009231E5">
        <w:t xml:space="preserve"> (</w:t>
      </w:r>
      <w:r w:rsidR="008051DB">
        <w:t xml:space="preserve">referred to in this Statement of Issues as </w:t>
      </w:r>
      <w:r w:rsidR="009231E5" w:rsidRPr="009231E5">
        <w:rPr>
          <w:b/>
        </w:rPr>
        <w:t>higher stake mass customers</w:t>
      </w:r>
      <w:r w:rsidR="009231E5" w:rsidRPr="008956B4">
        <w:rPr>
          <w:b/>
        </w:rPr>
        <w:t>)</w:t>
      </w:r>
      <w:r w:rsidR="0095629D">
        <w:t>.</w:t>
      </w:r>
      <w:bookmarkEnd w:id="17"/>
    </w:p>
    <w:p w:rsidR="00AF6AE5" w:rsidRPr="00885FEB" w:rsidRDefault="00AF6AE5" w:rsidP="00FD2789">
      <w:pPr>
        <w:pStyle w:val="Heading4"/>
        <w:rPr>
          <w:rFonts w:eastAsia="Calibri"/>
        </w:rPr>
      </w:pPr>
      <w:r>
        <w:rPr>
          <w:rFonts w:eastAsia="Calibri"/>
        </w:rPr>
        <w:lastRenderedPageBreak/>
        <w:t>Legislative framework</w:t>
      </w:r>
    </w:p>
    <w:p w:rsidR="00705644" w:rsidRPr="003F218A" w:rsidRDefault="00AF6AE5" w:rsidP="003F218A">
      <w:pPr>
        <w:pStyle w:val="Numbered"/>
        <w:rPr>
          <w:b/>
        </w:rPr>
      </w:pPr>
      <w:bookmarkStart w:id="18" w:name="_Ref390418779"/>
      <w:r>
        <w:t xml:space="preserve">A casino can only be operated in Queensland with a licence issued by the Queensland Government in accordance with the requirements of the </w:t>
      </w:r>
      <w:r w:rsidRPr="006605E6">
        <w:rPr>
          <w:i/>
        </w:rPr>
        <w:t>Casino Control Act 1982</w:t>
      </w:r>
      <w:r>
        <w:t xml:space="preserve"> (Qld) (</w:t>
      </w:r>
      <w:r w:rsidRPr="006605E6">
        <w:rPr>
          <w:b/>
        </w:rPr>
        <w:t>Casino Control Act</w:t>
      </w:r>
      <w:r>
        <w:t>).</w:t>
      </w:r>
      <w:bookmarkEnd w:id="18"/>
      <w:r>
        <w:t xml:space="preserve"> </w:t>
      </w:r>
    </w:p>
    <w:p w:rsidR="00AF6AE5" w:rsidRDefault="00AF6AE5" w:rsidP="003F218A">
      <w:pPr>
        <w:pStyle w:val="Numbered"/>
      </w:pPr>
      <w:bookmarkStart w:id="19" w:name="_Ref390418789"/>
      <w:r>
        <w:t>Under the terms of the Casino Control Act, the Queensland Government has a broad discretion in deciding whether to issue a new casino licence and various statutory criteria must be satisfied by a potential licensee in order to qualify for a licence.</w:t>
      </w:r>
      <w:bookmarkEnd w:id="19"/>
    </w:p>
    <w:p w:rsidR="003F218A" w:rsidRDefault="00596430" w:rsidP="00151E24">
      <w:pPr>
        <w:pStyle w:val="Numbered"/>
      </w:pPr>
      <w:r>
        <w:rPr>
          <w:lang w:eastAsia="en-AU"/>
        </w:rPr>
        <w:t>By</w:t>
      </w:r>
      <w:r w:rsidR="00B430EB" w:rsidRPr="00895A5D">
        <w:rPr>
          <w:lang w:eastAsia="en-AU"/>
        </w:rPr>
        <w:t xml:space="preserve"> law only casinos can supply table games</w:t>
      </w:r>
      <w:r w:rsidR="00B430EB">
        <w:rPr>
          <w:lang w:eastAsia="en-AU"/>
        </w:rPr>
        <w:t>.</w:t>
      </w:r>
      <w:r w:rsidR="00B430EB" w:rsidRPr="00895A5D">
        <w:rPr>
          <w:rStyle w:val="FootnoteReference"/>
          <w:lang w:eastAsia="en-AU"/>
        </w:rPr>
        <w:footnoteReference w:id="9"/>
      </w:r>
      <w:r>
        <w:rPr>
          <w:lang w:eastAsia="en-AU"/>
        </w:rPr>
        <w:t xml:space="preserve"> </w:t>
      </w:r>
      <w:bookmarkStart w:id="20" w:name="_Ref390675014"/>
      <w:r w:rsidR="003F218A">
        <w:t xml:space="preserve">The Casino Control Act and </w:t>
      </w:r>
      <w:r w:rsidR="00151E24" w:rsidRPr="00596430">
        <w:rPr>
          <w:i/>
        </w:rPr>
        <w:t>Casino Gaming Rule</w:t>
      </w:r>
      <w:r w:rsidR="00151E24" w:rsidRPr="00516A1D">
        <w:rPr>
          <w:i/>
        </w:rPr>
        <w:t xml:space="preserve"> 2010</w:t>
      </w:r>
      <w:r w:rsidR="00151E24">
        <w:t xml:space="preserve"> together </w:t>
      </w:r>
      <w:r w:rsidR="003F218A">
        <w:t>set detailed rules for table games in casinos. These rules cover aspects including the play of each game, table setup and payouts for successful bets. The ACCC understands that these rules leave little scope for casinos to vary the payouts from table games.</w:t>
      </w:r>
      <w:bookmarkEnd w:id="20"/>
    </w:p>
    <w:p w:rsidR="006C5500" w:rsidRPr="0073667C" w:rsidRDefault="006C5500" w:rsidP="006C5500">
      <w:pPr>
        <w:pStyle w:val="Numbered"/>
      </w:pPr>
      <w:bookmarkStart w:id="21" w:name="_Ref391653503"/>
      <w:r>
        <w:t xml:space="preserve">By law </w:t>
      </w:r>
      <w:r w:rsidR="000E22C2">
        <w:t xml:space="preserve">operators of gaming machines must hold a licence </w:t>
      </w:r>
      <w:r>
        <w:t>issued by the Queensland Government.</w:t>
      </w:r>
      <w:r>
        <w:rPr>
          <w:rStyle w:val="FootnoteReference"/>
        </w:rPr>
        <w:footnoteReference w:id="10"/>
      </w:r>
      <w:r>
        <w:t xml:space="preserve"> The terms of the licence will state the maximum number of gaming machines allowed on the premises. Further, there </w:t>
      </w:r>
      <w:r w:rsidR="00570B8B">
        <w:t xml:space="preserve">is also a </w:t>
      </w:r>
      <w:r>
        <w:t xml:space="preserve">state-wide cap on the number of the total gaming machines in clubs </w:t>
      </w:r>
      <w:r w:rsidR="00570B8B">
        <w:t>in Queensland, and a separate state-wide cap on the number of total gaming machines</w:t>
      </w:r>
      <w:r>
        <w:t xml:space="preserve"> in hotels in Queensland. There is a legislative framework that allows for the </w:t>
      </w:r>
      <w:r w:rsidRPr="006C5500">
        <w:t xml:space="preserve">reallocation of gaming machine entitlements within </w:t>
      </w:r>
      <w:r>
        <w:t>each</w:t>
      </w:r>
      <w:r w:rsidRPr="006C5500">
        <w:t xml:space="preserve"> </w:t>
      </w:r>
      <w:r>
        <w:t>s</w:t>
      </w:r>
      <w:r w:rsidRPr="006C5500">
        <w:t>tate-wide cap</w:t>
      </w:r>
      <w:r>
        <w:t>.</w:t>
      </w:r>
      <w:bookmarkEnd w:id="21"/>
    </w:p>
    <w:p w:rsidR="0073667C" w:rsidRPr="00596430" w:rsidRDefault="0073667C" w:rsidP="00151E24">
      <w:pPr>
        <w:pStyle w:val="Numbered"/>
        <w:rPr>
          <w:b/>
        </w:rPr>
      </w:pPr>
      <w:r>
        <w:t>Gaming machines operated by casinos, hotels or clubs in Queensland must have an expected return to patrons through winnings of at least 85% of the total amount made in bets.</w:t>
      </w:r>
      <w:r>
        <w:rPr>
          <w:rStyle w:val="FootnoteReference"/>
        </w:rPr>
        <w:footnoteReference w:id="11"/>
      </w:r>
    </w:p>
    <w:bookmarkEnd w:id="15"/>
    <w:p w:rsidR="00194D5D" w:rsidRPr="001F7D64" w:rsidRDefault="00194D5D" w:rsidP="00A643E0">
      <w:pPr>
        <w:pStyle w:val="Heading3"/>
      </w:pPr>
      <w:r w:rsidRPr="001F7D64">
        <w:t>Areas of overlap</w:t>
      </w:r>
    </w:p>
    <w:p w:rsidR="009202B1" w:rsidRPr="00A3613E" w:rsidRDefault="00A43943" w:rsidP="00743015">
      <w:pPr>
        <w:pStyle w:val="NormalParagraph"/>
        <w:rPr>
          <w:lang w:eastAsia="en-AU"/>
        </w:rPr>
      </w:pPr>
      <w:r>
        <w:rPr>
          <w:lang w:eastAsia="en-AU"/>
        </w:rPr>
        <w:t xml:space="preserve">If the </w:t>
      </w:r>
      <w:proofErr w:type="spellStart"/>
      <w:r>
        <w:rPr>
          <w:lang w:eastAsia="en-AU"/>
        </w:rPr>
        <w:t>Aquis</w:t>
      </w:r>
      <w:proofErr w:type="spellEnd"/>
      <w:r>
        <w:rPr>
          <w:lang w:eastAsia="en-AU"/>
        </w:rPr>
        <w:t xml:space="preserve"> Resort is developed, it and t</w:t>
      </w:r>
      <w:r w:rsidR="00792AD5" w:rsidRPr="00A3613E">
        <w:rPr>
          <w:lang w:eastAsia="en-AU"/>
        </w:rPr>
        <w:t>h</w:t>
      </w:r>
      <w:r w:rsidR="009202B1" w:rsidRPr="00A3613E">
        <w:rPr>
          <w:lang w:eastAsia="en-AU"/>
        </w:rPr>
        <w:t>e Reef Casino</w:t>
      </w:r>
      <w:r w:rsidR="00504DCA">
        <w:rPr>
          <w:lang w:eastAsia="en-AU"/>
        </w:rPr>
        <w:t xml:space="preserve"> </w:t>
      </w:r>
      <w:r w:rsidR="0026764B">
        <w:rPr>
          <w:lang w:eastAsia="en-AU"/>
        </w:rPr>
        <w:t xml:space="preserve">will </w:t>
      </w:r>
      <w:r>
        <w:rPr>
          <w:lang w:eastAsia="en-AU"/>
        </w:rPr>
        <w:t xml:space="preserve">each </w:t>
      </w:r>
      <w:r w:rsidR="0026764B">
        <w:rPr>
          <w:lang w:eastAsia="en-AU"/>
        </w:rPr>
        <w:t>operate a</w:t>
      </w:r>
      <w:r w:rsidR="00792AD5" w:rsidRPr="00A3613E">
        <w:rPr>
          <w:lang w:eastAsia="en-AU"/>
        </w:rPr>
        <w:t xml:space="preserve"> </w:t>
      </w:r>
      <w:r w:rsidR="009202B1" w:rsidRPr="00A3613E">
        <w:rPr>
          <w:lang w:eastAsia="en-AU"/>
        </w:rPr>
        <w:t>casino in the Cairns region.</w:t>
      </w:r>
    </w:p>
    <w:p w:rsidR="00217129" w:rsidRPr="001F7D64" w:rsidRDefault="001F7D64" w:rsidP="00743015">
      <w:pPr>
        <w:pStyle w:val="Numbered"/>
        <w:rPr>
          <w:lang w:eastAsia="en-AU"/>
        </w:rPr>
      </w:pPr>
      <w:r w:rsidRPr="00A3613E">
        <w:t xml:space="preserve">They are also both expected to provide services such as </w:t>
      </w:r>
      <w:r w:rsidR="00217129" w:rsidRPr="001F7D64">
        <w:rPr>
          <w:lang w:eastAsia="en-AU"/>
        </w:rPr>
        <w:t xml:space="preserve">accommodation, </w:t>
      </w:r>
      <w:r w:rsidR="00570B8B">
        <w:rPr>
          <w:lang w:eastAsia="en-AU"/>
        </w:rPr>
        <w:t>and</w:t>
      </w:r>
      <w:r w:rsidR="00570B8B" w:rsidRPr="001F7D64">
        <w:rPr>
          <w:lang w:eastAsia="en-AU"/>
        </w:rPr>
        <w:t xml:space="preserve"> </w:t>
      </w:r>
      <w:r w:rsidR="00217129" w:rsidRPr="001F7D64">
        <w:rPr>
          <w:lang w:eastAsia="en-AU"/>
        </w:rPr>
        <w:t xml:space="preserve">other tourist related services (such as </w:t>
      </w:r>
      <w:r w:rsidR="002D56EB">
        <w:rPr>
          <w:lang w:eastAsia="en-AU"/>
        </w:rPr>
        <w:t xml:space="preserve">retail shops and </w:t>
      </w:r>
      <w:r w:rsidR="00217129" w:rsidRPr="001F7D64">
        <w:rPr>
          <w:lang w:eastAsia="en-AU"/>
        </w:rPr>
        <w:t xml:space="preserve">restaurants). </w:t>
      </w:r>
      <w:r w:rsidR="002F38DF">
        <w:rPr>
          <w:lang w:eastAsia="en-AU"/>
        </w:rPr>
        <w:t>However, t</w:t>
      </w:r>
      <w:r w:rsidR="00217129" w:rsidRPr="001F7D64">
        <w:rPr>
          <w:lang w:eastAsia="en-AU"/>
        </w:rPr>
        <w:t xml:space="preserve">he proposed acquisition is unlikely to have a substantial effect on </w:t>
      </w:r>
      <w:r w:rsidRPr="0066619D">
        <w:rPr>
          <w:lang w:eastAsia="en-AU"/>
        </w:rPr>
        <w:t xml:space="preserve">competition for the supply of these services </w:t>
      </w:r>
      <w:r w:rsidR="00217129" w:rsidRPr="001F7D64">
        <w:rPr>
          <w:lang w:eastAsia="en-AU"/>
        </w:rPr>
        <w:t xml:space="preserve">due to the large number of suppliers </w:t>
      </w:r>
      <w:r w:rsidR="007C6AE1">
        <w:rPr>
          <w:lang w:eastAsia="en-AU"/>
        </w:rPr>
        <w:t>of these services in the Cairns region</w:t>
      </w:r>
      <w:r w:rsidR="00217129" w:rsidRPr="001F7D64">
        <w:rPr>
          <w:lang w:eastAsia="en-AU"/>
        </w:rPr>
        <w:t>.</w:t>
      </w:r>
    </w:p>
    <w:p w:rsidR="00194D5D" w:rsidRDefault="00194D5D" w:rsidP="00EE4130">
      <w:pPr>
        <w:pStyle w:val="Heading3"/>
        <w:keepLines/>
      </w:pPr>
      <w:r w:rsidRPr="00A643E0">
        <w:lastRenderedPageBreak/>
        <w:t>Market</w:t>
      </w:r>
      <w:r>
        <w:t xml:space="preserve"> definition</w:t>
      </w:r>
    </w:p>
    <w:p w:rsidR="00F13D35" w:rsidRDefault="00DC2D83" w:rsidP="00507A4A">
      <w:pPr>
        <w:pStyle w:val="Numbered"/>
      </w:pPr>
      <w:r>
        <w:rPr>
          <w:lang w:eastAsia="en-AU"/>
        </w:rPr>
        <w:t>Based on its analysis to date, the ACCC</w:t>
      </w:r>
      <w:r w:rsidR="00F13D35">
        <w:rPr>
          <w:lang w:eastAsia="en-AU"/>
        </w:rPr>
        <w:t xml:space="preserve"> has considered the proposed acquisition in the context of </w:t>
      </w:r>
      <w:r w:rsidR="00BB3A3A">
        <w:rPr>
          <w:lang w:eastAsia="en-AU"/>
        </w:rPr>
        <w:t xml:space="preserve">a market for </w:t>
      </w:r>
      <w:r w:rsidR="00F13D35">
        <w:rPr>
          <w:lang w:eastAsia="en-AU"/>
        </w:rPr>
        <w:t>the supply of</w:t>
      </w:r>
      <w:r w:rsidR="00BB3A3A">
        <w:rPr>
          <w:lang w:eastAsia="en-AU"/>
        </w:rPr>
        <w:t xml:space="preserve"> casino services</w:t>
      </w:r>
      <w:r w:rsidR="00F13D35">
        <w:t>.</w:t>
      </w:r>
    </w:p>
    <w:p w:rsidR="009D1694" w:rsidRDefault="009D1694" w:rsidP="009D1694">
      <w:pPr>
        <w:pStyle w:val="Numbered"/>
        <w:rPr>
          <w:lang w:eastAsia="en-AU"/>
        </w:rPr>
      </w:pPr>
      <w:r w:rsidRPr="0066619D">
        <w:rPr>
          <w:lang w:eastAsia="en-AU"/>
        </w:rPr>
        <w:t xml:space="preserve">Australian casinos typically offer a combination of </w:t>
      </w:r>
      <w:r>
        <w:rPr>
          <w:lang w:eastAsia="en-AU"/>
        </w:rPr>
        <w:t xml:space="preserve">entertainment </w:t>
      </w:r>
      <w:r w:rsidRPr="0066619D">
        <w:rPr>
          <w:lang w:eastAsia="en-AU"/>
        </w:rPr>
        <w:t xml:space="preserve">services including </w:t>
      </w:r>
      <w:r w:rsidRPr="00F55757">
        <w:rPr>
          <w:lang w:eastAsia="en-AU"/>
        </w:rPr>
        <w:t xml:space="preserve">table games, </w:t>
      </w:r>
      <w:r>
        <w:rPr>
          <w:lang w:eastAsia="en-AU"/>
        </w:rPr>
        <w:t>gaming</w:t>
      </w:r>
      <w:r w:rsidRPr="00F55757">
        <w:rPr>
          <w:lang w:eastAsia="en-AU"/>
        </w:rPr>
        <w:t xml:space="preserve"> machines, </w:t>
      </w:r>
      <w:r>
        <w:rPr>
          <w:lang w:eastAsia="en-AU"/>
        </w:rPr>
        <w:t xml:space="preserve">live music and theatre, </w:t>
      </w:r>
      <w:r w:rsidRPr="00F55757">
        <w:rPr>
          <w:lang w:eastAsia="en-AU"/>
        </w:rPr>
        <w:t>food,</w:t>
      </w:r>
      <w:r>
        <w:rPr>
          <w:lang w:eastAsia="en-AU"/>
        </w:rPr>
        <w:t xml:space="preserve"> nightclubs</w:t>
      </w:r>
      <w:r w:rsidRPr="00F55757">
        <w:rPr>
          <w:lang w:eastAsia="en-AU"/>
        </w:rPr>
        <w:t xml:space="preserve"> and other ancillary services</w:t>
      </w:r>
      <w:r>
        <w:rPr>
          <w:lang w:eastAsia="en-AU"/>
        </w:rPr>
        <w:t xml:space="preserve"> (together, </w:t>
      </w:r>
      <w:r w:rsidRPr="001650E8">
        <w:rPr>
          <w:b/>
          <w:lang w:eastAsia="en-AU"/>
        </w:rPr>
        <w:t>casino services</w:t>
      </w:r>
      <w:r>
        <w:rPr>
          <w:lang w:eastAsia="en-AU"/>
        </w:rPr>
        <w:t>)</w:t>
      </w:r>
      <w:r w:rsidRPr="00F55757">
        <w:rPr>
          <w:lang w:eastAsia="en-AU"/>
        </w:rPr>
        <w:t xml:space="preserve">. </w:t>
      </w:r>
    </w:p>
    <w:p w:rsidR="002B558A" w:rsidRDefault="009D1694" w:rsidP="00507A4A">
      <w:pPr>
        <w:pStyle w:val="Numbered"/>
      </w:pPr>
      <w:r>
        <w:rPr>
          <w:lang w:eastAsia="en-AU"/>
        </w:rPr>
        <w:t xml:space="preserve">As noted above at paragraph </w:t>
      </w:r>
      <w:r>
        <w:rPr>
          <w:lang w:eastAsia="en-AU"/>
        </w:rPr>
        <w:fldChar w:fldCharType="begin"/>
      </w:r>
      <w:r>
        <w:rPr>
          <w:lang w:eastAsia="en-AU"/>
        </w:rPr>
        <w:instrText xml:space="preserve"> REF _Ref390675014 \r \h </w:instrText>
      </w:r>
      <w:r>
        <w:rPr>
          <w:lang w:eastAsia="en-AU"/>
        </w:rPr>
      </w:r>
      <w:r>
        <w:rPr>
          <w:lang w:eastAsia="en-AU"/>
        </w:rPr>
        <w:fldChar w:fldCharType="separate"/>
      </w:r>
      <w:r w:rsidR="00C37665">
        <w:rPr>
          <w:lang w:eastAsia="en-AU"/>
        </w:rPr>
        <w:t>38</w:t>
      </w:r>
      <w:r>
        <w:rPr>
          <w:lang w:eastAsia="en-AU"/>
        </w:rPr>
        <w:fldChar w:fldCharType="end"/>
      </w:r>
      <w:r>
        <w:rPr>
          <w:lang w:eastAsia="en-AU"/>
        </w:rPr>
        <w:t xml:space="preserve">, </w:t>
      </w:r>
      <w:r w:rsidRPr="00895A5D">
        <w:rPr>
          <w:lang w:eastAsia="en-AU"/>
        </w:rPr>
        <w:t>only casinos can supply table games</w:t>
      </w:r>
      <w:r>
        <w:rPr>
          <w:lang w:eastAsia="en-AU"/>
        </w:rPr>
        <w:t xml:space="preserve">. </w:t>
      </w:r>
      <w:r w:rsidR="00990457">
        <w:rPr>
          <w:lang w:eastAsia="en-AU"/>
        </w:rPr>
        <w:t>The</w:t>
      </w:r>
      <w:r w:rsidR="00990457" w:rsidRPr="00895A5D">
        <w:rPr>
          <w:lang w:eastAsia="en-AU"/>
        </w:rPr>
        <w:t xml:space="preserve"> </w:t>
      </w:r>
      <w:r w:rsidR="00990457">
        <w:rPr>
          <w:lang w:eastAsia="en-AU"/>
        </w:rPr>
        <w:t>ACCC understands</w:t>
      </w:r>
      <w:r w:rsidR="00990457" w:rsidRPr="00895A5D">
        <w:rPr>
          <w:lang w:eastAsia="en-AU"/>
        </w:rPr>
        <w:t xml:space="preserve"> that in general, table games offer a unique</w:t>
      </w:r>
      <w:r w:rsidR="00990457">
        <w:rPr>
          <w:lang w:eastAsia="en-AU"/>
        </w:rPr>
        <w:t>ly interactive</w:t>
      </w:r>
      <w:r w:rsidR="00990457" w:rsidRPr="00895A5D">
        <w:rPr>
          <w:lang w:eastAsia="en-AU"/>
        </w:rPr>
        <w:t xml:space="preserve"> </w:t>
      </w:r>
      <w:r w:rsidR="00990457">
        <w:rPr>
          <w:lang w:eastAsia="en-AU"/>
        </w:rPr>
        <w:t>gaming</w:t>
      </w:r>
      <w:r w:rsidR="00990457" w:rsidRPr="00895A5D">
        <w:rPr>
          <w:lang w:eastAsia="en-AU"/>
        </w:rPr>
        <w:t xml:space="preserve"> experience</w:t>
      </w:r>
      <w:r w:rsidR="00990457">
        <w:rPr>
          <w:lang w:eastAsia="en-AU"/>
        </w:rPr>
        <w:t xml:space="preserve"> that distinguishes them from gaming machines and other types of gambling</w:t>
      </w:r>
      <w:r w:rsidR="00990457" w:rsidRPr="00895A5D">
        <w:rPr>
          <w:lang w:eastAsia="en-AU"/>
        </w:rPr>
        <w:t>.</w:t>
      </w:r>
      <w:r w:rsidR="00990457">
        <w:rPr>
          <w:lang w:eastAsia="en-AU"/>
        </w:rPr>
        <w:t xml:space="preserve"> </w:t>
      </w:r>
      <w:r>
        <w:rPr>
          <w:lang w:eastAsia="en-AU"/>
        </w:rPr>
        <w:t>This exclusivity for table games means</w:t>
      </w:r>
      <w:r w:rsidR="002B558A">
        <w:rPr>
          <w:lang w:eastAsia="en-AU"/>
        </w:rPr>
        <w:t xml:space="preserve"> that while other venues may provide some of the same services as a casino, they are at best imperfect substitutes for casinos</w:t>
      </w:r>
      <w:r w:rsidR="004E0A41">
        <w:rPr>
          <w:lang w:eastAsia="en-AU"/>
        </w:rPr>
        <w:t xml:space="preserve">. For this reason, the ACCC’s preliminary view </w:t>
      </w:r>
      <w:r w:rsidR="002B558A">
        <w:rPr>
          <w:lang w:eastAsia="en-AU"/>
        </w:rPr>
        <w:t>is that there is a market for casino services.</w:t>
      </w:r>
    </w:p>
    <w:p w:rsidR="004E0A41" w:rsidRPr="00DE4A46" w:rsidRDefault="004E0A41" w:rsidP="00507A4A">
      <w:pPr>
        <w:pStyle w:val="Numbered"/>
      </w:pPr>
      <w:r w:rsidRPr="00DE4A46">
        <w:rPr>
          <w:lang w:eastAsia="en-AU"/>
        </w:rPr>
        <w:t>However, the ACCC is still considering whether competition between casinos and non-casino providers of gaming machines and entertainment is sufficiently strong such that they should be considered as part of the same market</w:t>
      </w:r>
      <w:r w:rsidR="00DE4A46" w:rsidRPr="00DE4A46">
        <w:rPr>
          <w:lang w:eastAsia="en-AU"/>
        </w:rPr>
        <w:t xml:space="preserve"> (e.g. a market for gambling and entertainment services that includes casinos and venues with gaming machines)</w:t>
      </w:r>
      <w:r w:rsidRPr="00DE4A46">
        <w:rPr>
          <w:lang w:eastAsia="en-AU"/>
        </w:rPr>
        <w:t xml:space="preserve">. </w:t>
      </w:r>
      <w:r w:rsidR="00DE4A46" w:rsidRPr="00DE4A46">
        <w:rPr>
          <w:lang w:eastAsia="en-AU"/>
        </w:rPr>
        <w:t>Alternatively, the ACCC is considering whether competition between casinos and other venues should be considered in the context of a narrower separate market for gaming machines.</w:t>
      </w:r>
    </w:p>
    <w:p w:rsidR="009D1694" w:rsidRPr="00DE4A46" w:rsidRDefault="004E0A41" w:rsidP="00507A4A">
      <w:pPr>
        <w:pStyle w:val="Numbered"/>
      </w:pPr>
      <w:r w:rsidRPr="00DE4A46">
        <w:t>Further</w:t>
      </w:r>
      <w:r w:rsidR="002B558A" w:rsidRPr="00DE4A46">
        <w:t>,</w:t>
      </w:r>
      <w:r w:rsidR="00990457" w:rsidRPr="00DE4A46">
        <w:t xml:space="preserve"> </w:t>
      </w:r>
      <w:r w:rsidR="003C365C" w:rsidRPr="00DE4A46">
        <w:t>the ACCC is</w:t>
      </w:r>
      <w:r w:rsidRPr="00DE4A46">
        <w:t xml:space="preserve"> </w:t>
      </w:r>
      <w:r w:rsidR="003C365C" w:rsidRPr="00DE4A46">
        <w:t xml:space="preserve">still considering whether </w:t>
      </w:r>
      <w:r w:rsidRPr="00DE4A46">
        <w:t xml:space="preserve">a market for casino services </w:t>
      </w:r>
      <w:r w:rsidR="003C365C" w:rsidRPr="00DE4A46">
        <w:t>should be further divided into separate markets according to the customer groups that attend casinos.</w:t>
      </w:r>
    </w:p>
    <w:p w:rsidR="004E0A41" w:rsidRDefault="004E0A41" w:rsidP="00507A4A">
      <w:pPr>
        <w:pStyle w:val="Numbered"/>
      </w:pPr>
      <w:r>
        <w:t xml:space="preserve">These issues are considered in further detail in paragraphs </w:t>
      </w:r>
      <w:r w:rsidR="00B366C6">
        <w:fldChar w:fldCharType="begin"/>
      </w:r>
      <w:r w:rsidR="00B366C6">
        <w:instrText xml:space="preserve"> REF _Ref392063496 \r \h </w:instrText>
      </w:r>
      <w:r w:rsidR="00B366C6">
        <w:fldChar w:fldCharType="separate"/>
      </w:r>
      <w:r w:rsidR="00C37665">
        <w:t>49</w:t>
      </w:r>
      <w:r w:rsidR="00B366C6">
        <w:fldChar w:fldCharType="end"/>
      </w:r>
      <w:r>
        <w:t xml:space="preserve"> to </w:t>
      </w:r>
      <w:r w:rsidR="001B02E0">
        <w:fldChar w:fldCharType="begin"/>
      </w:r>
      <w:r w:rsidR="001B02E0">
        <w:instrText xml:space="preserve"> REF _Ref390420300 \r \h </w:instrText>
      </w:r>
      <w:r w:rsidR="001B02E0">
        <w:fldChar w:fldCharType="separate"/>
      </w:r>
      <w:r w:rsidR="00C37665">
        <w:t>59</w:t>
      </w:r>
      <w:r w:rsidR="001B02E0">
        <w:fldChar w:fldCharType="end"/>
      </w:r>
      <w:r>
        <w:t xml:space="preserve"> below.</w:t>
      </w:r>
    </w:p>
    <w:p w:rsidR="000B5086" w:rsidRDefault="000B5086" w:rsidP="00FD2789">
      <w:pPr>
        <w:pStyle w:val="Heading4"/>
      </w:pPr>
      <w:r>
        <w:t xml:space="preserve">Product </w:t>
      </w:r>
      <w:r w:rsidR="00CF2B5D">
        <w:t>dimension</w:t>
      </w:r>
    </w:p>
    <w:p w:rsidR="000B5086" w:rsidRPr="00F55757" w:rsidRDefault="00FF52C7" w:rsidP="00011B4F">
      <w:pPr>
        <w:pStyle w:val="Heading5"/>
        <w:keepNext/>
      </w:pPr>
      <w:r>
        <w:t>Differences</w:t>
      </w:r>
      <w:r w:rsidRPr="00F55757">
        <w:t xml:space="preserve"> </w:t>
      </w:r>
      <w:r w:rsidR="000B5086" w:rsidRPr="00F55757">
        <w:t xml:space="preserve">between </w:t>
      </w:r>
      <w:r w:rsidR="00893F75">
        <w:t>table games</w:t>
      </w:r>
      <w:r w:rsidR="00893F75" w:rsidRPr="00F55757">
        <w:t xml:space="preserve"> </w:t>
      </w:r>
      <w:r w:rsidR="000B5086" w:rsidRPr="00F55757">
        <w:t xml:space="preserve">and </w:t>
      </w:r>
      <w:r w:rsidR="004111BE">
        <w:t>gaming machines</w:t>
      </w:r>
    </w:p>
    <w:p w:rsidR="00990457" w:rsidRDefault="00990457" w:rsidP="00743015">
      <w:pPr>
        <w:pStyle w:val="Numbered"/>
        <w:rPr>
          <w:lang w:eastAsia="en-AU"/>
        </w:rPr>
      </w:pPr>
      <w:bookmarkStart w:id="22" w:name="_Ref392063496"/>
      <w:r>
        <w:rPr>
          <w:lang w:eastAsia="en-AU"/>
        </w:rPr>
        <w:t>As described above, the ACCC understands that table games form a unique point of differentiation between casino services and the services provided by other non-casino venues with gaming machines.</w:t>
      </w:r>
      <w:r w:rsidR="008138B9">
        <w:rPr>
          <w:lang w:eastAsia="en-AU"/>
        </w:rPr>
        <w:t xml:space="preserve"> This is based on an understanding that most customers of casinos do not consider gaming machines to be a close substitute for table gaming.</w:t>
      </w:r>
      <w:bookmarkEnd w:id="22"/>
    </w:p>
    <w:p w:rsidR="008138B9" w:rsidRDefault="008138B9" w:rsidP="008138B9">
      <w:pPr>
        <w:pStyle w:val="commentbox"/>
      </w:pPr>
      <w:r w:rsidRPr="00A67478">
        <w:t>The ACCC invites comments from market participants on</w:t>
      </w:r>
      <w:r>
        <w:t xml:space="preserve"> w</w:t>
      </w:r>
      <w:r w:rsidRPr="00A67478">
        <w:t>hether and to what extent</w:t>
      </w:r>
      <w:r>
        <w:t xml:space="preserve"> mass </w:t>
      </w:r>
      <w:r w:rsidRPr="00A67478">
        <w:t xml:space="preserve">customers see </w:t>
      </w:r>
      <w:r>
        <w:t xml:space="preserve">gaming machines or </w:t>
      </w:r>
      <w:r w:rsidRPr="00A67478">
        <w:t>other forms of gambling as substitute</w:t>
      </w:r>
      <w:r>
        <w:t>s</w:t>
      </w:r>
      <w:r w:rsidRPr="00A67478">
        <w:t xml:space="preserve"> for </w:t>
      </w:r>
      <w:r>
        <w:t xml:space="preserve">table </w:t>
      </w:r>
      <w:r w:rsidRPr="00A67478">
        <w:t>gaming</w:t>
      </w:r>
      <w:r>
        <w:t>.</w:t>
      </w:r>
    </w:p>
    <w:p w:rsidR="00FF52C7" w:rsidRDefault="00FF52C7" w:rsidP="00FF52C7">
      <w:pPr>
        <w:pStyle w:val="Heading5"/>
        <w:keepNext/>
      </w:pPr>
      <w:r>
        <w:t xml:space="preserve">Differences between </w:t>
      </w:r>
      <w:r w:rsidR="007060DC">
        <w:t xml:space="preserve">playing gaming machines at a </w:t>
      </w:r>
      <w:r>
        <w:t>casino</w:t>
      </w:r>
      <w:r w:rsidR="007060DC">
        <w:t xml:space="preserve"> </w:t>
      </w:r>
      <w:r w:rsidR="00E628E5">
        <w:t>and</w:t>
      </w:r>
      <w:r w:rsidR="007060DC">
        <w:t xml:space="preserve"> playing gaming machines </w:t>
      </w:r>
      <w:r>
        <w:t>at other venues</w:t>
      </w:r>
    </w:p>
    <w:p w:rsidR="00E628E5" w:rsidRDefault="00E628E5" w:rsidP="00743015">
      <w:pPr>
        <w:pStyle w:val="Numbered"/>
        <w:rPr>
          <w:lang w:eastAsia="en-AU"/>
        </w:rPr>
      </w:pPr>
      <w:r>
        <w:rPr>
          <w:lang w:eastAsia="en-AU"/>
        </w:rPr>
        <w:t>T</w:t>
      </w:r>
      <w:r w:rsidR="00157078">
        <w:rPr>
          <w:lang w:eastAsia="en-AU"/>
        </w:rPr>
        <w:t>he ACCC understands that a significant proportion of a casino’s customers may play its gaming machines and not play the table games</w:t>
      </w:r>
      <w:r w:rsidR="00A05E27">
        <w:rPr>
          <w:lang w:eastAsia="en-AU"/>
        </w:rPr>
        <w:t xml:space="preserve"> at all</w:t>
      </w:r>
      <w:r w:rsidR="00157078">
        <w:rPr>
          <w:lang w:eastAsia="en-AU"/>
        </w:rPr>
        <w:t>.</w:t>
      </w:r>
      <w:r w:rsidR="0018068C">
        <w:rPr>
          <w:lang w:eastAsia="en-AU"/>
        </w:rPr>
        <w:t xml:space="preserve"> Customers of this type are more likely to consider a club with gaming machines to be a substitute for a casino</w:t>
      </w:r>
      <w:r w:rsidR="004934D5">
        <w:rPr>
          <w:lang w:eastAsia="en-AU"/>
        </w:rPr>
        <w:t xml:space="preserve"> than customers </w:t>
      </w:r>
      <w:r w:rsidR="00AB55DE">
        <w:rPr>
          <w:lang w:eastAsia="en-AU"/>
        </w:rPr>
        <w:t>who</w:t>
      </w:r>
      <w:r w:rsidR="004934D5">
        <w:rPr>
          <w:lang w:eastAsia="en-AU"/>
        </w:rPr>
        <w:t xml:space="preserve"> play both table games and gaming machines</w:t>
      </w:r>
      <w:r w:rsidR="0018068C">
        <w:rPr>
          <w:lang w:eastAsia="en-AU"/>
        </w:rPr>
        <w:t xml:space="preserve">. </w:t>
      </w:r>
      <w:r w:rsidR="00F500FF">
        <w:rPr>
          <w:lang w:eastAsia="en-AU"/>
        </w:rPr>
        <w:t xml:space="preserve">For this reason, there is an aspect of a casino’s business that </w:t>
      </w:r>
      <w:r w:rsidR="004934D5">
        <w:rPr>
          <w:lang w:eastAsia="en-AU"/>
        </w:rPr>
        <w:t>may</w:t>
      </w:r>
      <w:r w:rsidR="00F500FF">
        <w:rPr>
          <w:lang w:eastAsia="en-AU"/>
        </w:rPr>
        <w:t xml:space="preserve"> be subject to competition from other local venues that offer a combination of gaming </w:t>
      </w:r>
      <w:r w:rsidR="00F500FF">
        <w:rPr>
          <w:lang w:eastAsia="en-AU"/>
        </w:rPr>
        <w:lastRenderedPageBreak/>
        <w:t>machines, food, entertainment and other ancillary services</w:t>
      </w:r>
      <w:r w:rsidR="00FB3484">
        <w:rPr>
          <w:lang w:eastAsia="en-AU"/>
        </w:rPr>
        <w:t xml:space="preserve"> (such as leagues clubs with gaming machines</w:t>
      </w:r>
      <w:r w:rsidR="00FB3484" w:rsidRPr="000132DC">
        <w:rPr>
          <w:lang w:eastAsia="en-AU"/>
        </w:rPr>
        <w:t>)</w:t>
      </w:r>
      <w:r w:rsidR="00F500FF">
        <w:rPr>
          <w:lang w:eastAsia="en-AU"/>
        </w:rPr>
        <w:t>.</w:t>
      </w:r>
    </w:p>
    <w:p w:rsidR="00157078" w:rsidRDefault="00E628E5" w:rsidP="00743015">
      <w:pPr>
        <w:pStyle w:val="Numbered"/>
        <w:rPr>
          <w:lang w:eastAsia="en-AU"/>
        </w:rPr>
      </w:pPr>
      <w:r>
        <w:rPr>
          <w:lang w:eastAsia="en-AU"/>
        </w:rPr>
        <w:t xml:space="preserve">However, the ACCC is considering whether there are differences between the context in which casinos and other venues provide their gaming machines </w:t>
      </w:r>
      <w:r w:rsidR="00795560">
        <w:rPr>
          <w:lang w:eastAsia="en-AU"/>
        </w:rPr>
        <w:t xml:space="preserve">(in terms of venue, or other services available) </w:t>
      </w:r>
      <w:r>
        <w:rPr>
          <w:lang w:eastAsia="en-AU"/>
        </w:rPr>
        <w:t xml:space="preserve">such that </w:t>
      </w:r>
      <w:r w:rsidR="00E54F9C">
        <w:rPr>
          <w:lang w:eastAsia="en-AU"/>
        </w:rPr>
        <w:t xml:space="preserve">playing </w:t>
      </w:r>
      <w:r>
        <w:rPr>
          <w:lang w:eastAsia="en-AU"/>
        </w:rPr>
        <w:t>gaming machine</w:t>
      </w:r>
      <w:r w:rsidR="00E54F9C">
        <w:rPr>
          <w:lang w:eastAsia="en-AU"/>
        </w:rPr>
        <w:t xml:space="preserve">s at a casino is a </w:t>
      </w:r>
      <w:r>
        <w:rPr>
          <w:lang w:eastAsia="en-AU"/>
        </w:rPr>
        <w:t>different</w:t>
      </w:r>
      <w:r w:rsidR="00E54F9C">
        <w:rPr>
          <w:lang w:eastAsia="en-AU"/>
        </w:rPr>
        <w:t xml:space="preserve"> experience </w:t>
      </w:r>
      <w:r>
        <w:rPr>
          <w:lang w:eastAsia="en-AU"/>
        </w:rPr>
        <w:t xml:space="preserve">to </w:t>
      </w:r>
      <w:r w:rsidR="00E54F9C">
        <w:rPr>
          <w:lang w:eastAsia="en-AU"/>
        </w:rPr>
        <w:t xml:space="preserve">playing gaming machines at </w:t>
      </w:r>
      <w:r>
        <w:rPr>
          <w:lang w:eastAsia="en-AU"/>
        </w:rPr>
        <w:t>non-casino venues.</w:t>
      </w:r>
    </w:p>
    <w:p w:rsidR="00FF52C7" w:rsidRPr="00A67478" w:rsidRDefault="00FE5A5B" w:rsidP="00FE5A5B">
      <w:pPr>
        <w:pStyle w:val="commentbox"/>
        <w:rPr>
          <w:lang w:eastAsia="en-AU"/>
        </w:rPr>
      </w:pPr>
      <w:r w:rsidRPr="00A67478">
        <w:t>The ACCC invites comments from market participants on</w:t>
      </w:r>
      <w:r>
        <w:t xml:space="preserve"> w</w:t>
      </w:r>
      <w:r w:rsidRPr="00A67478">
        <w:t>hether and to what extent</w:t>
      </w:r>
      <w:r w:rsidR="008138B9">
        <w:t xml:space="preserve"> </w:t>
      </w:r>
      <w:r w:rsidR="00FF52C7">
        <w:rPr>
          <w:lang w:eastAsia="en-AU"/>
        </w:rPr>
        <w:t xml:space="preserve">patrons see </w:t>
      </w:r>
      <w:r w:rsidR="00E628E5">
        <w:rPr>
          <w:lang w:eastAsia="en-AU"/>
        </w:rPr>
        <w:t xml:space="preserve">playing </w:t>
      </w:r>
      <w:r w:rsidR="00FF52C7">
        <w:rPr>
          <w:lang w:eastAsia="en-AU"/>
        </w:rPr>
        <w:t xml:space="preserve">gaming machines at non-casino venues to be </w:t>
      </w:r>
      <w:r w:rsidR="00E628E5">
        <w:rPr>
          <w:lang w:eastAsia="en-AU"/>
        </w:rPr>
        <w:t xml:space="preserve">a </w:t>
      </w:r>
      <w:r w:rsidR="00FF52C7">
        <w:rPr>
          <w:lang w:eastAsia="en-AU"/>
        </w:rPr>
        <w:t>substitute for</w:t>
      </w:r>
      <w:r w:rsidR="00E628E5">
        <w:rPr>
          <w:lang w:eastAsia="en-AU"/>
        </w:rPr>
        <w:t xml:space="preserve"> playing</w:t>
      </w:r>
      <w:r w:rsidR="00FF52C7">
        <w:rPr>
          <w:lang w:eastAsia="en-AU"/>
        </w:rPr>
        <w:t xml:space="preserve"> gaming machines at casinos.</w:t>
      </w:r>
    </w:p>
    <w:p w:rsidR="006B5506" w:rsidRPr="000B5086" w:rsidRDefault="004934D5" w:rsidP="008B5659">
      <w:pPr>
        <w:pStyle w:val="Heading5"/>
        <w:keepNext/>
      </w:pPr>
      <w:r>
        <w:t>Differences</w:t>
      </w:r>
      <w:r w:rsidRPr="000B5086">
        <w:t xml:space="preserve"> </w:t>
      </w:r>
      <w:r w:rsidR="006B5506" w:rsidRPr="000B5086">
        <w:t>between casino services provided to different types of patrons</w:t>
      </w:r>
    </w:p>
    <w:p w:rsidR="005721C6" w:rsidRDefault="006B5506" w:rsidP="006B5506">
      <w:pPr>
        <w:pStyle w:val="Numbered"/>
        <w:rPr>
          <w:lang w:eastAsia="en-AU"/>
        </w:rPr>
      </w:pPr>
      <w:r w:rsidRPr="00AF2378">
        <w:rPr>
          <w:lang w:eastAsia="en-AU"/>
        </w:rPr>
        <w:t xml:space="preserve">As mentioned above </w:t>
      </w:r>
      <w:r w:rsidRPr="0066619D">
        <w:rPr>
          <w:lang w:eastAsia="en-AU"/>
        </w:rPr>
        <w:t>at</w:t>
      </w:r>
      <w:r w:rsidRPr="00AF2378">
        <w:rPr>
          <w:lang w:eastAsia="en-AU"/>
        </w:rPr>
        <w:t xml:space="preserve"> paragraph</w:t>
      </w:r>
      <w:r w:rsidRPr="0066619D">
        <w:rPr>
          <w:lang w:eastAsia="en-AU"/>
        </w:rPr>
        <w:t xml:space="preserve"> </w:t>
      </w:r>
      <w:r w:rsidRPr="0066619D">
        <w:rPr>
          <w:lang w:eastAsia="en-AU"/>
        </w:rPr>
        <w:fldChar w:fldCharType="begin"/>
      </w:r>
      <w:r w:rsidRPr="0066619D">
        <w:rPr>
          <w:lang w:eastAsia="en-AU"/>
        </w:rPr>
        <w:instrText xml:space="preserve"> REF _Ref389750149 \r \h </w:instrText>
      </w:r>
      <w:r>
        <w:rPr>
          <w:lang w:eastAsia="en-AU"/>
        </w:rPr>
        <w:instrText xml:space="preserve"> \* MERGEFORMAT </w:instrText>
      </w:r>
      <w:r w:rsidRPr="0066619D">
        <w:rPr>
          <w:lang w:eastAsia="en-AU"/>
        </w:rPr>
      </w:r>
      <w:r w:rsidRPr="0066619D">
        <w:rPr>
          <w:lang w:eastAsia="en-AU"/>
        </w:rPr>
        <w:fldChar w:fldCharType="separate"/>
      </w:r>
      <w:r w:rsidR="00C37665">
        <w:rPr>
          <w:lang w:eastAsia="en-AU"/>
        </w:rPr>
        <w:t>34</w:t>
      </w:r>
      <w:r w:rsidRPr="0066619D">
        <w:rPr>
          <w:lang w:eastAsia="en-AU"/>
        </w:rPr>
        <w:fldChar w:fldCharType="end"/>
      </w:r>
      <w:r w:rsidRPr="00AF2378">
        <w:rPr>
          <w:lang w:eastAsia="en-AU"/>
        </w:rPr>
        <w:t>, the services</w:t>
      </w:r>
      <w:r w:rsidR="00C75EF5">
        <w:rPr>
          <w:lang w:eastAsia="en-AU"/>
        </w:rPr>
        <w:t xml:space="preserve"> that casinos</w:t>
      </w:r>
      <w:r w:rsidRPr="00AF2378">
        <w:rPr>
          <w:lang w:eastAsia="en-AU"/>
        </w:rPr>
        <w:t xml:space="preserve"> provide to </w:t>
      </w:r>
      <w:r>
        <w:rPr>
          <w:lang w:eastAsia="en-AU"/>
        </w:rPr>
        <w:t>mass</w:t>
      </w:r>
      <w:r w:rsidRPr="00AF2378">
        <w:rPr>
          <w:lang w:eastAsia="en-AU"/>
        </w:rPr>
        <w:t xml:space="preserve"> customers and VIP customers are different. </w:t>
      </w:r>
      <w:r>
        <w:rPr>
          <w:lang w:eastAsia="en-AU"/>
        </w:rPr>
        <w:t>Mass</w:t>
      </w:r>
      <w:r w:rsidRPr="00AF2378">
        <w:rPr>
          <w:lang w:eastAsia="en-AU"/>
        </w:rPr>
        <w:t xml:space="preserve"> customers and VIP customers </w:t>
      </w:r>
      <w:r w:rsidRPr="00905862">
        <w:rPr>
          <w:lang w:eastAsia="en-AU"/>
        </w:rPr>
        <w:t xml:space="preserve">have distinct needs </w:t>
      </w:r>
      <w:r>
        <w:rPr>
          <w:lang w:eastAsia="en-AU"/>
        </w:rPr>
        <w:t xml:space="preserve">and substitution possibilities </w:t>
      </w:r>
      <w:r w:rsidRPr="00905862">
        <w:rPr>
          <w:lang w:eastAsia="en-AU"/>
        </w:rPr>
        <w:t xml:space="preserve">in relation to their gambling experience. </w:t>
      </w:r>
      <w:r>
        <w:rPr>
          <w:lang w:eastAsia="en-AU"/>
        </w:rPr>
        <w:t xml:space="preserve">Thus there is the potential for the competitive effects of the proposed transaction to be different for mass customers and VIP customers.  </w:t>
      </w:r>
    </w:p>
    <w:p w:rsidR="0025423B" w:rsidRDefault="005721C6" w:rsidP="00E41424">
      <w:pPr>
        <w:pStyle w:val="Numbered"/>
        <w:rPr>
          <w:lang w:eastAsia="en-AU"/>
        </w:rPr>
      </w:pPr>
      <w:r>
        <w:rPr>
          <w:lang w:eastAsia="en-AU"/>
        </w:rPr>
        <w:t>However, the ACCC understands that many casinos cater to both types of customers (at least to some extent)</w:t>
      </w:r>
      <w:r w:rsidR="00E41424">
        <w:rPr>
          <w:lang w:eastAsia="en-AU"/>
        </w:rPr>
        <w:t xml:space="preserve">. The ACCC further considers that it may be possible for a casino that caters exclusively or predominantly to one type of customer (e.g. VIP customers) to amend its offer to include a greater range of services to the other type of customer (e.g. mass customers) as part of its offer. </w:t>
      </w:r>
      <w:r w:rsidR="0025423B">
        <w:rPr>
          <w:lang w:eastAsia="en-AU"/>
        </w:rPr>
        <w:t xml:space="preserve">The ACCC is still considering whether casinos that cater to one type of customer would have an incentive to amend their offer in this manner in response to a </w:t>
      </w:r>
      <w:r w:rsidR="0025423B" w:rsidRPr="0025423B">
        <w:rPr>
          <w:lang w:eastAsia="en-AU"/>
        </w:rPr>
        <w:t>SSNIP</w:t>
      </w:r>
      <w:r w:rsidR="0025423B">
        <w:rPr>
          <w:rStyle w:val="FootnoteReference"/>
          <w:lang w:eastAsia="en-AU"/>
        </w:rPr>
        <w:footnoteReference w:id="12"/>
      </w:r>
      <w:r w:rsidR="0025423B" w:rsidRPr="0025423B">
        <w:rPr>
          <w:lang w:eastAsia="en-AU"/>
        </w:rPr>
        <w:t xml:space="preserve"> in the services</w:t>
      </w:r>
      <w:r w:rsidR="0025423B">
        <w:rPr>
          <w:lang w:eastAsia="en-AU"/>
        </w:rPr>
        <w:t xml:space="preserve"> that other casinos provide to the other type of customer.</w:t>
      </w:r>
    </w:p>
    <w:p w:rsidR="003A359C" w:rsidRDefault="003A359C" w:rsidP="003A359C">
      <w:pPr>
        <w:pStyle w:val="commentbox"/>
      </w:pPr>
      <w:r w:rsidRPr="00A67478">
        <w:t>The ACCC invites comments from market participants on</w:t>
      </w:r>
      <w:r w:rsidR="001C1744">
        <w:t>:</w:t>
      </w:r>
    </w:p>
    <w:p w:rsidR="003A359C" w:rsidRDefault="003A359C" w:rsidP="003A359C">
      <w:pPr>
        <w:pStyle w:val="commentbox"/>
        <w:numPr>
          <w:ilvl w:val="0"/>
          <w:numId w:val="37"/>
        </w:numPr>
        <w:ind w:left="426" w:hanging="426"/>
      </w:pPr>
      <w:r>
        <w:t>T</w:t>
      </w:r>
      <w:r w:rsidRPr="00A67478">
        <w:t xml:space="preserve">he differences </w:t>
      </w:r>
      <w:r>
        <w:t>between</w:t>
      </w:r>
      <w:r w:rsidRPr="00A67478">
        <w:t xml:space="preserve"> the services </w:t>
      </w:r>
      <w:r w:rsidR="00FD3930">
        <w:t xml:space="preserve">that casinos </w:t>
      </w:r>
      <w:r w:rsidRPr="00A67478">
        <w:t>suppl</w:t>
      </w:r>
      <w:r w:rsidR="00FD3930">
        <w:t>y</w:t>
      </w:r>
      <w:r w:rsidRPr="00A67478">
        <w:t xml:space="preserve"> to VIP customers and mass customers</w:t>
      </w:r>
    </w:p>
    <w:p w:rsidR="003A359C" w:rsidRDefault="003A359C" w:rsidP="003A359C">
      <w:pPr>
        <w:pStyle w:val="commentbox"/>
        <w:numPr>
          <w:ilvl w:val="0"/>
          <w:numId w:val="37"/>
        </w:numPr>
        <w:ind w:left="426" w:hanging="426"/>
      </w:pPr>
      <w:r>
        <w:t xml:space="preserve">Any legal, commercial or practical impediments to a casino that is focused on </w:t>
      </w:r>
      <w:r w:rsidR="001F4F66">
        <w:t>VIP</w:t>
      </w:r>
      <w:r>
        <w:t xml:space="preserve"> customers (such as the </w:t>
      </w:r>
      <w:proofErr w:type="spellStart"/>
      <w:r w:rsidR="001F4F66">
        <w:t>Aquis</w:t>
      </w:r>
      <w:proofErr w:type="spellEnd"/>
      <w:r w:rsidR="001F4F66">
        <w:t xml:space="preserve"> Resort</w:t>
      </w:r>
      <w:r>
        <w:t xml:space="preserve">) starting to provide services to </w:t>
      </w:r>
      <w:r w:rsidR="001F4F66">
        <w:t>mass</w:t>
      </w:r>
      <w:r>
        <w:t xml:space="preserve"> customers (and vice versa).</w:t>
      </w:r>
    </w:p>
    <w:p w:rsidR="000B5086" w:rsidRPr="00487DF6" w:rsidRDefault="000B5086" w:rsidP="00607297">
      <w:pPr>
        <w:pStyle w:val="Numbered"/>
        <w:numPr>
          <w:ilvl w:val="0"/>
          <w:numId w:val="0"/>
        </w:numPr>
      </w:pPr>
      <w:r w:rsidRPr="00FD2789">
        <w:t>Geographic</w:t>
      </w:r>
      <w:r w:rsidRPr="00487DF6">
        <w:t xml:space="preserve"> dimension</w:t>
      </w:r>
    </w:p>
    <w:p w:rsidR="000B5086" w:rsidRPr="000B5086" w:rsidRDefault="00487DF6" w:rsidP="00743015">
      <w:pPr>
        <w:pStyle w:val="Numbered"/>
        <w:rPr>
          <w:lang w:eastAsia="en-AU"/>
        </w:rPr>
      </w:pPr>
      <w:r>
        <w:rPr>
          <w:lang w:eastAsia="en-AU"/>
        </w:rPr>
        <w:t xml:space="preserve">The ACCC </w:t>
      </w:r>
      <w:r w:rsidR="0054122A">
        <w:rPr>
          <w:lang w:eastAsia="en-AU"/>
        </w:rPr>
        <w:t xml:space="preserve">is considering whether </w:t>
      </w:r>
      <w:r w:rsidR="000B5086" w:rsidRPr="000B5086">
        <w:rPr>
          <w:lang w:eastAsia="en-AU"/>
        </w:rPr>
        <w:t xml:space="preserve">the geographic dimension of the relevant market may differ in respect of different types of customers. In particular, </w:t>
      </w:r>
      <w:r w:rsidR="00614B5E">
        <w:rPr>
          <w:lang w:eastAsia="en-AU"/>
        </w:rPr>
        <w:t>the</w:t>
      </w:r>
      <w:r w:rsidR="00AE178A">
        <w:rPr>
          <w:lang w:eastAsia="en-AU"/>
        </w:rPr>
        <w:t xml:space="preserve"> ACCC is considering whether the</w:t>
      </w:r>
      <w:r w:rsidR="00614B5E">
        <w:rPr>
          <w:lang w:eastAsia="en-AU"/>
        </w:rPr>
        <w:t xml:space="preserve"> geographic area in which casinos are considered to be close substitutes is likely to be wider for </w:t>
      </w:r>
      <w:r w:rsidR="007C6AE1">
        <w:rPr>
          <w:lang w:eastAsia="en-AU"/>
        </w:rPr>
        <w:t xml:space="preserve">VIP customers </w:t>
      </w:r>
      <w:r w:rsidR="00614B5E">
        <w:rPr>
          <w:lang w:eastAsia="en-AU"/>
        </w:rPr>
        <w:t xml:space="preserve">than for mass customers. </w:t>
      </w:r>
    </w:p>
    <w:p w:rsidR="000B5086" w:rsidRPr="000B5086" w:rsidRDefault="006F6DC6" w:rsidP="00880C10">
      <w:pPr>
        <w:pStyle w:val="Heading5"/>
        <w:keepNext/>
      </w:pPr>
      <w:r>
        <w:lastRenderedPageBreak/>
        <w:t>Mass</w:t>
      </w:r>
      <w:r w:rsidR="000B5086" w:rsidRPr="000B5086">
        <w:t xml:space="preserve"> customer</w:t>
      </w:r>
      <w:r w:rsidR="00A3613E">
        <w:t>s</w:t>
      </w:r>
    </w:p>
    <w:p w:rsidR="008F4148" w:rsidRDefault="008F4148" w:rsidP="00743015">
      <w:pPr>
        <w:pStyle w:val="Numbered"/>
        <w:rPr>
          <w:lang w:eastAsia="en-AU"/>
        </w:rPr>
      </w:pPr>
      <w:r>
        <w:rPr>
          <w:lang w:eastAsia="en-AU"/>
        </w:rPr>
        <w:t xml:space="preserve">The ACCC’s preliminary view is that </w:t>
      </w:r>
      <w:r w:rsidR="00E41424">
        <w:t xml:space="preserve">competition for </w:t>
      </w:r>
      <w:r w:rsidR="000953D4">
        <w:t xml:space="preserve">the supply of casino services to </w:t>
      </w:r>
      <w:r w:rsidR="00E41424">
        <w:t xml:space="preserve">mass customers would only be between venues in Cairns and its surrounding suburbs </w:t>
      </w:r>
      <w:r w:rsidR="00FD2789">
        <w:rPr>
          <w:lang w:eastAsia="en-AU"/>
        </w:rPr>
        <w:t>(</w:t>
      </w:r>
      <w:r>
        <w:rPr>
          <w:lang w:eastAsia="en-AU"/>
        </w:rPr>
        <w:t xml:space="preserve">including </w:t>
      </w:r>
      <w:proofErr w:type="spellStart"/>
      <w:r>
        <w:rPr>
          <w:lang w:eastAsia="en-AU"/>
        </w:rPr>
        <w:t>Yorkeys</w:t>
      </w:r>
      <w:proofErr w:type="spellEnd"/>
      <w:r>
        <w:rPr>
          <w:lang w:eastAsia="en-AU"/>
        </w:rPr>
        <w:t xml:space="preserve"> Knob</w:t>
      </w:r>
      <w:r w:rsidR="00FD2789">
        <w:rPr>
          <w:lang w:eastAsia="en-AU"/>
        </w:rPr>
        <w:t>)</w:t>
      </w:r>
      <w:r>
        <w:rPr>
          <w:lang w:eastAsia="en-AU"/>
        </w:rPr>
        <w:t>.</w:t>
      </w:r>
      <w:r w:rsidR="00FD7201">
        <w:rPr>
          <w:lang w:eastAsia="en-AU"/>
        </w:rPr>
        <w:t xml:space="preserve"> </w:t>
      </w:r>
    </w:p>
    <w:p w:rsidR="000A44DC" w:rsidRDefault="000A44DC" w:rsidP="002940B1">
      <w:pPr>
        <w:pStyle w:val="Numbered"/>
        <w:rPr>
          <w:lang w:eastAsia="en-AU"/>
        </w:rPr>
      </w:pPr>
      <w:r>
        <w:rPr>
          <w:lang w:eastAsia="en-AU"/>
        </w:rPr>
        <w:t>Mass c</w:t>
      </w:r>
      <w:r w:rsidR="008F4148">
        <w:rPr>
          <w:lang w:eastAsia="en-AU"/>
        </w:rPr>
        <w:t xml:space="preserve">ustomers of the </w:t>
      </w:r>
      <w:proofErr w:type="spellStart"/>
      <w:r>
        <w:rPr>
          <w:lang w:eastAsia="en-AU"/>
        </w:rPr>
        <w:t>Aquis</w:t>
      </w:r>
      <w:proofErr w:type="spellEnd"/>
      <w:r>
        <w:rPr>
          <w:lang w:eastAsia="en-AU"/>
        </w:rPr>
        <w:t xml:space="preserve"> Resort </w:t>
      </w:r>
      <w:r w:rsidR="008F4148">
        <w:rPr>
          <w:lang w:eastAsia="en-AU"/>
        </w:rPr>
        <w:t>or the Reef Casino will be local residents and/or tourists</w:t>
      </w:r>
      <w:r w:rsidR="00F648A7">
        <w:rPr>
          <w:lang w:eastAsia="en-AU"/>
        </w:rPr>
        <w:t>, including tourists staying at other hotels in the Cairns area</w:t>
      </w:r>
      <w:r w:rsidR="008F4148">
        <w:rPr>
          <w:lang w:eastAsia="en-AU"/>
        </w:rPr>
        <w:t xml:space="preserve">. </w:t>
      </w:r>
      <w:r>
        <w:rPr>
          <w:lang w:eastAsia="en-AU"/>
        </w:rPr>
        <w:t xml:space="preserve">The ACCC considers </w:t>
      </w:r>
      <w:r w:rsidR="008F4148">
        <w:rPr>
          <w:lang w:eastAsia="en-AU"/>
        </w:rPr>
        <w:t xml:space="preserve">that local residents would not travel beyond the Cairns region in response to a </w:t>
      </w:r>
      <w:r w:rsidR="0025423B">
        <w:rPr>
          <w:lang w:eastAsia="en-AU"/>
        </w:rPr>
        <w:t xml:space="preserve">SSNIP </w:t>
      </w:r>
      <w:r w:rsidR="008F4148">
        <w:rPr>
          <w:lang w:eastAsia="en-AU"/>
        </w:rPr>
        <w:t xml:space="preserve">by a hypothetical monopolist of </w:t>
      </w:r>
      <w:r w:rsidR="000953D4">
        <w:rPr>
          <w:lang w:eastAsia="en-AU"/>
        </w:rPr>
        <w:t xml:space="preserve">casino services </w:t>
      </w:r>
      <w:r>
        <w:rPr>
          <w:lang w:eastAsia="en-AU"/>
        </w:rPr>
        <w:t>in Cairns</w:t>
      </w:r>
      <w:r w:rsidR="008F4148">
        <w:rPr>
          <w:lang w:eastAsia="en-AU"/>
        </w:rPr>
        <w:t xml:space="preserve">. </w:t>
      </w:r>
      <w:r w:rsidR="002940B1">
        <w:rPr>
          <w:lang w:eastAsia="en-AU"/>
        </w:rPr>
        <w:t xml:space="preserve">In the context of mass customers, a SSNIP might involve </w:t>
      </w:r>
      <w:r w:rsidR="00222FC8">
        <w:t xml:space="preserve">an increase in the </w:t>
      </w:r>
      <w:r w:rsidR="00E8786B" w:rsidRPr="004841C5">
        <w:t xml:space="preserve">price and/or </w:t>
      </w:r>
      <w:r w:rsidR="00222FC8">
        <w:rPr>
          <w:lang w:eastAsia="en-AU"/>
        </w:rPr>
        <w:t xml:space="preserve">a degradation of </w:t>
      </w:r>
      <w:r w:rsidR="00222FC8" w:rsidRPr="004841C5">
        <w:t xml:space="preserve">the </w:t>
      </w:r>
      <w:r w:rsidR="00E8786B" w:rsidRPr="004841C5">
        <w:t xml:space="preserve">non-price offer </w:t>
      </w:r>
      <w:r w:rsidR="00E8786B">
        <w:t xml:space="preserve">of </w:t>
      </w:r>
      <w:r w:rsidR="000953D4">
        <w:t xml:space="preserve">casino services </w:t>
      </w:r>
      <w:r w:rsidR="00222FC8">
        <w:t>including</w:t>
      </w:r>
      <w:r w:rsidR="00E8786B" w:rsidRPr="004841C5">
        <w:t xml:space="preserve"> promotions, rebates, or the price or quality of other goods or services provided in conjunction with table gam</w:t>
      </w:r>
      <w:r w:rsidR="00E8786B">
        <w:t>es</w:t>
      </w:r>
      <w:r w:rsidR="008B5659">
        <w:t xml:space="preserve"> or gaming machines</w:t>
      </w:r>
      <w:r w:rsidR="00E8786B" w:rsidRPr="004841C5">
        <w:t>.</w:t>
      </w:r>
    </w:p>
    <w:p w:rsidR="001C1744" w:rsidRDefault="000A44DC" w:rsidP="00095992">
      <w:pPr>
        <w:pStyle w:val="Numbered"/>
        <w:rPr>
          <w:lang w:eastAsia="en-AU"/>
        </w:rPr>
      </w:pPr>
      <w:r>
        <w:rPr>
          <w:lang w:eastAsia="en-AU"/>
        </w:rPr>
        <w:t>The ACCC acknowledges that t</w:t>
      </w:r>
      <w:r w:rsidR="008F4148">
        <w:rPr>
          <w:lang w:eastAsia="en-AU"/>
        </w:rPr>
        <w:t xml:space="preserve">ourist </w:t>
      </w:r>
      <w:r w:rsidR="00683863">
        <w:rPr>
          <w:lang w:eastAsia="en-AU"/>
        </w:rPr>
        <w:t xml:space="preserve">mass </w:t>
      </w:r>
      <w:r w:rsidR="008F4148">
        <w:rPr>
          <w:lang w:eastAsia="en-AU"/>
        </w:rPr>
        <w:t>customers are potentially more mobile</w:t>
      </w:r>
      <w:r w:rsidR="00683863">
        <w:rPr>
          <w:lang w:eastAsia="en-AU"/>
        </w:rPr>
        <w:t xml:space="preserve"> than local residents. </w:t>
      </w:r>
      <w:r w:rsidR="004F0A0E">
        <w:rPr>
          <w:lang w:eastAsia="en-AU"/>
        </w:rPr>
        <w:t xml:space="preserve">However its preliminary view is that most mass customers planning to </w:t>
      </w:r>
      <w:r w:rsidR="000953D4">
        <w:rPr>
          <w:lang w:eastAsia="en-AU"/>
        </w:rPr>
        <w:t xml:space="preserve">visit </w:t>
      </w:r>
      <w:r w:rsidR="008B5659">
        <w:rPr>
          <w:lang w:eastAsia="en-AU"/>
        </w:rPr>
        <w:t>a casino in Cairns</w:t>
      </w:r>
      <w:r w:rsidR="004F0A0E">
        <w:rPr>
          <w:lang w:eastAsia="en-AU"/>
        </w:rPr>
        <w:t xml:space="preserve"> have </w:t>
      </w:r>
      <w:r w:rsidR="00881F4C">
        <w:rPr>
          <w:lang w:eastAsia="en-AU"/>
        </w:rPr>
        <w:t xml:space="preserve">not </w:t>
      </w:r>
      <w:r w:rsidR="004F0A0E">
        <w:rPr>
          <w:lang w:eastAsia="en-AU"/>
        </w:rPr>
        <w:t xml:space="preserve">chosen to visit Cairns for </w:t>
      </w:r>
      <w:r w:rsidR="00881F4C">
        <w:rPr>
          <w:lang w:eastAsia="en-AU"/>
        </w:rPr>
        <w:t xml:space="preserve">the primary purpose of visiting </w:t>
      </w:r>
      <w:r w:rsidR="004F0A0E">
        <w:rPr>
          <w:lang w:eastAsia="en-AU"/>
        </w:rPr>
        <w:t xml:space="preserve">that casino. For this reason, the ACCC’s preliminary view is that </w:t>
      </w:r>
      <w:r w:rsidR="008F4148">
        <w:rPr>
          <w:lang w:eastAsia="en-AU"/>
        </w:rPr>
        <w:t xml:space="preserve">most </w:t>
      </w:r>
      <w:r>
        <w:rPr>
          <w:lang w:eastAsia="en-AU"/>
        </w:rPr>
        <w:t>mass</w:t>
      </w:r>
      <w:r w:rsidR="008F4148">
        <w:rPr>
          <w:lang w:eastAsia="en-AU"/>
        </w:rPr>
        <w:t xml:space="preserve"> customers planning to visit a </w:t>
      </w:r>
      <w:r w:rsidR="004F0A0E">
        <w:rPr>
          <w:lang w:eastAsia="en-AU"/>
        </w:rPr>
        <w:t xml:space="preserve">Cairns </w:t>
      </w:r>
      <w:r w:rsidR="008F4148">
        <w:rPr>
          <w:lang w:eastAsia="en-AU"/>
        </w:rPr>
        <w:t xml:space="preserve">casino as tourists would be unlikely to change their entire travel plans to a </w:t>
      </w:r>
      <w:r w:rsidR="008B5659">
        <w:rPr>
          <w:lang w:eastAsia="en-AU"/>
        </w:rPr>
        <w:t xml:space="preserve">different </w:t>
      </w:r>
      <w:r w:rsidR="008F4148">
        <w:rPr>
          <w:lang w:eastAsia="en-AU"/>
        </w:rPr>
        <w:t>location in response to a SSNIP by a hypothetical monopolist of</w:t>
      </w:r>
      <w:r w:rsidR="000953D4">
        <w:rPr>
          <w:lang w:eastAsia="en-AU"/>
        </w:rPr>
        <w:t xml:space="preserve"> casino services</w:t>
      </w:r>
      <w:r w:rsidR="008F4148">
        <w:rPr>
          <w:lang w:eastAsia="en-AU"/>
        </w:rPr>
        <w:t xml:space="preserve"> in Cairns.</w:t>
      </w:r>
    </w:p>
    <w:p w:rsidR="001C1744" w:rsidRDefault="001C1744" w:rsidP="001C1744">
      <w:pPr>
        <w:pStyle w:val="commentbox"/>
        <w:rPr>
          <w:lang w:eastAsia="en-AU"/>
        </w:rPr>
      </w:pPr>
      <w:r w:rsidRPr="001C1744">
        <w:t>The ACCC invites comments from market participants on</w:t>
      </w:r>
      <w:r w:rsidR="00F91B82">
        <w:t xml:space="preserve"> t</w:t>
      </w:r>
      <w:r w:rsidR="00F91B82" w:rsidRPr="00F91B82">
        <w:t xml:space="preserve">he extent to which mass customers </w:t>
      </w:r>
      <w:r w:rsidR="00AB55DE">
        <w:t>who</w:t>
      </w:r>
      <w:r w:rsidR="00AB55DE" w:rsidRPr="00F91B82">
        <w:t xml:space="preserve"> </w:t>
      </w:r>
      <w:r w:rsidR="00F91B82" w:rsidRPr="00F91B82">
        <w:t>travel to Cairns as tourists choose their holiday location on the basis of the casino. Does this differ depending on whether the tourist is visiting Cairns from overseas?</w:t>
      </w:r>
    </w:p>
    <w:p w:rsidR="008F4148" w:rsidRPr="00A3613E" w:rsidRDefault="008F4148" w:rsidP="00B15C6A">
      <w:pPr>
        <w:pStyle w:val="Heading5"/>
      </w:pPr>
      <w:r w:rsidRPr="00A3613E">
        <w:t>VIP customers</w:t>
      </w:r>
    </w:p>
    <w:p w:rsidR="008F4148" w:rsidRPr="00A3613E" w:rsidRDefault="008F4148" w:rsidP="00743015">
      <w:pPr>
        <w:pStyle w:val="Numbered"/>
        <w:rPr>
          <w:lang w:eastAsia="en-AU"/>
        </w:rPr>
      </w:pPr>
      <w:bookmarkStart w:id="23" w:name="_Ref389823973"/>
      <w:r w:rsidRPr="00743015">
        <w:rPr>
          <w:lang w:eastAsia="en-AU"/>
        </w:rPr>
        <w:t xml:space="preserve">In contrast to </w:t>
      </w:r>
      <w:r w:rsidR="0094362F" w:rsidRPr="00A3613E">
        <w:rPr>
          <w:lang w:eastAsia="en-AU"/>
        </w:rPr>
        <w:t>mass</w:t>
      </w:r>
      <w:r w:rsidRPr="00743015">
        <w:rPr>
          <w:lang w:eastAsia="en-AU"/>
        </w:rPr>
        <w:t xml:space="preserve"> customers, VIP customers are highly mobile. This is because they are more likely to structure their travel around the particular casino that they wish to visit (and the inducements that they will receive for visiting that casino</w:t>
      </w:r>
      <w:r w:rsidR="001C3DFF">
        <w:rPr>
          <w:lang w:eastAsia="en-AU"/>
        </w:rPr>
        <w:t>, which may include free international airfares</w:t>
      </w:r>
      <w:r w:rsidRPr="00743015">
        <w:rPr>
          <w:lang w:eastAsia="en-AU"/>
        </w:rPr>
        <w:t>)</w:t>
      </w:r>
      <w:r w:rsidR="00F10E36" w:rsidRPr="00A3613E">
        <w:rPr>
          <w:lang w:eastAsia="en-AU"/>
        </w:rPr>
        <w:t>.</w:t>
      </w:r>
      <w:r w:rsidR="00084178">
        <w:rPr>
          <w:lang w:eastAsia="en-AU"/>
        </w:rPr>
        <w:t xml:space="preserve"> </w:t>
      </w:r>
      <w:r w:rsidR="00E73F87">
        <w:rPr>
          <w:lang w:eastAsia="en-AU"/>
        </w:rPr>
        <w:t xml:space="preserve">Most </w:t>
      </w:r>
      <w:r w:rsidR="00261338">
        <w:rPr>
          <w:lang w:eastAsia="en-AU"/>
        </w:rPr>
        <w:t xml:space="preserve">are not Australian residents. </w:t>
      </w:r>
      <w:bookmarkEnd w:id="23"/>
      <w:r w:rsidR="0007710E">
        <w:rPr>
          <w:lang w:eastAsia="en-AU"/>
        </w:rPr>
        <w:t xml:space="preserve">For these reasons, </w:t>
      </w:r>
      <w:r w:rsidR="0007710E" w:rsidRPr="000B5086">
        <w:rPr>
          <w:lang w:eastAsia="en-AU"/>
        </w:rPr>
        <w:t xml:space="preserve">the substitution possibilities available to VIP customers </w:t>
      </w:r>
      <w:r w:rsidR="000953D4">
        <w:rPr>
          <w:lang w:eastAsia="en-AU"/>
        </w:rPr>
        <w:t>may</w:t>
      </w:r>
      <w:r w:rsidR="0007710E" w:rsidRPr="000B5086">
        <w:rPr>
          <w:lang w:eastAsia="en-AU"/>
        </w:rPr>
        <w:t xml:space="preserve"> be wider than for other customers.</w:t>
      </w:r>
    </w:p>
    <w:p w:rsidR="008F4148" w:rsidRDefault="000953D4" w:rsidP="00357FCF">
      <w:pPr>
        <w:pStyle w:val="Numbered"/>
        <w:rPr>
          <w:lang w:eastAsia="en-AU"/>
        </w:rPr>
      </w:pPr>
      <w:bookmarkStart w:id="24" w:name="_Ref390420300"/>
      <w:r>
        <w:rPr>
          <w:lang w:eastAsia="en-AU"/>
        </w:rPr>
        <w:t>However, t</w:t>
      </w:r>
      <w:r w:rsidRPr="00A3613E">
        <w:rPr>
          <w:lang w:eastAsia="en-AU"/>
        </w:rPr>
        <w:t xml:space="preserve">he </w:t>
      </w:r>
      <w:r w:rsidR="00860478" w:rsidRPr="00A3613E">
        <w:rPr>
          <w:lang w:eastAsia="en-AU"/>
        </w:rPr>
        <w:t>ACCC</w:t>
      </w:r>
      <w:r w:rsidR="008F4148" w:rsidRPr="00743015">
        <w:rPr>
          <w:lang w:eastAsia="en-AU"/>
        </w:rPr>
        <w:t xml:space="preserve"> note</w:t>
      </w:r>
      <w:r w:rsidR="00860478" w:rsidRPr="00A3613E">
        <w:rPr>
          <w:lang w:eastAsia="en-AU"/>
        </w:rPr>
        <w:t>s</w:t>
      </w:r>
      <w:r w:rsidR="008F4148" w:rsidRPr="00743015">
        <w:rPr>
          <w:lang w:eastAsia="en-AU"/>
        </w:rPr>
        <w:t xml:space="preserve"> that the </w:t>
      </w:r>
      <w:proofErr w:type="spellStart"/>
      <w:r w:rsidR="00860478" w:rsidRPr="00A3613E">
        <w:rPr>
          <w:lang w:eastAsia="en-AU"/>
        </w:rPr>
        <w:t>Aquis</w:t>
      </w:r>
      <w:proofErr w:type="spellEnd"/>
      <w:r w:rsidR="00860478" w:rsidRPr="00A3613E">
        <w:rPr>
          <w:lang w:eastAsia="en-AU"/>
        </w:rPr>
        <w:t xml:space="preserve"> Resort </w:t>
      </w:r>
      <w:r w:rsidR="008F4148" w:rsidRPr="00743015">
        <w:rPr>
          <w:lang w:eastAsia="en-AU"/>
        </w:rPr>
        <w:t xml:space="preserve">and the Reef Casino may </w:t>
      </w:r>
      <w:r w:rsidR="00860478" w:rsidRPr="00A3613E">
        <w:rPr>
          <w:lang w:eastAsia="en-AU"/>
        </w:rPr>
        <w:t xml:space="preserve">perhaps </w:t>
      </w:r>
      <w:r w:rsidR="008F4148" w:rsidRPr="00743015">
        <w:rPr>
          <w:lang w:eastAsia="en-AU"/>
        </w:rPr>
        <w:t xml:space="preserve">be differentiated from other casinos </w:t>
      </w:r>
      <w:r w:rsidR="009E5577">
        <w:rPr>
          <w:lang w:eastAsia="en-AU"/>
        </w:rPr>
        <w:t>on the basis of geography</w:t>
      </w:r>
      <w:r w:rsidR="00860478" w:rsidRPr="00A3613E">
        <w:rPr>
          <w:lang w:eastAsia="en-AU"/>
        </w:rPr>
        <w:t xml:space="preserve">. </w:t>
      </w:r>
      <w:r w:rsidR="008701FC">
        <w:rPr>
          <w:lang w:eastAsia="en-AU"/>
        </w:rPr>
        <w:t>T</w:t>
      </w:r>
      <w:r w:rsidR="00860478" w:rsidRPr="00A3613E">
        <w:rPr>
          <w:lang w:eastAsia="en-AU"/>
        </w:rPr>
        <w:t xml:space="preserve">he ACCC </w:t>
      </w:r>
      <w:r w:rsidR="008701FC">
        <w:rPr>
          <w:lang w:eastAsia="en-AU"/>
        </w:rPr>
        <w:t xml:space="preserve">has received </w:t>
      </w:r>
      <w:r w:rsidR="00860478" w:rsidRPr="00A3613E">
        <w:rPr>
          <w:lang w:eastAsia="en-AU"/>
        </w:rPr>
        <w:t>submissions suggesting that casinos in Cairns may distinguish themselves from other casinos due to the proximity of Cairns to the Great Barrier Reef</w:t>
      </w:r>
      <w:r w:rsidR="00EB33BE">
        <w:rPr>
          <w:lang w:eastAsia="en-AU"/>
        </w:rPr>
        <w:t xml:space="preserve"> and Daintree Rainforest</w:t>
      </w:r>
      <w:r w:rsidR="00EB33BE" w:rsidRPr="00A3613E">
        <w:rPr>
          <w:lang w:eastAsia="en-AU"/>
        </w:rPr>
        <w:t xml:space="preserve">, </w:t>
      </w:r>
      <w:r w:rsidR="008701FC">
        <w:rPr>
          <w:lang w:eastAsia="en-AU"/>
        </w:rPr>
        <w:t>Cairns</w:t>
      </w:r>
      <w:r w:rsidR="00EB33BE">
        <w:rPr>
          <w:lang w:eastAsia="en-AU"/>
        </w:rPr>
        <w:t>’</w:t>
      </w:r>
      <w:r w:rsidR="00860478" w:rsidRPr="00A3613E">
        <w:rPr>
          <w:lang w:eastAsia="en-AU"/>
        </w:rPr>
        <w:t xml:space="preserve"> warm climate</w:t>
      </w:r>
      <w:r w:rsidR="00EB33BE">
        <w:rPr>
          <w:lang w:eastAsia="en-AU"/>
        </w:rPr>
        <w:t xml:space="preserve"> (with annual variations that complement other casino locations such as Macau)</w:t>
      </w:r>
      <w:r w:rsidR="008701FC">
        <w:rPr>
          <w:lang w:eastAsia="en-AU"/>
        </w:rPr>
        <w:t>,</w:t>
      </w:r>
      <w:r w:rsidR="00860478" w:rsidRPr="00A3613E">
        <w:rPr>
          <w:lang w:eastAsia="en-AU"/>
        </w:rPr>
        <w:t xml:space="preserve"> and </w:t>
      </w:r>
      <w:r w:rsidR="008701FC">
        <w:rPr>
          <w:lang w:eastAsia="en-AU"/>
        </w:rPr>
        <w:t>Cairns</w:t>
      </w:r>
      <w:r w:rsidR="00EB33BE">
        <w:rPr>
          <w:lang w:eastAsia="en-AU"/>
        </w:rPr>
        <w:t>’</w:t>
      </w:r>
      <w:r w:rsidR="00860478" w:rsidRPr="00A3613E">
        <w:rPr>
          <w:lang w:eastAsia="en-AU"/>
        </w:rPr>
        <w:t xml:space="preserve"> reputation as a safe and relaxing </w:t>
      </w:r>
      <w:r w:rsidR="008F4148" w:rsidRPr="00743015">
        <w:rPr>
          <w:lang w:eastAsia="en-AU"/>
        </w:rPr>
        <w:t xml:space="preserve">holiday location for partners and </w:t>
      </w:r>
      <w:r w:rsidR="00AB55DE" w:rsidRPr="00743015">
        <w:rPr>
          <w:lang w:eastAsia="en-AU"/>
        </w:rPr>
        <w:t>famil</w:t>
      </w:r>
      <w:r w:rsidR="00AB55DE">
        <w:rPr>
          <w:lang w:eastAsia="en-AU"/>
        </w:rPr>
        <w:t>ies</w:t>
      </w:r>
      <w:r w:rsidR="00AB55DE" w:rsidRPr="00743015">
        <w:rPr>
          <w:lang w:eastAsia="en-AU"/>
        </w:rPr>
        <w:t xml:space="preserve"> </w:t>
      </w:r>
      <w:r w:rsidR="008F4148" w:rsidRPr="00743015">
        <w:rPr>
          <w:lang w:eastAsia="en-AU"/>
        </w:rPr>
        <w:t xml:space="preserve">of </w:t>
      </w:r>
      <w:r w:rsidR="00860478" w:rsidRPr="00A3613E">
        <w:rPr>
          <w:lang w:eastAsia="en-AU"/>
        </w:rPr>
        <w:t xml:space="preserve">VIPs. </w:t>
      </w:r>
      <w:r>
        <w:rPr>
          <w:lang w:eastAsia="en-AU"/>
        </w:rPr>
        <w:t xml:space="preserve">The ACCC is considering whether </w:t>
      </w:r>
      <w:r w:rsidR="00E152FB">
        <w:rPr>
          <w:lang w:eastAsia="en-AU"/>
        </w:rPr>
        <w:t xml:space="preserve">Cairns casinos offer a differentiated product </w:t>
      </w:r>
      <w:r>
        <w:rPr>
          <w:lang w:eastAsia="en-AU"/>
        </w:rPr>
        <w:t xml:space="preserve">to VIP customers </w:t>
      </w:r>
      <w:r w:rsidR="000E22C2">
        <w:rPr>
          <w:lang w:eastAsia="en-AU"/>
        </w:rPr>
        <w:t xml:space="preserve">within a broader geographic market, </w:t>
      </w:r>
      <w:r>
        <w:rPr>
          <w:lang w:eastAsia="en-AU"/>
        </w:rPr>
        <w:t>or whether they</w:t>
      </w:r>
      <w:r w:rsidR="00E152FB">
        <w:rPr>
          <w:lang w:eastAsia="en-AU"/>
        </w:rPr>
        <w:t xml:space="preserve"> constitut</w:t>
      </w:r>
      <w:r>
        <w:rPr>
          <w:lang w:eastAsia="en-AU"/>
        </w:rPr>
        <w:t>e</w:t>
      </w:r>
      <w:r w:rsidR="00E152FB">
        <w:rPr>
          <w:lang w:eastAsia="en-AU"/>
        </w:rPr>
        <w:t xml:space="preserve"> a separate market themselves.</w:t>
      </w:r>
      <w:bookmarkEnd w:id="24"/>
    </w:p>
    <w:p w:rsidR="00F91B82" w:rsidRDefault="00F91B82" w:rsidP="00F91B82">
      <w:pPr>
        <w:pStyle w:val="commentbox"/>
        <w:rPr>
          <w:lang w:eastAsia="en-AU"/>
        </w:rPr>
      </w:pPr>
      <w:r w:rsidRPr="001C1744">
        <w:t xml:space="preserve">The ACCC invites comments from market participants on </w:t>
      </w:r>
      <w:r>
        <w:t xml:space="preserve">whether VIP customers are likely to see casinos located outside of Cairns, or outside of Australia, as substitutes for casinos located within Cairns (including the </w:t>
      </w:r>
      <w:proofErr w:type="spellStart"/>
      <w:r>
        <w:t>Aquis</w:t>
      </w:r>
      <w:proofErr w:type="spellEnd"/>
      <w:r>
        <w:t xml:space="preserve"> Resort once developed).</w:t>
      </w:r>
    </w:p>
    <w:p w:rsidR="000B5086" w:rsidRPr="008E4798" w:rsidRDefault="000B5086" w:rsidP="00FD2789">
      <w:pPr>
        <w:pStyle w:val="Heading4"/>
        <w:rPr>
          <w:rFonts w:ascii="Arial Bold" w:eastAsia="Calibri" w:hAnsi="Arial Bold"/>
          <w:b/>
          <w:iCs/>
          <w:kern w:val="32"/>
          <w:sz w:val="22"/>
          <w:szCs w:val="22"/>
        </w:rPr>
      </w:pPr>
      <w:r w:rsidRPr="008E4798">
        <w:lastRenderedPageBreak/>
        <w:t>Conclusion</w:t>
      </w:r>
      <w:r w:rsidR="000613D1" w:rsidRPr="008E4798">
        <w:t xml:space="preserve"> on market definition</w:t>
      </w:r>
    </w:p>
    <w:p w:rsidR="008E4798" w:rsidRDefault="00361CC6" w:rsidP="00100070">
      <w:pPr>
        <w:pStyle w:val="NormalParagraph"/>
      </w:pPr>
      <w:r w:rsidRPr="008E4798">
        <w:t xml:space="preserve">The ACCC’s preliminary view is that </w:t>
      </w:r>
      <w:r w:rsidR="006C0469" w:rsidRPr="008E4798">
        <w:t xml:space="preserve">the </w:t>
      </w:r>
      <w:r w:rsidR="008E4798" w:rsidRPr="00BF0A5E">
        <w:t xml:space="preserve">proposed acquisition should be considered in the context of </w:t>
      </w:r>
      <w:r w:rsidR="000953D4">
        <w:t>a market for the supply of casino services.</w:t>
      </w:r>
    </w:p>
    <w:p w:rsidR="00FB30A0" w:rsidRDefault="00FB30A0" w:rsidP="00A643E0">
      <w:pPr>
        <w:pStyle w:val="Heading3"/>
      </w:pPr>
      <w:r>
        <w:t>Statement of issues</w:t>
      </w:r>
    </w:p>
    <w:p w:rsidR="00A523E9" w:rsidRDefault="00A523E9" w:rsidP="00A523E9">
      <w:pPr>
        <w:pStyle w:val="Numbered"/>
      </w:pPr>
      <w:r>
        <w:t xml:space="preserve">Overall, the ACCC takes the preliminary view that the proposed acquisition may raise competition concerns. It takes this view </w:t>
      </w:r>
      <w:r w:rsidRPr="00A523E9">
        <w:t xml:space="preserve">because if the </w:t>
      </w:r>
      <w:proofErr w:type="spellStart"/>
      <w:r w:rsidRPr="00A523E9">
        <w:t>Aquis</w:t>
      </w:r>
      <w:proofErr w:type="spellEnd"/>
      <w:r w:rsidRPr="00A523E9">
        <w:t xml:space="preserve"> Resort proceeds, but the proposed acquisition does not, there would be two casinos located in Cairns with different owners. Considered in this manner, the proposed acquisition represents a reduction in the number of casino owners in Cairns from two to one</w:t>
      </w:r>
      <w:r>
        <w:t>.</w:t>
      </w:r>
    </w:p>
    <w:p w:rsidR="00FB30A0" w:rsidRPr="00DC505C" w:rsidRDefault="00A523E9" w:rsidP="00743015">
      <w:pPr>
        <w:pStyle w:val="NormalParagraph"/>
      </w:pPr>
      <w:r>
        <w:t xml:space="preserve">However, given the multifaceted nature of competition for casino services (as described above under the heading ‘market definition’), and the fact that the ACCC is still considering the appropriate market definition, the ACCC has considered how different aspects of competition for the supply of casino services may be affected by the proposed acquisition. </w:t>
      </w:r>
      <w:r w:rsidR="00FB30A0" w:rsidRPr="00DC505C">
        <w:t xml:space="preserve">For the purposes of this Statement of Issues, the issues in this matter are divided into </w:t>
      </w:r>
      <w:r w:rsidR="00EF10E2" w:rsidRPr="00DC505C">
        <w:t>two</w:t>
      </w:r>
      <w:r w:rsidR="00FB30A0" w:rsidRPr="00DC505C">
        <w:t xml:space="preserve"> categories, 'issues that may </w:t>
      </w:r>
      <w:proofErr w:type="gramStart"/>
      <w:r w:rsidR="00FB30A0" w:rsidRPr="00DC505C">
        <w:t>raise</w:t>
      </w:r>
      <w:proofErr w:type="gramEnd"/>
      <w:r w:rsidR="00FB30A0" w:rsidRPr="00DC505C">
        <w:t xml:space="preserve"> concerns' and 'issues unlikely to pose concerns'.</w:t>
      </w:r>
    </w:p>
    <w:p w:rsidR="00EF10E2" w:rsidRPr="00DC505C" w:rsidRDefault="00EF10E2" w:rsidP="00FD2789">
      <w:pPr>
        <w:pStyle w:val="Heading4"/>
      </w:pPr>
      <w:r w:rsidRPr="00DC505C">
        <w:t>Issues that may raise concerns</w:t>
      </w:r>
    </w:p>
    <w:p w:rsidR="00B15C6A" w:rsidRPr="00B62B67" w:rsidRDefault="00F520AD" w:rsidP="00B15C6A">
      <w:pPr>
        <w:pStyle w:val="Heading5"/>
      </w:pPr>
      <w:r>
        <w:t>S</w:t>
      </w:r>
      <w:r w:rsidRPr="00B62B67">
        <w:t xml:space="preserve">upply </w:t>
      </w:r>
      <w:r w:rsidR="00B15C6A" w:rsidRPr="00B62B67">
        <w:t xml:space="preserve">of </w:t>
      </w:r>
      <w:r w:rsidR="00CD7754">
        <w:t>casino services</w:t>
      </w:r>
      <w:r w:rsidR="00B15C6A" w:rsidRPr="00B62B67">
        <w:t xml:space="preserve"> to mass customers</w:t>
      </w:r>
      <w:r w:rsidR="00222FC8">
        <w:t xml:space="preserve"> in Cairns</w:t>
      </w:r>
    </w:p>
    <w:p w:rsidR="007F5748" w:rsidRDefault="00B15C6A" w:rsidP="007F5748">
      <w:pPr>
        <w:pStyle w:val="Numbered"/>
      </w:pPr>
      <w:bookmarkStart w:id="25" w:name="_Ref392066745"/>
      <w:r w:rsidRPr="00B62B67">
        <w:t xml:space="preserve">The ACCC’s preliminary view is that the proposed acquisition has the potential to result in harm to competition for the supply of </w:t>
      </w:r>
      <w:r w:rsidR="00CD7754">
        <w:t>casino services</w:t>
      </w:r>
      <w:r w:rsidRPr="00B62B67">
        <w:t xml:space="preserve"> </w:t>
      </w:r>
      <w:r w:rsidR="00B62B67" w:rsidRPr="00B62B67">
        <w:t>to mass customers in Cairns.</w:t>
      </w:r>
      <w:r w:rsidR="007F5748" w:rsidRPr="007F5748">
        <w:t xml:space="preserve"> </w:t>
      </w:r>
      <w:r w:rsidR="00CD7754">
        <w:t xml:space="preserve">As mentioned above, this </w:t>
      </w:r>
      <w:r w:rsidR="007F5748">
        <w:t xml:space="preserve">is because </w:t>
      </w:r>
      <w:r w:rsidR="007F5748" w:rsidRPr="007F5748">
        <w:t xml:space="preserve">the proposed acquisition </w:t>
      </w:r>
      <w:r w:rsidR="00CD7754">
        <w:t xml:space="preserve">may </w:t>
      </w:r>
      <w:r w:rsidR="007F5748" w:rsidRPr="007F5748">
        <w:t>represent a</w:t>
      </w:r>
      <w:r w:rsidR="007F5748">
        <w:t xml:space="preserve"> reduction in the number of casino owners in Cairns from two to one</w:t>
      </w:r>
      <w:r w:rsidR="00074B52">
        <w:t xml:space="preserve">, </w:t>
      </w:r>
      <w:r w:rsidR="00CD7754">
        <w:t xml:space="preserve">thereby </w:t>
      </w:r>
      <w:r w:rsidR="00074B52">
        <w:t>eliminat</w:t>
      </w:r>
      <w:r w:rsidR="00CD7754">
        <w:t>ing</w:t>
      </w:r>
      <w:r w:rsidR="00074B52">
        <w:t xml:space="preserve"> the prospect of mass customers receiving the benefits of competition between th</w:t>
      </w:r>
      <w:r w:rsidR="00CD7754">
        <w:t>ose casinos</w:t>
      </w:r>
      <w:r w:rsidR="00074B52">
        <w:t xml:space="preserve">. </w:t>
      </w:r>
      <w:r w:rsidR="00074B52" w:rsidRPr="00074B52">
        <w:t xml:space="preserve">These benefits might include improvements to the price and/or non-price offer of the casinos such as promotions, rebates, </w:t>
      </w:r>
      <w:r w:rsidR="00E7141B" w:rsidRPr="00E7141B">
        <w:t>loyalty or membership card schemes,</w:t>
      </w:r>
      <w:r w:rsidR="00E7141B" w:rsidRPr="00074B52">
        <w:t xml:space="preserve"> </w:t>
      </w:r>
      <w:r w:rsidR="007D074B">
        <w:t xml:space="preserve">gaming machine payout rates (subject to statutory limits) </w:t>
      </w:r>
      <w:r w:rsidR="00074B52" w:rsidRPr="00074B52">
        <w:t xml:space="preserve">or the price or quality of other goods or services provided in </w:t>
      </w:r>
      <w:r w:rsidR="00DA1AA6">
        <w:t>the casinos</w:t>
      </w:r>
      <w:r w:rsidR="00E7141B">
        <w:t xml:space="preserve"> (such as food or live entertainment</w:t>
      </w:r>
      <w:r w:rsidR="00074B52" w:rsidRPr="00074B52">
        <w:t>).</w:t>
      </w:r>
      <w:bookmarkEnd w:id="25"/>
    </w:p>
    <w:p w:rsidR="009345CC" w:rsidRDefault="00D5237A" w:rsidP="00B15C6A">
      <w:pPr>
        <w:pStyle w:val="Numbered"/>
      </w:pPr>
      <w:proofErr w:type="spellStart"/>
      <w:r>
        <w:t>Aquis</w:t>
      </w:r>
      <w:proofErr w:type="spellEnd"/>
      <w:r>
        <w:t xml:space="preserve"> has submitted to the ACCC that if the proposed acquisition did not proceed and if the </w:t>
      </w:r>
      <w:proofErr w:type="spellStart"/>
      <w:r>
        <w:t>Aquis</w:t>
      </w:r>
      <w:proofErr w:type="spellEnd"/>
      <w:r>
        <w:t xml:space="preserve"> Resort was developed, </w:t>
      </w:r>
      <w:r w:rsidR="003C6A9B">
        <w:t xml:space="preserve">the two casinos would </w:t>
      </w:r>
      <w:r w:rsidR="009345CC">
        <w:t>not compete with each other for mass customers in a material way</w:t>
      </w:r>
      <w:r w:rsidR="007505BB">
        <w:t xml:space="preserve">. </w:t>
      </w:r>
      <w:r w:rsidR="00A644EC">
        <w:t>This is because</w:t>
      </w:r>
      <w:r w:rsidR="007505BB">
        <w:t xml:space="preserve"> its resort would target different types of customers to the Reef Casino</w:t>
      </w:r>
      <w:r w:rsidR="003C6A9B">
        <w:t xml:space="preserve"> and there would be minimal or no competitive overlap between them.</w:t>
      </w:r>
      <w:r w:rsidR="00580175">
        <w:t xml:space="preserve"> </w:t>
      </w:r>
      <w:r w:rsidR="00A644EC">
        <w:t>A</w:t>
      </w:r>
      <w:r w:rsidR="00FA65D6">
        <w:t>s a result, the proposed acquisition would not substantially lessen any competition between the two venues.</w:t>
      </w:r>
    </w:p>
    <w:p w:rsidR="003C6A9B" w:rsidRDefault="00580175" w:rsidP="00B15C6A">
      <w:pPr>
        <w:pStyle w:val="Numbered"/>
      </w:pPr>
      <w:r>
        <w:t xml:space="preserve">In particular, </w:t>
      </w:r>
      <w:proofErr w:type="spellStart"/>
      <w:r>
        <w:t>Aquis</w:t>
      </w:r>
      <w:proofErr w:type="spellEnd"/>
      <w:r>
        <w:t xml:space="preserve"> has </w:t>
      </w:r>
      <w:r w:rsidR="00A644EC">
        <w:t xml:space="preserve">stated </w:t>
      </w:r>
      <w:r>
        <w:t xml:space="preserve">that the </w:t>
      </w:r>
      <w:proofErr w:type="spellStart"/>
      <w:r>
        <w:t>Aquis</w:t>
      </w:r>
      <w:proofErr w:type="spellEnd"/>
      <w:r>
        <w:t xml:space="preserve"> Resort would </w:t>
      </w:r>
      <w:r w:rsidR="00FB0FDE">
        <w:t xml:space="preserve">be modelled on existing casinos located in Macau. For this reason, it would </w:t>
      </w:r>
      <w:r w:rsidR="00A16A32">
        <w:t xml:space="preserve">primarily </w:t>
      </w:r>
      <w:r>
        <w:t xml:space="preserve">be targeted at </w:t>
      </w:r>
      <w:r w:rsidR="003E0479">
        <w:t xml:space="preserve">international </w:t>
      </w:r>
      <w:r>
        <w:t>customers</w:t>
      </w:r>
      <w:r w:rsidR="007505BB">
        <w:t>,</w:t>
      </w:r>
      <w:r w:rsidR="009345CC">
        <w:t xml:space="preserve"> with the majority of its revenues coming from international VIPs</w:t>
      </w:r>
      <w:r w:rsidR="007505BB">
        <w:t xml:space="preserve">. </w:t>
      </w:r>
      <w:proofErr w:type="spellStart"/>
      <w:r w:rsidR="007505BB">
        <w:t>Aquis</w:t>
      </w:r>
      <w:proofErr w:type="spellEnd"/>
      <w:r w:rsidR="007505BB">
        <w:t xml:space="preserve"> submits that</w:t>
      </w:r>
      <w:r w:rsidR="00A16A32">
        <w:t xml:space="preserve"> to the extent that mass customers visit its </w:t>
      </w:r>
      <w:r w:rsidR="00A16A32">
        <w:lastRenderedPageBreak/>
        <w:t xml:space="preserve">resort, they would be </w:t>
      </w:r>
      <w:r w:rsidR="005C7F7A">
        <w:t>higher stake mass customers</w:t>
      </w:r>
      <w:r w:rsidR="003E0479">
        <w:t>.</w:t>
      </w:r>
      <w:r w:rsidR="00D82C35">
        <w:t xml:space="preserve"> In contrast, the Reef Casino </w:t>
      </w:r>
      <w:r w:rsidR="009346F3">
        <w:t xml:space="preserve">currently </w:t>
      </w:r>
      <w:r w:rsidR="00D82C35">
        <w:t xml:space="preserve">obtains much of its business </w:t>
      </w:r>
      <w:r w:rsidR="00916AA5">
        <w:t xml:space="preserve">from </w:t>
      </w:r>
      <w:r w:rsidR="00D82C35">
        <w:t xml:space="preserve">lower stake </w:t>
      </w:r>
      <w:r w:rsidR="005C7F7A">
        <w:t xml:space="preserve">mass </w:t>
      </w:r>
      <w:r w:rsidR="00D82C35">
        <w:t>customers.</w:t>
      </w:r>
      <w:r w:rsidR="009346F3">
        <w:rPr>
          <w:rStyle w:val="FootnoteReference"/>
        </w:rPr>
        <w:footnoteReference w:id="13"/>
      </w:r>
    </w:p>
    <w:p w:rsidR="00F53102" w:rsidRDefault="00346ED7" w:rsidP="00D50B10">
      <w:pPr>
        <w:pStyle w:val="Numbered"/>
      </w:pPr>
      <w:proofErr w:type="spellStart"/>
      <w:r>
        <w:t>Aquis</w:t>
      </w:r>
      <w:proofErr w:type="spellEnd"/>
      <w:r>
        <w:t xml:space="preserve"> proposes to require significantly higher minimum bets from customers at </w:t>
      </w:r>
      <w:r w:rsidR="00DD5A21">
        <w:t xml:space="preserve">table games at </w:t>
      </w:r>
      <w:r>
        <w:t xml:space="preserve">the </w:t>
      </w:r>
      <w:proofErr w:type="spellStart"/>
      <w:r>
        <w:t>Aquis</w:t>
      </w:r>
      <w:proofErr w:type="spellEnd"/>
      <w:r>
        <w:t xml:space="preserve"> Resort than those applying at the Reef Casino</w:t>
      </w:r>
      <w:r w:rsidR="00D50B10">
        <w:t>:</w:t>
      </w:r>
    </w:p>
    <w:p w:rsidR="00317AEE" w:rsidRDefault="0023175E" w:rsidP="00B27A0A">
      <w:pPr>
        <w:pStyle w:val="abc"/>
        <w:numPr>
          <w:ilvl w:val="0"/>
          <w:numId w:val="44"/>
        </w:numPr>
      </w:pPr>
      <w:r>
        <w:t>T</w:t>
      </w:r>
      <w:r w:rsidR="00B27A0A">
        <w:t xml:space="preserve">he current </w:t>
      </w:r>
      <w:r w:rsidR="00E7437C">
        <w:t xml:space="preserve">lowest </w:t>
      </w:r>
      <w:r w:rsidR="00B27A0A">
        <w:t xml:space="preserve">minimum bet at the Reef Casino </w:t>
      </w:r>
      <w:r w:rsidR="00317AEE">
        <w:t xml:space="preserve">is </w:t>
      </w:r>
      <w:r w:rsidR="00B27A0A">
        <w:t>$2.50</w:t>
      </w:r>
      <w:r w:rsidR="00916AA5">
        <w:t xml:space="preserve"> (this is the minimum bet at eight of its 38 tables)</w:t>
      </w:r>
      <w:r w:rsidR="00317AEE">
        <w:t xml:space="preserve">, and every one of </w:t>
      </w:r>
      <w:r w:rsidR="00E7437C">
        <w:t>Reef Casino’s</w:t>
      </w:r>
      <w:r w:rsidR="00317AEE">
        <w:t xml:space="preserve"> </w:t>
      </w:r>
      <w:r w:rsidR="00916AA5">
        <w:t>38</w:t>
      </w:r>
      <w:r w:rsidR="00253D67">
        <w:t> </w:t>
      </w:r>
      <w:r w:rsidR="00317AEE">
        <w:t>table</w:t>
      </w:r>
      <w:r w:rsidR="00E7437C">
        <w:t>s</w:t>
      </w:r>
      <w:r w:rsidR="00317AEE">
        <w:t xml:space="preserve"> currently has a minimum bet size that is less than the proposed smallest minimum bet at the </w:t>
      </w:r>
      <w:proofErr w:type="spellStart"/>
      <w:r w:rsidR="00317AEE">
        <w:t>Aquis</w:t>
      </w:r>
      <w:proofErr w:type="spellEnd"/>
      <w:r w:rsidR="00317AEE">
        <w:t xml:space="preserve"> Resort</w:t>
      </w:r>
      <w:r w:rsidR="00253D67">
        <w:t xml:space="preserve"> (although the extent to which Reef Casino customers </w:t>
      </w:r>
      <w:r w:rsidR="00D11A2A">
        <w:t xml:space="preserve">are willing to </w:t>
      </w:r>
      <w:r w:rsidR="00253D67">
        <w:t>bet at higher levels than the minimum is not clear)</w:t>
      </w:r>
      <w:r w:rsidR="00317AEE">
        <w:t>.</w:t>
      </w:r>
    </w:p>
    <w:p w:rsidR="008A4F6D" w:rsidRPr="005170BF" w:rsidRDefault="0023175E" w:rsidP="001C4750">
      <w:pPr>
        <w:pStyle w:val="abc"/>
        <w:numPr>
          <w:ilvl w:val="0"/>
          <w:numId w:val="44"/>
        </w:numPr>
      </w:pPr>
      <w:r>
        <w:t>A</w:t>
      </w:r>
      <w:r w:rsidR="000B5A2E" w:rsidRPr="005170BF">
        <w:t xml:space="preserve">verage revenue per mass customer at the </w:t>
      </w:r>
      <w:proofErr w:type="spellStart"/>
      <w:r w:rsidR="000B5A2E" w:rsidRPr="005170BF">
        <w:t>Aquis</w:t>
      </w:r>
      <w:proofErr w:type="spellEnd"/>
      <w:r w:rsidR="000B5A2E" w:rsidRPr="005170BF">
        <w:t xml:space="preserve"> Resort is expected to be substantially greater than the average revenue per mass customer currently obtained by the Reef Casino.</w:t>
      </w:r>
    </w:p>
    <w:p w:rsidR="00042203" w:rsidRPr="0023175E" w:rsidRDefault="00042203" w:rsidP="00743015">
      <w:pPr>
        <w:pStyle w:val="Numbered"/>
      </w:pPr>
      <w:proofErr w:type="spellStart"/>
      <w:r w:rsidRPr="005170BF">
        <w:t>Aquis</w:t>
      </w:r>
      <w:proofErr w:type="spellEnd"/>
      <w:r w:rsidRPr="005170BF">
        <w:t xml:space="preserve"> has </w:t>
      </w:r>
      <w:r w:rsidR="00C22EF4">
        <w:t xml:space="preserve">also </w:t>
      </w:r>
      <w:r w:rsidRPr="005170BF">
        <w:t xml:space="preserve">submitted </w:t>
      </w:r>
      <w:r w:rsidR="00D50B10">
        <w:t xml:space="preserve">that </w:t>
      </w:r>
      <w:r w:rsidRPr="005170BF">
        <w:t>the type of atmosphere that i</w:t>
      </w:r>
      <w:r w:rsidR="00A5081A">
        <w:t>s</w:t>
      </w:r>
      <w:r w:rsidRPr="005170BF">
        <w:t xml:space="preserve"> most appealing to</w:t>
      </w:r>
      <w:r w:rsidR="00D50B10">
        <w:t xml:space="preserve"> </w:t>
      </w:r>
      <w:r w:rsidR="00270BF4">
        <w:t xml:space="preserve">its target </w:t>
      </w:r>
      <w:r w:rsidR="00D50B10">
        <w:t>customers</w:t>
      </w:r>
      <w:r w:rsidRPr="005170BF">
        <w:t xml:space="preserve"> is quieter and more refined than the type of atmosphere that is generated by lower </w:t>
      </w:r>
      <w:r w:rsidR="00253D67">
        <w:t>stake</w:t>
      </w:r>
      <w:r w:rsidR="00253D67" w:rsidRPr="005170BF">
        <w:t xml:space="preserve"> </w:t>
      </w:r>
      <w:r w:rsidRPr="005170BF">
        <w:t>mass customers who visit a casino for ‘a good time’</w:t>
      </w:r>
      <w:r w:rsidR="00C22EF4">
        <w:t xml:space="preserve"> and often drink alcohol while gambling</w:t>
      </w:r>
      <w:r w:rsidRPr="005170BF">
        <w:t xml:space="preserve">. </w:t>
      </w:r>
      <w:r w:rsidR="00270BF4">
        <w:t xml:space="preserve">For this reason, it says </w:t>
      </w:r>
      <w:r w:rsidR="00CF5C1E">
        <w:t xml:space="preserve">that it could not effectively target its resort to VIP customers if it also catered to </w:t>
      </w:r>
      <w:r w:rsidR="005C7F7A">
        <w:t>lower stake</w:t>
      </w:r>
      <w:r w:rsidR="00CF5C1E">
        <w:t xml:space="preserve"> mass customers. </w:t>
      </w:r>
    </w:p>
    <w:p w:rsidR="00907BFC" w:rsidRDefault="007F60D9" w:rsidP="007F60D9">
      <w:pPr>
        <w:pStyle w:val="Numbered"/>
      </w:pPr>
      <w:r w:rsidRPr="0023175E">
        <w:t xml:space="preserve">The ACCC’s preliminary view is that the </w:t>
      </w:r>
      <w:proofErr w:type="spellStart"/>
      <w:r w:rsidRPr="0023175E">
        <w:t>Aquis</w:t>
      </w:r>
      <w:proofErr w:type="spellEnd"/>
      <w:r w:rsidRPr="0023175E">
        <w:t xml:space="preserve"> Resort and the Reef Casino would be likely to have differentiated offers and may focus on different customers</w:t>
      </w:r>
      <w:r>
        <w:t xml:space="preserve">. </w:t>
      </w:r>
      <w:r w:rsidR="00907BFC">
        <w:t xml:space="preserve">However, the ACCC remains concerned that </w:t>
      </w:r>
      <w:r w:rsidR="00570B8B">
        <w:t xml:space="preserve">the mere fact that two casinos would operate so close to each other suggests they are likely to compete, at least to some extent. While </w:t>
      </w:r>
      <w:proofErr w:type="spellStart"/>
      <w:r w:rsidR="00907BFC">
        <w:t>Aquis</w:t>
      </w:r>
      <w:proofErr w:type="spellEnd"/>
      <w:r w:rsidR="00907BFC">
        <w:t xml:space="preserve"> Resort may focus on VIP customers, it may still cater to </w:t>
      </w:r>
      <w:r w:rsidR="001F53EB">
        <w:t xml:space="preserve">a broad range of </w:t>
      </w:r>
      <w:r w:rsidR="00907BFC">
        <w:t xml:space="preserve">mass customers. In this regard, the ACCC is considering whether providing services to VIP customers is necessarily incompatible with also providing </w:t>
      </w:r>
      <w:r w:rsidR="00A125DF">
        <w:t>casino</w:t>
      </w:r>
      <w:r w:rsidR="005112FB">
        <w:t xml:space="preserve"> </w:t>
      </w:r>
      <w:r w:rsidR="00907BFC">
        <w:t xml:space="preserve">services to </w:t>
      </w:r>
      <w:r w:rsidR="001F53EB">
        <w:t xml:space="preserve">lower stake </w:t>
      </w:r>
      <w:r w:rsidR="00907BFC">
        <w:t>mass customers at the same venue.</w:t>
      </w:r>
    </w:p>
    <w:p w:rsidR="0023175E" w:rsidRDefault="00AE4B00" w:rsidP="005E4A31">
      <w:pPr>
        <w:pStyle w:val="Numbered"/>
      </w:pPr>
      <w:r>
        <w:t>T</w:t>
      </w:r>
      <w:r w:rsidR="0023175E" w:rsidRPr="0023175E">
        <w:t>he ACCC</w:t>
      </w:r>
      <w:r w:rsidR="005E4A31">
        <w:t xml:space="preserve"> </w:t>
      </w:r>
      <w:r>
        <w:t xml:space="preserve">also </w:t>
      </w:r>
      <w:r w:rsidR="005E4A31">
        <w:t>notes</w:t>
      </w:r>
      <w:r w:rsidR="0023175E" w:rsidRPr="0023175E">
        <w:t xml:space="preserve"> that </w:t>
      </w:r>
      <w:r w:rsidR="00FA65D6">
        <w:t xml:space="preserve">certain aspects of the </w:t>
      </w:r>
      <w:proofErr w:type="spellStart"/>
      <w:r w:rsidR="00FA65D6">
        <w:t>Aquis</w:t>
      </w:r>
      <w:proofErr w:type="spellEnd"/>
      <w:r w:rsidR="00FA65D6">
        <w:t xml:space="preserve"> Resort suggest that it may attract significant </w:t>
      </w:r>
      <w:r w:rsidR="00C948B1">
        <w:t>numbers</w:t>
      </w:r>
      <w:r w:rsidR="00FA65D6">
        <w:t xml:space="preserve"> of mass customers. For example, </w:t>
      </w:r>
      <w:r w:rsidR="005E4A31">
        <w:t xml:space="preserve">the </w:t>
      </w:r>
      <w:proofErr w:type="spellStart"/>
      <w:r w:rsidR="0023175E" w:rsidRPr="0023175E">
        <w:t>Aquis</w:t>
      </w:r>
      <w:proofErr w:type="spellEnd"/>
      <w:r w:rsidR="005E4A31">
        <w:t xml:space="preserve"> Resort</w:t>
      </w:r>
      <w:r w:rsidR="00FA65D6">
        <w:t xml:space="preserve"> is proposed to include</w:t>
      </w:r>
      <w:r w:rsidR="00940059">
        <w:t xml:space="preserve"> </w:t>
      </w:r>
      <w:r w:rsidR="0023175E" w:rsidRPr="0023175E">
        <w:t xml:space="preserve">high end retail shopping, an aquarium, two theatres and convention facilities. </w:t>
      </w:r>
      <w:r w:rsidR="00FA65D6">
        <w:t xml:space="preserve">These facilities may have broad appeal to mass customers. </w:t>
      </w:r>
      <w:r w:rsidR="001650E8">
        <w:t xml:space="preserve">The Environmental Impact Statement released by </w:t>
      </w:r>
      <w:proofErr w:type="spellStart"/>
      <w:r w:rsidR="001650E8">
        <w:t>Aquis</w:t>
      </w:r>
      <w:proofErr w:type="spellEnd"/>
      <w:r w:rsidR="001650E8">
        <w:t xml:space="preserve"> in respect of its resort states that on opening, </w:t>
      </w:r>
      <w:proofErr w:type="spellStart"/>
      <w:r w:rsidR="001650E8">
        <w:t>Aquis</w:t>
      </w:r>
      <w:proofErr w:type="spellEnd"/>
      <w:r w:rsidR="001650E8">
        <w:t xml:space="preserve"> expects its entertainment facilities to attract approximately 250,000 ‘day visitors’ (being locals and visitors that stay at other hotels) per annum.</w:t>
      </w:r>
      <w:r w:rsidR="00CB2877">
        <w:rPr>
          <w:rStyle w:val="FootnoteReference"/>
        </w:rPr>
        <w:footnoteReference w:id="14"/>
      </w:r>
      <w:r w:rsidR="001650E8">
        <w:t xml:space="preserve"> </w:t>
      </w:r>
      <w:r w:rsidR="005E4A31">
        <w:t xml:space="preserve">The ACCC </w:t>
      </w:r>
      <w:r w:rsidR="001223F3">
        <w:t xml:space="preserve">expects that the </w:t>
      </w:r>
      <w:proofErr w:type="spellStart"/>
      <w:r w:rsidR="001223F3">
        <w:t>Aquis</w:t>
      </w:r>
      <w:proofErr w:type="spellEnd"/>
      <w:r w:rsidR="001223F3">
        <w:t xml:space="preserve"> Resort’s casino would also cater to these potential customers.</w:t>
      </w:r>
      <w:r w:rsidR="001223F3" w:rsidDel="001223F3">
        <w:t xml:space="preserve"> </w:t>
      </w:r>
    </w:p>
    <w:p w:rsidR="00E8786B" w:rsidRPr="007C61F6" w:rsidRDefault="00AE4B00" w:rsidP="005E4A31">
      <w:pPr>
        <w:pStyle w:val="Numbered"/>
      </w:pPr>
      <w:r w:rsidRPr="00E8786B">
        <w:lastRenderedPageBreak/>
        <w:t>Further,</w:t>
      </w:r>
      <w:r w:rsidR="00C53E6C" w:rsidRPr="00E8786B">
        <w:t xml:space="preserve"> the </w:t>
      </w:r>
      <w:proofErr w:type="spellStart"/>
      <w:r w:rsidR="00C53E6C" w:rsidRPr="00E8786B">
        <w:t>Aquis</w:t>
      </w:r>
      <w:proofErr w:type="spellEnd"/>
      <w:r w:rsidR="00C53E6C" w:rsidRPr="00E8786B">
        <w:t xml:space="preserve"> Resort has </w:t>
      </w:r>
      <w:r w:rsidR="00C53E6C" w:rsidRPr="00E8786B">
        <w:rPr>
          <w:lang w:eastAsia="en-AU"/>
        </w:rPr>
        <w:t>sought approval for approximately 750 gaming tables</w:t>
      </w:r>
      <w:r w:rsidR="007C61F6">
        <w:rPr>
          <w:lang w:eastAsia="en-AU"/>
        </w:rPr>
        <w:t xml:space="preserve"> and</w:t>
      </w:r>
      <w:r w:rsidR="007C61F6" w:rsidRPr="00E8786B">
        <w:rPr>
          <w:lang w:eastAsia="en-AU"/>
        </w:rPr>
        <w:t xml:space="preserve"> </w:t>
      </w:r>
      <w:r w:rsidR="00E8786B" w:rsidRPr="00E8786B">
        <w:rPr>
          <w:lang w:eastAsia="en-AU"/>
        </w:rPr>
        <w:t xml:space="preserve">1500 </w:t>
      </w:r>
      <w:r w:rsidR="007C61F6">
        <w:rPr>
          <w:lang w:eastAsia="en-AU"/>
        </w:rPr>
        <w:t>gaming</w:t>
      </w:r>
      <w:r w:rsidR="00E8786B" w:rsidRPr="00E8786B">
        <w:rPr>
          <w:lang w:eastAsia="en-AU"/>
        </w:rPr>
        <w:t xml:space="preserve"> machines</w:t>
      </w:r>
      <w:r w:rsidR="00C53E6C" w:rsidRPr="00E8786B">
        <w:rPr>
          <w:lang w:eastAsia="en-AU"/>
        </w:rPr>
        <w:t xml:space="preserve"> </w:t>
      </w:r>
      <w:r w:rsidR="00C53E6C" w:rsidRPr="004B54C0">
        <w:rPr>
          <w:lang w:eastAsia="en-AU"/>
        </w:rPr>
        <w:t>to be placed at the resort.</w:t>
      </w:r>
      <w:r w:rsidR="00B16E20" w:rsidRPr="00E8786B">
        <w:rPr>
          <w:rStyle w:val="FootnoteReference"/>
          <w:lang w:eastAsia="en-AU"/>
        </w:rPr>
        <w:footnoteReference w:id="15"/>
      </w:r>
      <w:r w:rsidR="00C53E6C" w:rsidRPr="00E8786B">
        <w:t xml:space="preserve"> Even if the final resort as constructed does not include as many tables </w:t>
      </w:r>
      <w:r w:rsidR="00E8786B" w:rsidRPr="00E8786B">
        <w:t xml:space="preserve">and machines </w:t>
      </w:r>
      <w:r w:rsidR="00C53E6C" w:rsidRPr="004B54C0">
        <w:t xml:space="preserve">as this, it </w:t>
      </w:r>
      <w:r w:rsidR="00E8786B" w:rsidRPr="004B54C0">
        <w:t xml:space="preserve">will </w:t>
      </w:r>
      <w:r w:rsidR="00C53E6C" w:rsidRPr="004B54C0">
        <w:t xml:space="preserve">still </w:t>
      </w:r>
      <w:r w:rsidR="00E8786B" w:rsidRPr="004B54C0">
        <w:t xml:space="preserve">be around the scale of </w:t>
      </w:r>
      <w:r w:rsidR="00C53E6C" w:rsidRPr="00E8786B">
        <w:t>the largest existing casinos in Australia.</w:t>
      </w:r>
      <w:r w:rsidR="00244C1A" w:rsidRPr="00E8786B">
        <w:t xml:space="preserve"> </w:t>
      </w:r>
      <w:r w:rsidR="00156CFF" w:rsidRPr="00E8786B">
        <w:t xml:space="preserve">The ACCC </w:t>
      </w:r>
      <w:r w:rsidR="001223F3" w:rsidRPr="00E8786B">
        <w:t xml:space="preserve">is considering </w:t>
      </w:r>
      <w:r w:rsidR="00156CFF" w:rsidRPr="00E8786B">
        <w:t>whether</w:t>
      </w:r>
      <w:r w:rsidR="00E8786B" w:rsidRPr="007C61F6">
        <w:t>:</w:t>
      </w:r>
    </w:p>
    <w:p w:rsidR="00E8786B" w:rsidRPr="0014471E" w:rsidRDefault="00156CFF" w:rsidP="007C61F6">
      <w:pPr>
        <w:pStyle w:val="Numbered"/>
        <w:numPr>
          <w:ilvl w:val="1"/>
          <w:numId w:val="2"/>
        </w:numPr>
      </w:pPr>
      <w:r w:rsidRPr="00E8786B">
        <w:t xml:space="preserve">the </w:t>
      </w:r>
      <w:proofErr w:type="spellStart"/>
      <w:r w:rsidRPr="00E8786B">
        <w:t>Aquis</w:t>
      </w:r>
      <w:proofErr w:type="spellEnd"/>
      <w:r w:rsidRPr="00E8786B">
        <w:t xml:space="preserve"> Resort would be able to </w:t>
      </w:r>
      <w:r w:rsidR="00B22EC3">
        <w:t xml:space="preserve">attract enough customers to operate a casino on such a large scale </w:t>
      </w:r>
      <w:r w:rsidRPr="004B54C0">
        <w:t>without appealing to all types of mass customers</w:t>
      </w:r>
    </w:p>
    <w:p w:rsidR="00E87D04" w:rsidRPr="00E8786B" w:rsidRDefault="00E8786B" w:rsidP="007C61F6">
      <w:pPr>
        <w:pStyle w:val="Numbered"/>
        <w:numPr>
          <w:ilvl w:val="1"/>
          <w:numId w:val="2"/>
        </w:numPr>
      </w:pPr>
      <w:proofErr w:type="gramStart"/>
      <w:r w:rsidRPr="0014471E">
        <w:t>the</w:t>
      </w:r>
      <w:proofErr w:type="gramEnd"/>
      <w:r w:rsidRPr="0014471E">
        <w:t xml:space="preserve"> large number of gaming machines would be necessary if </w:t>
      </w:r>
      <w:proofErr w:type="spellStart"/>
      <w:r w:rsidRPr="0014471E">
        <w:t>Aquis</w:t>
      </w:r>
      <w:proofErr w:type="spellEnd"/>
      <w:r w:rsidRPr="0014471E">
        <w:t xml:space="preserve"> </w:t>
      </w:r>
      <w:r w:rsidR="00A7006C">
        <w:t xml:space="preserve">did not intend </w:t>
      </w:r>
      <w:r w:rsidRPr="0014471E">
        <w:t xml:space="preserve">to </w:t>
      </w:r>
      <w:r w:rsidR="00A7006C">
        <w:t>attract</w:t>
      </w:r>
      <w:r w:rsidR="00A7006C" w:rsidRPr="0014471E">
        <w:t xml:space="preserve"> </w:t>
      </w:r>
      <w:r w:rsidRPr="0014471E">
        <w:t>lower stake mass customers</w:t>
      </w:r>
      <w:r w:rsidR="00156CFF" w:rsidRPr="00E8786B">
        <w:t>.</w:t>
      </w:r>
    </w:p>
    <w:p w:rsidR="00F14CBF" w:rsidRDefault="000B0E5D" w:rsidP="00E87D04">
      <w:pPr>
        <w:pStyle w:val="Numbered"/>
      </w:pPr>
      <w:bookmarkStart w:id="26" w:name="_Ref392066539"/>
      <w:r w:rsidRPr="000B0E5D">
        <w:t xml:space="preserve">More broadly, </w:t>
      </w:r>
      <w:r w:rsidR="009611E4">
        <w:t xml:space="preserve">the ACCC notes that the analysis of competitive overlap presented above is based on the current operations of the Reef Casino and the </w:t>
      </w:r>
      <w:r w:rsidR="006D193B">
        <w:t xml:space="preserve">currently </w:t>
      </w:r>
      <w:r w:rsidR="009611E4">
        <w:t xml:space="preserve">expected operations of the </w:t>
      </w:r>
      <w:proofErr w:type="spellStart"/>
      <w:r w:rsidR="009611E4">
        <w:t>Aquis</w:t>
      </w:r>
      <w:proofErr w:type="spellEnd"/>
      <w:r w:rsidR="009611E4">
        <w:t xml:space="preserve"> Resort. However, the proposed acquisition also eliminates the potential for competition between these two venues in the future. </w:t>
      </w:r>
      <w:r w:rsidR="006D193B">
        <w:t>For example,</w:t>
      </w:r>
      <w:r w:rsidR="00BF0A5E">
        <w:t xml:space="preserve"> the two venues might compete more closely than described above if</w:t>
      </w:r>
      <w:r w:rsidR="00F14CBF">
        <w:t>:</w:t>
      </w:r>
      <w:bookmarkEnd w:id="26"/>
    </w:p>
    <w:p w:rsidR="00F14CBF" w:rsidRDefault="00F14CBF" w:rsidP="00CC0C03">
      <w:pPr>
        <w:pStyle w:val="abc"/>
        <w:numPr>
          <w:ilvl w:val="0"/>
          <w:numId w:val="47"/>
        </w:numPr>
      </w:pPr>
      <w:r>
        <w:t>Reef Casino</w:t>
      </w:r>
      <w:r w:rsidR="000613D1">
        <w:t xml:space="preserve"> chang</w:t>
      </w:r>
      <w:r w:rsidR="00BF0A5E">
        <w:t>ed</w:t>
      </w:r>
      <w:r w:rsidR="000613D1">
        <w:t xml:space="preserve"> it</w:t>
      </w:r>
      <w:r w:rsidR="009B7CC2">
        <w:t>s</w:t>
      </w:r>
      <w:r>
        <w:t xml:space="preserve"> offer </w:t>
      </w:r>
      <w:r w:rsidR="000613D1">
        <w:t>to</w:t>
      </w:r>
      <w:r>
        <w:t xml:space="preserve"> allow it to compete</w:t>
      </w:r>
      <w:r w:rsidR="00DF69D8">
        <w:t xml:space="preserve"> more effectively</w:t>
      </w:r>
      <w:r>
        <w:t xml:space="preserve"> with the </w:t>
      </w:r>
      <w:proofErr w:type="spellStart"/>
      <w:r>
        <w:t>Aquis</w:t>
      </w:r>
      <w:proofErr w:type="spellEnd"/>
      <w:r>
        <w:t xml:space="preserve"> Resort </w:t>
      </w:r>
      <w:r w:rsidR="000B0E5D">
        <w:t>for higher stake mass customers</w:t>
      </w:r>
    </w:p>
    <w:p w:rsidR="000B0E5D" w:rsidRDefault="009803F9" w:rsidP="00CC0C03">
      <w:pPr>
        <w:pStyle w:val="abc"/>
        <w:numPr>
          <w:ilvl w:val="0"/>
          <w:numId w:val="44"/>
        </w:numPr>
      </w:pPr>
      <w:proofErr w:type="gramStart"/>
      <w:r>
        <w:t>the</w:t>
      </w:r>
      <w:proofErr w:type="gramEnd"/>
      <w:r>
        <w:t xml:space="preserve"> </w:t>
      </w:r>
      <w:proofErr w:type="spellStart"/>
      <w:r w:rsidR="00CC0C03">
        <w:t>Aquis</w:t>
      </w:r>
      <w:proofErr w:type="spellEnd"/>
      <w:r w:rsidR="00CC0C03">
        <w:t xml:space="preserve"> Resort</w:t>
      </w:r>
      <w:r w:rsidR="009308D0">
        <w:t xml:space="preserve"> </w:t>
      </w:r>
      <w:r w:rsidR="00BF0A5E">
        <w:t xml:space="preserve">was </w:t>
      </w:r>
      <w:r w:rsidR="009308D0">
        <w:t xml:space="preserve">ultimately not constructed to the same standards and scale </w:t>
      </w:r>
      <w:r w:rsidR="00CC3EDC">
        <w:t>as</w:t>
      </w:r>
      <w:r w:rsidR="009308D0">
        <w:t xml:space="preserve"> currently </w:t>
      </w:r>
      <w:r w:rsidR="00CC3EDC">
        <w:t>proposed</w:t>
      </w:r>
      <w:r w:rsidR="009308D0">
        <w:t xml:space="preserve">, with the result that it </w:t>
      </w:r>
      <w:r w:rsidR="00BF0A5E">
        <w:t xml:space="preserve">was </w:t>
      </w:r>
      <w:r w:rsidR="009E1061">
        <w:t>more reliant on mass customers than is currently planned</w:t>
      </w:r>
      <w:r w:rsidR="009308D0">
        <w:t>.</w:t>
      </w:r>
      <w:r w:rsidR="00804414">
        <w:t xml:space="preserve"> In this context the ACCC notes that the </w:t>
      </w:r>
      <w:proofErr w:type="spellStart"/>
      <w:r w:rsidR="00804414">
        <w:t>Aquis</w:t>
      </w:r>
      <w:proofErr w:type="spellEnd"/>
      <w:r w:rsidR="00804414">
        <w:t xml:space="preserve"> Resort is currently of a size and scale that is unprecedented in Australia.</w:t>
      </w:r>
    </w:p>
    <w:p w:rsidR="00194D5D" w:rsidRPr="006B0C7D" w:rsidRDefault="00194D5D" w:rsidP="00743015">
      <w:pPr>
        <w:pStyle w:val="commentbox"/>
      </w:pPr>
      <w:r w:rsidRPr="006B0C7D">
        <w:t>The ACCC invites comments from market participants on</w:t>
      </w:r>
      <w:r w:rsidR="00C10C1B" w:rsidRPr="006B0C7D">
        <w:t xml:space="preserve"> the likely extent of competition between the </w:t>
      </w:r>
      <w:proofErr w:type="spellStart"/>
      <w:r w:rsidR="00C10C1B" w:rsidRPr="006B0C7D">
        <w:t>Aquis</w:t>
      </w:r>
      <w:proofErr w:type="spellEnd"/>
      <w:r w:rsidR="00C10C1B" w:rsidRPr="006B0C7D">
        <w:t xml:space="preserve"> Resort and the Reef Casino in </w:t>
      </w:r>
      <w:r w:rsidR="007D3096">
        <w:t xml:space="preserve">relation to the supply of </w:t>
      </w:r>
      <w:r w:rsidR="00DD5A21">
        <w:t>casino services</w:t>
      </w:r>
      <w:r w:rsidR="007D3096">
        <w:t xml:space="preserve"> in </w:t>
      </w:r>
      <w:r w:rsidR="00C10C1B" w:rsidRPr="006B0C7D">
        <w:t xml:space="preserve">the absence of the proposed acquisition. </w:t>
      </w:r>
      <w:r w:rsidRPr="006B0C7D">
        <w:t>In particular market participants may wish to comment on:</w:t>
      </w:r>
    </w:p>
    <w:p w:rsidR="000A46DF" w:rsidRDefault="000A46DF" w:rsidP="00D23A36">
      <w:pPr>
        <w:pStyle w:val="commentbox"/>
        <w:numPr>
          <w:ilvl w:val="0"/>
          <w:numId w:val="48"/>
        </w:numPr>
        <w:ind w:left="426" w:hanging="426"/>
      </w:pPr>
      <w:r w:rsidRPr="00CB5A6A">
        <w:t>Similarities or d</w:t>
      </w:r>
      <w:r w:rsidR="00D82DE4" w:rsidRPr="00CB5A6A">
        <w:t>ifferences</w:t>
      </w:r>
      <w:r w:rsidR="006069CE" w:rsidRPr="00CB5A6A">
        <w:t xml:space="preserve"> between</w:t>
      </w:r>
      <w:r w:rsidR="00D82DE4" w:rsidRPr="00CB5A6A">
        <w:t xml:space="preserve"> the type of </w:t>
      </w:r>
      <w:r w:rsidRPr="00CB5A6A">
        <w:t xml:space="preserve">mass </w:t>
      </w:r>
      <w:r w:rsidR="00D82DE4" w:rsidRPr="00CB5A6A">
        <w:t xml:space="preserve">customers that </w:t>
      </w:r>
      <w:r w:rsidR="00BC1080" w:rsidRPr="00CB5A6A">
        <w:t>would be attracted to each of the</w:t>
      </w:r>
      <w:r w:rsidRPr="00CB5A6A">
        <w:t xml:space="preserve"> </w:t>
      </w:r>
      <w:proofErr w:type="spellStart"/>
      <w:r w:rsidRPr="00CB5A6A">
        <w:t>Aquis</w:t>
      </w:r>
      <w:proofErr w:type="spellEnd"/>
      <w:r w:rsidRPr="00CB5A6A">
        <w:t xml:space="preserve"> Resort and the Reef Casino</w:t>
      </w:r>
      <w:r w:rsidR="005738B2" w:rsidRPr="00CB5A6A">
        <w:t>.</w:t>
      </w:r>
      <w:r w:rsidR="00415E9A">
        <w:t xml:space="preserve"> What proportion of </w:t>
      </w:r>
      <w:r w:rsidR="00842047">
        <w:t xml:space="preserve">mass </w:t>
      </w:r>
      <w:r w:rsidR="00415E9A">
        <w:t>customers would be likely to be attracted to both casinos?</w:t>
      </w:r>
    </w:p>
    <w:p w:rsidR="000D0458" w:rsidRDefault="001F53EB" w:rsidP="001F53EB">
      <w:pPr>
        <w:pStyle w:val="commentbox"/>
        <w:numPr>
          <w:ilvl w:val="0"/>
          <w:numId w:val="48"/>
        </w:numPr>
        <w:ind w:left="426" w:hanging="426"/>
      </w:pPr>
      <w:r w:rsidRPr="00CB5A6A">
        <w:t xml:space="preserve">The likelihood of the </w:t>
      </w:r>
      <w:proofErr w:type="spellStart"/>
      <w:r w:rsidRPr="00CB5A6A">
        <w:t>Aquis</w:t>
      </w:r>
      <w:proofErr w:type="spellEnd"/>
      <w:r w:rsidRPr="00CB5A6A">
        <w:t xml:space="preserve"> Resort competing for a broad range of mass customers, including lower stake </w:t>
      </w:r>
      <w:r w:rsidR="000D0458">
        <w:t>mass</w:t>
      </w:r>
      <w:r w:rsidRPr="00CB5A6A">
        <w:t xml:space="preserve"> customers.</w:t>
      </w:r>
      <w:r w:rsidRPr="001F53EB">
        <w:t xml:space="preserve"> </w:t>
      </w:r>
      <w:r w:rsidR="000D0458">
        <w:t>In your answer please consider:</w:t>
      </w:r>
    </w:p>
    <w:p w:rsidR="000D0458" w:rsidRDefault="00B4478E" w:rsidP="00BF0A5E">
      <w:pPr>
        <w:pStyle w:val="commentbox"/>
        <w:ind w:left="1077" w:hanging="1077"/>
      </w:pPr>
      <w:r>
        <w:t xml:space="preserve">           </w:t>
      </w:r>
      <w:r w:rsidR="008803B9">
        <w:t xml:space="preserve">a)   </w:t>
      </w:r>
      <w:r>
        <w:t xml:space="preserve"> </w:t>
      </w:r>
      <w:r w:rsidR="000D418E">
        <w:t>T</w:t>
      </w:r>
      <w:r w:rsidR="000D0458">
        <w:t xml:space="preserve">he operations of existing casinos in </w:t>
      </w:r>
      <w:r w:rsidR="00BF0A5E">
        <w:t>Macau</w:t>
      </w:r>
      <w:r w:rsidR="000D0458">
        <w:t xml:space="preserve">, on which the </w:t>
      </w:r>
      <w:proofErr w:type="spellStart"/>
      <w:r w:rsidR="000D0458">
        <w:t>Aquis</w:t>
      </w:r>
      <w:proofErr w:type="spellEnd"/>
      <w:r w:rsidR="000D0458">
        <w:t xml:space="preserve"> Resort </w:t>
      </w:r>
      <w:r w:rsidR="00270BF4">
        <w:t xml:space="preserve">states </w:t>
      </w:r>
      <w:r w:rsidR="000D0458">
        <w:t>it is to be modelled</w:t>
      </w:r>
    </w:p>
    <w:p w:rsidR="000D0458" w:rsidRDefault="00B4478E" w:rsidP="00BF0A5E">
      <w:pPr>
        <w:pStyle w:val="commentbox"/>
        <w:ind w:left="1077" w:hanging="1077"/>
      </w:pPr>
      <w:r>
        <w:t xml:space="preserve">           </w:t>
      </w:r>
      <w:r w:rsidR="008803B9">
        <w:t xml:space="preserve">b)   </w:t>
      </w:r>
      <w:r>
        <w:t xml:space="preserve"> </w:t>
      </w:r>
      <w:r w:rsidR="000D418E">
        <w:t>A</w:t>
      </w:r>
      <w:r w:rsidR="000D0458">
        <w:t xml:space="preserve">ny cultural or social differences between VIP and lower stake mass customers that mean that the </w:t>
      </w:r>
      <w:proofErr w:type="spellStart"/>
      <w:r w:rsidR="000D0458">
        <w:t>Aquis</w:t>
      </w:r>
      <w:proofErr w:type="spellEnd"/>
      <w:r w:rsidR="000D0458">
        <w:t xml:space="preserve"> resort could not effectively cater to both groups of customers</w:t>
      </w:r>
    </w:p>
    <w:p w:rsidR="000D0458" w:rsidRDefault="00B4478E" w:rsidP="00BF0A5E">
      <w:pPr>
        <w:pStyle w:val="commentbox"/>
        <w:ind w:left="1077" w:hanging="1077"/>
      </w:pPr>
      <w:r>
        <w:lastRenderedPageBreak/>
        <w:t xml:space="preserve">           </w:t>
      </w:r>
      <w:r w:rsidR="008803B9">
        <w:t xml:space="preserve">c)   </w:t>
      </w:r>
      <w:r>
        <w:t xml:space="preserve"> </w:t>
      </w:r>
      <w:r w:rsidR="000D418E">
        <w:t>T</w:t>
      </w:r>
      <w:r w:rsidR="000D0458">
        <w:t xml:space="preserve">he ability of the </w:t>
      </w:r>
      <w:proofErr w:type="spellStart"/>
      <w:r w:rsidR="000D0458">
        <w:t>Aquis</w:t>
      </w:r>
      <w:proofErr w:type="spellEnd"/>
      <w:r w:rsidR="000D0458">
        <w:t xml:space="preserve"> Resort to effectively separate the parts of its business </w:t>
      </w:r>
      <w:proofErr w:type="gramStart"/>
      <w:r w:rsidR="000D0458">
        <w:t>that</w:t>
      </w:r>
      <w:r w:rsidR="007C12F9">
        <w:t xml:space="preserve"> cater</w:t>
      </w:r>
      <w:proofErr w:type="gramEnd"/>
      <w:r w:rsidR="007C12F9">
        <w:t xml:space="preserve"> to</w:t>
      </w:r>
      <w:r w:rsidR="000D0458">
        <w:t xml:space="preserve"> VIP and mass customers</w:t>
      </w:r>
      <w:r w:rsidR="007C12F9">
        <w:t>, so as to</w:t>
      </w:r>
      <w:r w:rsidR="000D0458">
        <w:t xml:space="preserve"> cater to both within the same venue </w:t>
      </w:r>
    </w:p>
    <w:p w:rsidR="001F53EB" w:rsidRPr="00CB5A6A" w:rsidRDefault="001F53EB" w:rsidP="001F53EB">
      <w:pPr>
        <w:pStyle w:val="commentbox"/>
        <w:numPr>
          <w:ilvl w:val="0"/>
          <w:numId w:val="48"/>
        </w:numPr>
        <w:ind w:left="426" w:hanging="426"/>
      </w:pPr>
      <w:r>
        <w:t xml:space="preserve">Whether a large number of gaming machines, such as proposed for the </w:t>
      </w:r>
      <w:proofErr w:type="spellStart"/>
      <w:r>
        <w:t>Aquis</w:t>
      </w:r>
      <w:proofErr w:type="spellEnd"/>
      <w:r>
        <w:t xml:space="preserve"> Resort, would be necessary for a casino focused on </w:t>
      </w:r>
      <w:r w:rsidR="000D0458">
        <w:t>international</w:t>
      </w:r>
      <w:r>
        <w:t xml:space="preserve"> VIPs and higher stake mass customers.</w:t>
      </w:r>
    </w:p>
    <w:p w:rsidR="00804414" w:rsidRPr="00CB5A6A" w:rsidRDefault="00804414" w:rsidP="00D23A36">
      <w:pPr>
        <w:pStyle w:val="commentbox"/>
        <w:numPr>
          <w:ilvl w:val="0"/>
          <w:numId w:val="48"/>
        </w:numPr>
        <w:ind w:left="426" w:hanging="426"/>
      </w:pPr>
      <w:r>
        <w:t xml:space="preserve">The proportion of mass customers </w:t>
      </w:r>
      <w:r w:rsidR="00006AEA">
        <w:t>who</w:t>
      </w:r>
      <w:r>
        <w:t xml:space="preserve"> currently visit the Reef Casino that make bets at or around minimum bet levels, and </w:t>
      </w:r>
      <w:r w:rsidR="00C948B1">
        <w:t xml:space="preserve">the proportion that </w:t>
      </w:r>
      <w:r>
        <w:t>would be willing to make minimum bets of a significantly higher size.</w:t>
      </w:r>
    </w:p>
    <w:p w:rsidR="000A4B7C" w:rsidRDefault="00DF69D8" w:rsidP="00D23A36">
      <w:pPr>
        <w:pStyle w:val="commentbox"/>
        <w:numPr>
          <w:ilvl w:val="0"/>
          <w:numId w:val="48"/>
        </w:numPr>
        <w:ind w:left="426" w:hanging="426"/>
      </w:pPr>
      <w:r w:rsidRPr="00CB5A6A">
        <w:t>Whether the Reef Casino, as the only casino currently in Cairns, is currently attracting many higher stake mass customers</w:t>
      </w:r>
      <w:r w:rsidR="000A4B7C">
        <w:t>.</w:t>
      </w:r>
    </w:p>
    <w:p w:rsidR="000A4B7C" w:rsidRDefault="000A4B7C" w:rsidP="00D23A36">
      <w:pPr>
        <w:pStyle w:val="commentbox"/>
        <w:numPr>
          <w:ilvl w:val="0"/>
          <w:numId w:val="48"/>
        </w:numPr>
        <w:ind w:left="426" w:hanging="426"/>
      </w:pPr>
      <w:r>
        <w:t>T</w:t>
      </w:r>
      <w:r w:rsidR="00DF69D8" w:rsidRPr="00CB5A6A">
        <w:t>he actions that</w:t>
      </w:r>
      <w:r>
        <w:t xml:space="preserve"> the Reef Casino</w:t>
      </w:r>
      <w:r w:rsidR="00DF69D8" w:rsidRPr="00CB5A6A">
        <w:t xml:space="preserve"> might take</w:t>
      </w:r>
      <w:r w:rsidR="000613D1">
        <w:t xml:space="preserve"> in the absence of the proposed acquisition</w:t>
      </w:r>
      <w:r w:rsidR="00DF69D8" w:rsidRPr="00CB5A6A">
        <w:t xml:space="preserve"> to attract a greater number of high</w:t>
      </w:r>
      <w:r>
        <w:t>er</w:t>
      </w:r>
      <w:r w:rsidR="00DF69D8" w:rsidRPr="00CB5A6A">
        <w:t xml:space="preserve"> stake mass customers</w:t>
      </w:r>
      <w:r w:rsidR="000613D1">
        <w:t xml:space="preserve"> and the likelihood of this occu</w:t>
      </w:r>
      <w:r w:rsidR="00C92BCF">
        <w:t>r</w:t>
      </w:r>
      <w:r w:rsidR="000613D1">
        <w:t>ring</w:t>
      </w:r>
      <w:r w:rsidR="005543D5">
        <w:t>.</w:t>
      </w:r>
    </w:p>
    <w:p w:rsidR="00DD5A21" w:rsidRDefault="00DD5A21" w:rsidP="008C45AA">
      <w:pPr>
        <w:pStyle w:val="Numbered"/>
      </w:pPr>
      <w:bookmarkStart w:id="27" w:name="_Ref391646269"/>
      <w:r>
        <w:t xml:space="preserve">The analysis set out above at paragraphs </w:t>
      </w:r>
      <w:r w:rsidR="00AD31BD">
        <w:fldChar w:fldCharType="begin"/>
      </w:r>
      <w:r w:rsidR="00AD31BD">
        <w:instrText xml:space="preserve"> REF _Ref392066745 \r \h </w:instrText>
      </w:r>
      <w:r w:rsidR="00AD31BD">
        <w:fldChar w:fldCharType="separate"/>
      </w:r>
      <w:r w:rsidR="00C37665">
        <w:t>63</w:t>
      </w:r>
      <w:r w:rsidR="00AD31BD">
        <w:fldChar w:fldCharType="end"/>
      </w:r>
      <w:r>
        <w:t xml:space="preserve"> to </w:t>
      </w:r>
      <w:r>
        <w:fldChar w:fldCharType="begin"/>
      </w:r>
      <w:r>
        <w:instrText xml:space="preserve"> REF _Ref392066539 \r \h </w:instrText>
      </w:r>
      <w:r>
        <w:fldChar w:fldCharType="separate"/>
      </w:r>
      <w:r w:rsidR="00C37665">
        <w:t>71</w:t>
      </w:r>
      <w:r>
        <w:fldChar w:fldCharType="end"/>
      </w:r>
      <w:r>
        <w:t xml:space="preserve"> applied to all aspects of competition for </w:t>
      </w:r>
      <w:r w:rsidR="00B77120">
        <w:t xml:space="preserve">the supply of </w:t>
      </w:r>
      <w:r>
        <w:t>casino services</w:t>
      </w:r>
      <w:r w:rsidR="00B77120">
        <w:t xml:space="preserve"> to mass customers</w:t>
      </w:r>
      <w:r>
        <w:t xml:space="preserve">. However, as noted earlier in this Statement of Issues, the ACCC is still considering the extent to which casinos compete with other venues that provide a combination of gaming machines and other entertainment. Paragraphs </w:t>
      </w:r>
      <w:r w:rsidR="001650E8">
        <w:fldChar w:fldCharType="begin"/>
      </w:r>
      <w:r w:rsidR="001650E8">
        <w:instrText xml:space="preserve"> REF _Ref392072291 \r \h </w:instrText>
      </w:r>
      <w:r w:rsidR="001650E8">
        <w:fldChar w:fldCharType="separate"/>
      </w:r>
      <w:r w:rsidR="00C37665">
        <w:t>73</w:t>
      </w:r>
      <w:r w:rsidR="001650E8">
        <w:fldChar w:fldCharType="end"/>
      </w:r>
      <w:r>
        <w:t xml:space="preserve"> to </w:t>
      </w:r>
      <w:r w:rsidR="009D597A">
        <w:fldChar w:fldCharType="begin"/>
      </w:r>
      <w:r w:rsidR="009D597A">
        <w:instrText xml:space="preserve"> REF _Ref392067040 \r \h </w:instrText>
      </w:r>
      <w:r w:rsidR="009D597A">
        <w:fldChar w:fldCharType="separate"/>
      </w:r>
      <w:r w:rsidR="00C37665">
        <w:t>77</w:t>
      </w:r>
      <w:r w:rsidR="009D597A">
        <w:fldChar w:fldCharType="end"/>
      </w:r>
      <w:r>
        <w:t xml:space="preserve"> below provide further information that is specifically referable to gaming machines.</w:t>
      </w:r>
    </w:p>
    <w:p w:rsidR="00A57F04" w:rsidRDefault="00C11507" w:rsidP="00A57F04">
      <w:pPr>
        <w:pStyle w:val="Numbered"/>
      </w:pPr>
      <w:bookmarkStart w:id="28" w:name="_Ref392072291"/>
      <w:bookmarkEnd w:id="27"/>
      <w:r>
        <w:t xml:space="preserve">As </w:t>
      </w:r>
      <w:r w:rsidR="00C74181">
        <w:t>mentioned</w:t>
      </w:r>
      <w:r>
        <w:t xml:space="preserve"> above at paragraphs </w:t>
      </w:r>
      <w:r w:rsidR="00C74181">
        <w:fldChar w:fldCharType="begin"/>
      </w:r>
      <w:r w:rsidR="00C74181">
        <w:instrText xml:space="preserve"> REF _Ref391630597 \r \h </w:instrText>
      </w:r>
      <w:r w:rsidR="00C74181">
        <w:fldChar w:fldCharType="separate"/>
      </w:r>
      <w:r w:rsidR="00C37665">
        <w:t>12</w:t>
      </w:r>
      <w:r w:rsidR="00C74181">
        <w:fldChar w:fldCharType="end"/>
      </w:r>
      <w:r>
        <w:t xml:space="preserve"> and </w:t>
      </w:r>
      <w:r w:rsidR="00C74181">
        <w:fldChar w:fldCharType="begin"/>
      </w:r>
      <w:r w:rsidR="00C74181">
        <w:instrText xml:space="preserve"> REF _Ref391630607 \r \h </w:instrText>
      </w:r>
      <w:r w:rsidR="00C74181">
        <w:fldChar w:fldCharType="separate"/>
      </w:r>
      <w:r w:rsidR="00C37665">
        <w:t>13</w:t>
      </w:r>
      <w:r w:rsidR="00C74181">
        <w:fldChar w:fldCharType="end"/>
      </w:r>
      <w:r>
        <w:t>, the Reef Casino presently has 519 gaming machines</w:t>
      </w:r>
      <w:r w:rsidR="00C74181">
        <w:t xml:space="preserve"> and the </w:t>
      </w:r>
      <w:proofErr w:type="spellStart"/>
      <w:r>
        <w:t>Aquis</w:t>
      </w:r>
      <w:proofErr w:type="spellEnd"/>
      <w:r>
        <w:t xml:space="preserve"> Resort has sought approval for 1500 gaming machines.</w:t>
      </w:r>
      <w:r w:rsidR="009B243D" w:rsidRPr="009B243D">
        <w:t xml:space="preserve"> </w:t>
      </w:r>
      <w:r w:rsidR="009B243D">
        <w:t>The Reef Casino is presently the venue with the most gaming machines in Cairns.</w:t>
      </w:r>
      <w:bookmarkEnd w:id="28"/>
    </w:p>
    <w:p w:rsidR="009B243D" w:rsidRDefault="009B243D" w:rsidP="00A57F04">
      <w:pPr>
        <w:pStyle w:val="Numbered"/>
      </w:pPr>
      <w:r>
        <w:t>T</w:t>
      </w:r>
      <w:r w:rsidR="00C11507">
        <w:t xml:space="preserve">here are presently approximately </w:t>
      </w:r>
      <w:r w:rsidR="00570B8B">
        <w:t xml:space="preserve">38 </w:t>
      </w:r>
      <w:r w:rsidR="00C11507">
        <w:t xml:space="preserve">other clubs and hotels in the Cairns / </w:t>
      </w:r>
      <w:proofErr w:type="spellStart"/>
      <w:r w:rsidR="00C11507">
        <w:t>Yorkeys</w:t>
      </w:r>
      <w:proofErr w:type="spellEnd"/>
      <w:r w:rsidR="00C11507">
        <w:t xml:space="preserve"> Knob area that have gaming machines. </w:t>
      </w:r>
      <w:r>
        <w:t xml:space="preserve">Other venues with significant numbers of gaming machines include </w:t>
      </w:r>
      <w:proofErr w:type="spellStart"/>
      <w:r>
        <w:t>Cazalys</w:t>
      </w:r>
      <w:proofErr w:type="spellEnd"/>
      <w:r>
        <w:t xml:space="preserve"> Cairns (300 machines), Brothers Leagues Club (170 machines), and Fuller Sports Club (90 machines). Together, venues other than the Reef Casino in the Cairns area have approximately 1750 gaming machines.</w:t>
      </w:r>
    </w:p>
    <w:p w:rsidR="00C11507" w:rsidRPr="001040C3" w:rsidRDefault="00A7006C" w:rsidP="00A57F04">
      <w:pPr>
        <w:pStyle w:val="Numbered"/>
      </w:pPr>
      <w:r w:rsidRPr="001040C3">
        <w:t xml:space="preserve">Further details of the </w:t>
      </w:r>
      <w:r w:rsidR="00EF317A" w:rsidRPr="001040C3">
        <w:t xml:space="preserve">other venues with </w:t>
      </w:r>
      <w:r w:rsidRPr="001040C3">
        <w:t>gaming machines in Cairns and</w:t>
      </w:r>
      <w:r w:rsidR="00EF317A" w:rsidRPr="001040C3">
        <w:t xml:space="preserve"> the</w:t>
      </w:r>
      <w:r w:rsidRPr="001040C3">
        <w:t xml:space="preserve"> surrounding area are set out at </w:t>
      </w:r>
      <w:r w:rsidR="00C81B99" w:rsidRPr="001040C3">
        <w:fldChar w:fldCharType="begin"/>
      </w:r>
      <w:r w:rsidR="00C81B99" w:rsidRPr="001040C3">
        <w:instrText xml:space="preserve"> REF _Ref391650055 \h  \* MERGEFORMAT </w:instrText>
      </w:r>
      <w:r w:rsidR="00C81B99" w:rsidRPr="001040C3">
        <w:fldChar w:fldCharType="separate"/>
      </w:r>
      <w:r w:rsidR="00C37665" w:rsidRPr="00C37665">
        <w:rPr>
          <w:bCs/>
          <w:color w:val="000000"/>
        </w:rPr>
        <w:t xml:space="preserve">Table </w:t>
      </w:r>
      <w:r w:rsidR="00C37665" w:rsidRPr="00C37665">
        <w:rPr>
          <w:bCs/>
          <w:noProof/>
          <w:color w:val="000000"/>
        </w:rPr>
        <w:t>2</w:t>
      </w:r>
      <w:r w:rsidR="00C81B99" w:rsidRPr="001040C3">
        <w:fldChar w:fldCharType="end"/>
      </w:r>
      <w:r w:rsidRPr="001040C3">
        <w:t xml:space="preserve"> below.</w:t>
      </w:r>
    </w:p>
    <w:p w:rsidR="00C81B99" w:rsidRPr="004756A1" w:rsidRDefault="00C81B99" w:rsidP="007A606A">
      <w:pPr>
        <w:pStyle w:val="Numbered"/>
        <w:keepNext/>
        <w:keepLines/>
        <w:numPr>
          <w:ilvl w:val="0"/>
          <w:numId w:val="0"/>
        </w:numPr>
        <w:ind w:left="567" w:hanging="567"/>
        <w:rPr>
          <w:b/>
          <w:bCs/>
          <w:color w:val="000000"/>
        </w:rPr>
      </w:pPr>
      <w:bookmarkStart w:id="29" w:name="_Ref391650055"/>
      <w:r w:rsidRPr="004756A1">
        <w:rPr>
          <w:b/>
          <w:bCs/>
          <w:color w:val="000000"/>
        </w:rPr>
        <w:lastRenderedPageBreak/>
        <w:t xml:space="preserve">Table </w:t>
      </w:r>
      <w:r w:rsidRPr="004756A1">
        <w:rPr>
          <w:b/>
          <w:bCs/>
          <w:color w:val="000000"/>
        </w:rPr>
        <w:fldChar w:fldCharType="begin"/>
      </w:r>
      <w:r w:rsidRPr="004756A1">
        <w:rPr>
          <w:b/>
          <w:bCs/>
          <w:color w:val="000000"/>
        </w:rPr>
        <w:instrText xml:space="preserve"> SEQ Table \* ARABIC </w:instrText>
      </w:r>
      <w:r w:rsidRPr="004756A1">
        <w:rPr>
          <w:b/>
          <w:bCs/>
          <w:color w:val="000000"/>
        </w:rPr>
        <w:fldChar w:fldCharType="separate"/>
      </w:r>
      <w:r w:rsidR="00C37665">
        <w:rPr>
          <w:b/>
          <w:bCs/>
          <w:noProof/>
          <w:color w:val="000000"/>
        </w:rPr>
        <w:t>2</w:t>
      </w:r>
      <w:r w:rsidRPr="004756A1">
        <w:rPr>
          <w:b/>
          <w:bCs/>
          <w:color w:val="000000"/>
        </w:rPr>
        <w:fldChar w:fldCharType="end"/>
      </w:r>
      <w:bookmarkEnd w:id="29"/>
      <w:r w:rsidRPr="004756A1">
        <w:rPr>
          <w:b/>
          <w:bCs/>
          <w:color w:val="000000"/>
        </w:rPr>
        <w:t xml:space="preserve">  – Summary of </w:t>
      </w:r>
      <w:r>
        <w:rPr>
          <w:b/>
          <w:bCs/>
          <w:color w:val="000000"/>
        </w:rPr>
        <w:t>gaming machine venues in Cairns</w:t>
      </w:r>
      <w:r w:rsidR="00A125DF" w:rsidRPr="00A7469E">
        <w:rPr>
          <w:rStyle w:val="FootnoteReference"/>
          <w:b/>
        </w:rPr>
        <w:footnoteReference w:id="1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2447"/>
        <w:gridCol w:w="2849"/>
      </w:tblGrid>
      <w:tr w:rsidR="00FE4686" w:rsidRPr="00FE4686" w:rsidTr="00A43F6D">
        <w:trPr>
          <w:trHeight w:val="557"/>
        </w:trPr>
        <w:tc>
          <w:tcPr>
            <w:tcW w:w="1944" w:type="pct"/>
            <w:shd w:val="clear" w:color="auto" w:fill="auto"/>
            <w:noWrap/>
            <w:vAlign w:val="bottom"/>
            <w:hideMark/>
          </w:tcPr>
          <w:p w:rsidR="00FE4686" w:rsidRPr="00FE4686" w:rsidRDefault="00FE4686" w:rsidP="007A606A">
            <w:pPr>
              <w:keepNext/>
              <w:keepLines/>
              <w:spacing w:beforeLines="60" w:before="144" w:afterLines="60" w:after="144"/>
              <w:rPr>
                <w:rFonts w:ascii="Arial" w:hAnsi="Arial" w:cs="Arial"/>
                <w:b/>
                <w:bCs/>
                <w:sz w:val="22"/>
                <w:szCs w:val="22"/>
                <w:lang w:eastAsia="en-AU"/>
              </w:rPr>
            </w:pPr>
            <w:r w:rsidRPr="00FE4686">
              <w:rPr>
                <w:rFonts w:ascii="Arial" w:hAnsi="Arial" w:cs="Arial"/>
                <w:b/>
                <w:bCs/>
                <w:sz w:val="22"/>
                <w:szCs w:val="22"/>
                <w:lang w:eastAsia="en-AU"/>
              </w:rPr>
              <w:t>Site Name</w:t>
            </w:r>
          </w:p>
        </w:tc>
        <w:tc>
          <w:tcPr>
            <w:tcW w:w="1412" w:type="pct"/>
            <w:shd w:val="clear" w:color="auto" w:fill="auto"/>
            <w:noWrap/>
            <w:vAlign w:val="bottom"/>
            <w:hideMark/>
          </w:tcPr>
          <w:p w:rsidR="00FE4686" w:rsidRPr="00FE4686" w:rsidRDefault="00FE4686" w:rsidP="007A606A">
            <w:pPr>
              <w:keepNext/>
              <w:keepLines/>
              <w:spacing w:beforeLines="60" w:before="144" w:afterLines="60" w:after="144"/>
              <w:jc w:val="center"/>
              <w:rPr>
                <w:rFonts w:ascii="Arial" w:hAnsi="Arial" w:cs="Arial"/>
                <w:b/>
                <w:bCs/>
                <w:sz w:val="22"/>
                <w:szCs w:val="22"/>
                <w:lang w:eastAsia="en-AU"/>
              </w:rPr>
            </w:pPr>
            <w:r w:rsidRPr="00FE4686">
              <w:rPr>
                <w:rFonts w:ascii="Arial" w:hAnsi="Arial" w:cs="Arial"/>
                <w:b/>
                <w:bCs/>
                <w:sz w:val="22"/>
                <w:szCs w:val="22"/>
                <w:lang w:eastAsia="en-AU"/>
              </w:rPr>
              <w:t>Approved Gaming Machines</w:t>
            </w:r>
          </w:p>
        </w:tc>
        <w:tc>
          <w:tcPr>
            <w:tcW w:w="1644" w:type="pct"/>
            <w:shd w:val="clear" w:color="auto" w:fill="auto"/>
            <w:vAlign w:val="bottom"/>
            <w:hideMark/>
          </w:tcPr>
          <w:p w:rsidR="00FE4686" w:rsidRPr="00FE4686" w:rsidRDefault="00FE4686" w:rsidP="007A606A">
            <w:pPr>
              <w:keepNext/>
              <w:keepLines/>
              <w:spacing w:beforeLines="60" w:before="144" w:afterLines="60" w:after="144"/>
              <w:jc w:val="center"/>
              <w:rPr>
                <w:rFonts w:ascii="Arial" w:hAnsi="Arial" w:cs="Arial"/>
                <w:b/>
                <w:bCs/>
                <w:sz w:val="22"/>
                <w:szCs w:val="22"/>
                <w:lang w:eastAsia="en-AU"/>
              </w:rPr>
            </w:pPr>
            <w:r w:rsidRPr="00FE4686">
              <w:rPr>
                <w:rFonts w:ascii="Arial" w:hAnsi="Arial" w:cs="Arial"/>
                <w:b/>
                <w:bCs/>
                <w:sz w:val="22"/>
                <w:szCs w:val="22"/>
                <w:lang w:eastAsia="en-AU"/>
              </w:rPr>
              <w:t>% of Total Approved Gaming Machines</w:t>
            </w:r>
          </w:p>
        </w:tc>
      </w:tr>
      <w:tr w:rsidR="00FE4686" w:rsidRPr="00FE4686" w:rsidTr="00A43F6D">
        <w:trPr>
          <w:trHeight w:val="300"/>
        </w:trPr>
        <w:tc>
          <w:tcPr>
            <w:tcW w:w="1944" w:type="pct"/>
            <w:shd w:val="clear" w:color="000000" w:fill="D9D9D9"/>
            <w:noWrap/>
            <w:vAlign w:val="bottom"/>
            <w:hideMark/>
          </w:tcPr>
          <w:p w:rsidR="00FE4686" w:rsidRPr="00FE4686" w:rsidRDefault="00FE4686" w:rsidP="007A606A">
            <w:pPr>
              <w:keepNext/>
              <w:keepLines/>
              <w:spacing w:beforeLines="60" w:before="144" w:afterLines="60" w:after="144"/>
              <w:rPr>
                <w:rFonts w:ascii="Arial" w:hAnsi="Arial" w:cs="Arial"/>
                <w:bCs/>
                <w:sz w:val="22"/>
                <w:szCs w:val="22"/>
                <w:lang w:eastAsia="en-AU"/>
              </w:rPr>
            </w:pPr>
            <w:proofErr w:type="spellStart"/>
            <w:r w:rsidRPr="00FE4686">
              <w:rPr>
                <w:rFonts w:ascii="Arial" w:hAnsi="Arial" w:cs="Arial"/>
                <w:bCs/>
                <w:sz w:val="22"/>
                <w:szCs w:val="22"/>
                <w:lang w:eastAsia="en-AU"/>
              </w:rPr>
              <w:t>Aquis</w:t>
            </w:r>
            <w:proofErr w:type="spellEnd"/>
            <w:r w:rsidRPr="00FE4686">
              <w:rPr>
                <w:rFonts w:ascii="Arial" w:hAnsi="Arial" w:cs="Arial"/>
                <w:bCs/>
                <w:sz w:val="22"/>
                <w:szCs w:val="22"/>
                <w:lang w:eastAsia="en-AU"/>
              </w:rPr>
              <w:t xml:space="preserve"> Resort (if developed)</w:t>
            </w:r>
          </w:p>
        </w:tc>
        <w:tc>
          <w:tcPr>
            <w:tcW w:w="1412" w:type="pct"/>
            <w:shd w:val="clear" w:color="000000" w:fill="D9D9D9"/>
            <w:noWrap/>
            <w:vAlign w:val="bottom"/>
            <w:hideMark/>
          </w:tcPr>
          <w:p w:rsidR="00FE4686" w:rsidRPr="00FE4686" w:rsidRDefault="00FE4686" w:rsidP="007A606A">
            <w:pPr>
              <w:keepNext/>
              <w:keepLines/>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1500</w:t>
            </w:r>
          </w:p>
        </w:tc>
        <w:tc>
          <w:tcPr>
            <w:tcW w:w="1644" w:type="pct"/>
            <w:shd w:val="clear" w:color="auto" w:fill="D9D9D9"/>
            <w:noWrap/>
            <w:vAlign w:val="bottom"/>
            <w:hideMark/>
          </w:tcPr>
          <w:p w:rsidR="00FE4686" w:rsidRPr="00FE4686" w:rsidRDefault="00FE4686" w:rsidP="007A606A">
            <w:pPr>
              <w:keepNext/>
              <w:keepLines/>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40%</w:t>
            </w:r>
          </w:p>
        </w:tc>
      </w:tr>
      <w:tr w:rsidR="00FE4686" w:rsidRPr="00FE4686" w:rsidTr="00A43F6D">
        <w:trPr>
          <w:trHeight w:val="300"/>
        </w:trPr>
        <w:tc>
          <w:tcPr>
            <w:tcW w:w="1944" w:type="pct"/>
            <w:shd w:val="clear" w:color="000000" w:fill="D9D9D9"/>
            <w:noWrap/>
            <w:vAlign w:val="bottom"/>
            <w:hideMark/>
          </w:tcPr>
          <w:p w:rsidR="00FE4686" w:rsidRPr="00FE4686" w:rsidRDefault="00FE4686" w:rsidP="0086020C">
            <w:pPr>
              <w:spacing w:beforeLines="60" w:before="144" w:afterLines="60" w:after="144"/>
              <w:rPr>
                <w:rFonts w:ascii="Arial" w:hAnsi="Arial" w:cs="Arial"/>
                <w:bCs/>
                <w:sz w:val="22"/>
                <w:szCs w:val="22"/>
                <w:lang w:eastAsia="en-AU"/>
              </w:rPr>
            </w:pPr>
            <w:r w:rsidRPr="00FE4686">
              <w:rPr>
                <w:rFonts w:ascii="Arial" w:hAnsi="Arial" w:cs="Arial"/>
                <w:bCs/>
                <w:sz w:val="22"/>
                <w:szCs w:val="22"/>
                <w:lang w:eastAsia="en-AU"/>
              </w:rPr>
              <w:t>Reef Hotel Casino</w:t>
            </w:r>
          </w:p>
        </w:tc>
        <w:tc>
          <w:tcPr>
            <w:tcW w:w="1412" w:type="pct"/>
            <w:shd w:val="clear" w:color="000000" w:fill="D9D9D9"/>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519</w:t>
            </w:r>
          </w:p>
        </w:tc>
        <w:tc>
          <w:tcPr>
            <w:tcW w:w="1644" w:type="pct"/>
            <w:shd w:val="clear" w:color="auto" w:fill="D9D9D9"/>
            <w:noWrap/>
            <w:vAlign w:val="bottom"/>
            <w:hideMark/>
          </w:tcPr>
          <w:p w:rsidR="00FE4686" w:rsidRPr="00FE4686" w:rsidRDefault="00FE4686" w:rsidP="0086020C">
            <w:pPr>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14%</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sz w:val="22"/>
                <w:szCs w:val="22"/>
                <w:lang w:eastAsia="en-AU"/>
              </w:rPr>
            </w:pPr>
            <w:proofErr w:type="spellStart"/>
            <w:r w:rsidRPr="00FE4686">
              <w:rPr>
                <w:rFonts w:ascii="Arial" w:hAnsi="Arial" w:cs="Arial"/>
                <w:sz w:val="22"/>
                <w:szCs w:val="22"/>
                <w:lang w:eastAsia="en-AU"/>
              </w:rPr>
              <w:t>Cazalys</w:t>
            </w:r>
            <w:proofErr w:type="spellEnd"/>
            <w:r w:rsidRPr="00FE4686">
              <w:rPr>
                <w:rFonts w:ascii="Arial" w:hAnsi="Arial" w:cs="Arial"/>
                <w:sz w:val="22"/>
                <w:szCs w:val="22"/>
                <w:lang w:eastAsia="en-AU"/>
              </w:rPr>
              <w:t xml:space="preserve"> Cairns</w:t>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300</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8%</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sz w:val="22"/>
                <w:szCs w:val="22"/>
                <w:lang w:eastAsia="en-AU"/>
              </w:rPr>
            </w:pPr>
            <w:r w:rsidRPr="00FE4686">
              <w:rPr>
                <w:rFonts w:ascii="Arial" w:hAnsi="Arial" w:cs="Arial"/>
                <w:sz w:val="22"/>
                <w:szCs w:val="22"/>
                <w:lang w:eastAsia="en-AU"/>
              </w:rPr>
              <w:t>Brothers Leagues Club Cairns</w:t>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170</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5%</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sz w:val="22"/>
                <w:szCs w:val="22"/>
                <w:lang w:eastAsia="en-AU"/>
              </w:rPr>
            </w:pPr>
            <w:r w:rsidRPr="00FE4686">
              <w:rPr>
                <w:rFonts w:ascii="Arial" w:hAnsi="Arial" w:cs="Arial"/>
                <w:sz w:val="22"/>
                <w:szCs w:val="22"/>
                <w:lang w:eastAsia="en-AU"/>
              </w:rPr>
              <w:t>Fuller Sports Club</w:t>
            </w:r>
            <w:r w:rsidR="00142584">
              <w:rPr>
                <w:rStyle w:val="FootnoteReference"/>
                <w:rFonts w:ascii="Arial" w:hAnsi="Arial" w:cs="Arial"/>
                <w:lang w:eastAsia="en-AU"/>
              </w:rPr>
              <w:footnoteReference w:id="17"/>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90</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2%</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sz w:val="22"/>
                <w:szCs w:val="22"/>
                <w:lang w:eastAsia="en-AU"/>
              </w:rPr>
            </w:pPr>
            <w:proofErr w:type="spellStart"/>
            <w:r w:rsidRPr="00FE4686">
              <w:rPr>
                <w:rFonts w:ascii="Arial" w:hAnsi="Arial" w:cs="Arial"/>
                <w:sz w:val="22"/>
                <w:szCs w:val="22"/>
                <w:lang w:eastAsia="en-AU"/>
              </w:rPr>
              <w:t>Fretwell</w:t>
            </w:r>
            <w:proofErr w:type="spellEnd"/>
            <w:r w:rsidRPr="00FE4686">
              <w:rPr>
                <w:rFonts w:ascii="Arial" w:hAnsi="Arial" w:cs="Arial"/>
                <w:sz w:val="22"/>
                <w:szCs w:val="22"/>
                <w:lang w:eastAsia="en-AU"/>
              </w:rPr>
              <w:t xml:space="preserve"> Park</w:t>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60</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2%</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sz w:val="22"/>
                <w:szCs w:val="22"/>
                <w:lang w:eastAsia="en-AU"/>
              </w:rPr>
            </w:pPr>
            <w:r w:rsidRPr="00FE4686">
              <w:rPr>
                <w:rFonts w:ascii="Arial" w:hAnsi="Arial" w:cs="Arial"/>
                <w:sz w:val="22"/>
                <w:szCs w:val="22"/>
                <w:lang w:eastAsia="en-AU"/>
              </w:rPr>
              <w:t>Centrals Trinity Beach Australian Rules &amp; Sporting Club</w:t>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58</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color w:val="000000"/>
                <w:sz w:val="22"/>
                <w:szCs w:val="22"/>
                <w:lang w:eastAsia="en-AU"/>
              </w:rPr>
            </w:pPr>
            <w:r w:rsidRPr="00FE4686">
              <w:rPr>
                <w:rFonts w:ascii="Arial" w:hAnsi="Arial" w:cs="Arial"/>
                <w:color w:val="000000"/>
                <w:sz w:val="22"/>
                <w:szCs w:val="22"/>
                <w:lang w:eastAsia="en-AU"/>
              </w:rPr>
              <w:t>2%</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sz w:val="22"/>
                <w:szCs w:val="22"/>
                <w:lang w:eastAsia="en-AU"/>
              </w:rPr>
            </w:pPr>
            <w:r w:rsidRPr="00FE4686">
              <w:rPr>
                <w:rFonts w:ascii="Arial" w:hAnsi="Arial" w:cs="Arial"/>
                <w:sz w:val="22"/>
                <w:szCs w:val="22"/>
                <w:lang w:eastAsia="en-AU"/>
              </w:rPr>
              <w:t>Other (combined 33 venues)</w:t>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1056</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sz w:val="22"/>
                <w:szCs w:val="22"/>
                <w:lang w:eastAsia="en-AU"/>
              </w:rPr>
            </w:pPr>
            <w:r w:rsidRPr="00FE4686">
              <w:rPr>
                <w:rFonts w:ascii="Arial" w:hAnsi="Arial" w:cs="Arial"/>
                <w:sz w:val="22"/>
                <w:szCs w:val="22"/>
                <w:lang w:eastAsia="en-AU"/>
              </w:rPr>
              <w:t>28%</w:t>
            </w:r>
          </w:p>
        </w:tc>
      </w:tr>
      <w:tr w:rsidR="00FE4686" w:rsidRPr="00FE4686" w:rsidTr="00A43F6D">
        <w:trPr>
          <w:trHeight w:val="300"/>
        </w:trPr>
        <w:tc>
          <w:tcPr>
            <w:tcW w:w="1944" w:type="pct"/>
            <w:shd w:val="clear" w:color="auto" w:fill="auto"/>
            <w:noWrap/>
            <w:vAlign w:val="bottom"/>
            <w:hideMark/>
          </w:tcPr>
          <w:p w:rsidR="00FE4686" w:rsidRPr="00FE4686" w:rsidRDefault="00FE4686" w:rsidP="0086020C">
            <w:pPr>
              <w:spacing w:beforeLines="60" w:before="144" w:afterLines="60" w:after="144"/>
              <w:rPr>
                <w:rFonts w:ascii="Arial" w:hAnsi="Arial" w:cs="Arial"/>
                <w:b/>
                <w:color w:val="000000"/>
                <w:sz w:val="22"/>
                <w:szCs w:val="22"/>
                <w:lang w:eastAsia="en-AU"/>
              </w:rPr>
            </w:pPr>
            <w:r w:rsidRPr="00FE4686">
              <w:rPr>
                <w:rFonts w:ascii="Arial" w:hAnsi="Arial" w:cs="Arial"/>
                <w:b/>
                <w:color w:val="000000"/>
                <w:sz w:val="22"/>
                <w:szCs w:val="22"/>
                <w:lang w:eastAsia="en-AU"/>
              </w:rPr>
              <w:t>Total</w:t>
            </w:r>
          </w:p>
        </w:tc>
        <w:tc>
          <w:tcPr>
            <w:tcW w:w="1412"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b/>
                <w:color w:val="000000"/>
                <w:sz w:val="22"/>
                <w:szCs w:val="22"/>
                <w:lang w:eastAsia="en-AU"/>
              </w:rPr>
            </w:pPr>
            <w:r w:rsidRPr="00FE4686">
              <w:rPr>
                <w:rFonts w:ascii="Arial" w:hAnsi="Arial" w:cs="Arial"/>
                <w:b/>
                <w:color w:val="000000"/>
                <w:sz w:val="22"/>
                <w:szCs w:val="22"/>
                <w:lang w:eastAsia="en-AU"/>
              </w:rPr>
              <w:t>3753</w:t>
            </w:r>
          </w:p>
        </w:tc>
        <w:tc>
          <w:tcPr>
            <w:tcW w:w="1644" w:type="pct"/>
            <w:shd w:val="clear" w:color="auto" w:fill="auto"/>
            <w:noWrap/>
            <w:vAlign w:val="bottom"/>
            <w:hideMark/>
          </w:tcPr>
          <w:p w:rsidR="00FE4686" w:rsidRPr="00FE4686" w:rsidRDefault="00FE4686" w:rsidP="0086020C">
            <w:pPr>
              <w:spacing w:beforeLines="60" w:before="144" w:afterLines="60" w:after="144"/>
              <w:jc w:val="center"/>
              <w:rPr>
                <w:rFonts w:ascii="Arial" w:hAnsi="Arial" w:cs="Arial"/>
                <w:b/>
                <w:color w:val="000000"/>
                <w:sz w:val="22"/>
                <w:szCs w:val="22"/>
                <w:lang w:eastAsia="en-AU"/>
              </w:rPr>
            </w:pPr>
            <w:r w:rsidRPr="00FE4686">
              <w:rPr>
                <w:rFonts w:ascii="Arial" w:hAnsi="Arial" w:cs="Arial"/>
                <w:b/>
                <w:color w:val="000000"/>
                <w:sz w:val="22"/>
                <w:szCs w:val="22"/>
                <w:lang w:eastAsia="en-AU"/>
              </w:rPr>
              <w:t>100%</w:t>
            </w:r>
          </w:p>
        </w:tc>
      </w:tr>
    </w:tbl>
    <w:p w:rsidR="00294017" w:rsidRDefault="002F5D11" w:rsidP="00A57F04">
      <w:pPr>
        <w:pStyle w:val="Numbered"/>
      </w:pPr>
      <w:r>
        <w:t xml:space="preserve">If the </w:t>
      </w:r>
      <w:proofErr w:type="spellStart"/>
      <w:r w:rsidR="009B243D">
        <w:t>Aquis</w:t>
      </w:r>
      <w:proofErr w:type="spellEnd"/>
      <w:r w:rsidR="009B243D">
        <w:t xml:space="preserve"> Resort is developed, it will have approximately </w:t>
      </w:r>
      <w:r w:rsidR="00084579">
        <w:t>40</w:t>
      </w:r>
      <w:r w:rsidR="009B243D">
        <w:t xml:space="preserve">% of the gaming machines in Cairns. </w:t>
      </w:r>
      <w:r w:rsidR="00294017">
        <w:t xml:space="preserve">In the absence of the proposed acquisition, the Reef Casino would be the closest competitor to the </w:t>
      </w:r>
      <w:proofErr w:type="spellStart"/>
      <w:r w:rsidR="00294017">
        <w:t>Aquis</w:t>
      </w:r>
      <w:proofErr w:type="spellEnd"/>
      <w:r w:rsidR="00294017">
        <w:t xml:space="preserve"> Resort in the supply of gaming machines (in terms of the number of machines). </w:t>
      </w:r>
      <w:r w:rsidR="009B243D">
        <w:t xml:space="preserve">The proposed acquisition would have the effect of eliminating </w:t>
      </w:r>
      <w:r w:rsidR="00294017">
        <w:t xml:space="preserve">that competitor </w:t>
      </w:r>
      <w:r w:rsidR="009B243D">
        <w:t xml:space="preserve">to the </w:t>
      </w:r>
      <w:proofErr w:type="spellStart"/>
      <w:r w:rsidR="009B243D">
        <w:t>Aquis</w:t>
      </w:r>
      <w:proofErr w:type="spellEnd"/>
      <w:r w:rsidR="009B243D">
        <w:t xml:space="preserve"> Resort, and increasing the percentage of the gaming machines in Cairns that are under </w:t>
      </w:r>
      <w:proofErr w:type="spellStart"/>
      <w:r w:rsidR="009B243D">
        <w:t>Aquis</w:t>
      </w:r>
      <w:proofErr w:type="spellEnd"/>
      <w:r w:rsidR="009B243D">
        <w:t xml:space="preserve">’ control from </w:t>
      </w:r>
      <w:r w:rsidR="00084579">
        <w:t>40</w:t>
      </w:r>
      <w:r w:rsidR="009B243D">
        <w:t xml:space="preserve">% to </w:t>
      </w:r>
      <w:r w:rsidR="008C2E2B">
        <w:t>54</w:t>
      </w:r>
      <w:r w:rsidR="009B243D">
        <w:t xml:space="preserve">%. The </w:t>
      </w:r>
      <w:r w:rsidR="00294017">
        <w:t xml:space="preserve">remaining </w:t>
      </w:r>
      <w:r w:rsidR="009B243D">
        <w:t xml:space="preserve">competitors to </w:t>
      </w:r>
      <w:proofErr w:type="spellStart"/>
      <w:r w:rsidR="009B243D">
        <w:t>Aquis</w:t>
      </w:r>
      <w:proofErr w:type="spellEnd"/>
      <w:r w:rsidR="009B243D">
        <w:t xml:space="preserve"> and the Reef Casino would be mostly fragmented. </w:t>
      </w:r>
    </w:p>
    <w:p w:rsidR="00294017" w:rsidRDefault="009B243D" w:rsidP="00AE37AE">
      <w:pPr>
        <w:pStyle w:val="Numbered"/>
      </w:pPr>
      <w:bookmarkStart w:id="30" w:name="_Ref392067040"/>
      <w:r>
        <w:t>In these circumstances, the ACCC is considering whether the proposed acquisition would ma</w:t>
      </w:r>
      <w:r w:rsidR="00294017">
        <w:t xml:space="preserve">terially increase </w:t>
      </w:r>
      <w:proofErr w:type="spellStart"/>
      <w:r w:rsidR="00294017">
        <w:t>Aquis</w:t>
      </w:r>
      <w:proofErr w:type="spellEnd"/>
      <w:r w:rsidR="00294017">
        <w:t xml:space="preserve">’ ability to reduce </w:t>
      </w:r>
      <w:r w:rsidR="00CD0FD4">
        <w:t xml:space="preserve">gaming machine </w:t>
      </w:r>
      <w:r w:rsidR="00294017">
        <w:t xml:space="preserve">payout rates </w:t>
      </w:r>
      <w:r w:rsidR="00570B8B">
        <w:t xml:space="preserve">(subject to statutory </w:t>
      </w:r>
      <w:r w:rsidR="00CD0FD4">
        <w:t>limits</w:t>
      </w:r>
      <w:r w:rsidR="00570B8B">
        <w:t xml:space="preserve">) </w:t>
      </w:r>
      <w:r w:rsidR="00294017">
        <w:t xml:space="preserve">and/or reduce the quality of </w:t>
      </w:r>
      <w:r w:rsidR="007D7ABC">
        <w:t xml:space="preserve">other casino </w:t>
      </w:r>
      <w:r w:rsidR="00294017">
        <w:t xml:space="preserve">services at the </w:t>
      </w:r>
      <w:proofErr w:type="spellStart"/>
      <w:r w:rsidR="00294017">
        <w:t>Aquis</w:t>
      </w:r>
      <w:proofErr w:type="spellEnd"/>
      <w:r w:rsidR="00294017">
        <w:t xml:space="preserve"> Resort or at the Reef Casino.</w:t>
      </w:r>
      <w:bookmarkEnd w:id="30"/>
    </w:p>
    <w:p w:rsidR="00316F55" w:rsidRDefault="00316F55" w:rsidP="00294017">
      <w:pPr>
        <w:pStyle w:val="commentbox"/>
      </w:pPr>
      <w:r w:rsidRPr="006B0C7D">
        <w:t>The ACCC invites comments from market participants on</w:t>
      </w:r>
      <w:r>
        <w:t xml:space="preserve"> the likely effect of the proposed acquisition on competition for gaming machine patrons. In particular market participants may wish to comment on:</w:t>
      </w:r>
    </w:p>
    <w:p w:rsidR="00316F55" w:rsidRDefault="00316F55" w:rsidP="00294017">
      <w:pPr>
        <w:pStyle w:val="commentbox"/>
        <w:numPr>
          <w:ilvl w:val="0"/>
          <w:numId w:val="71"/>
        </w:numPr>
        <w:ind w:hanging="720"/>
      </w:pPr>
      <w:r>
        <w:t>The extent of current competition between the Reef Casino and other venues in Cairns for gaming machine patrons</w:t>
      </w:r>
    </w:p>
    <w:p w:rsidR="00316F55" w:rsidRPr="00CB5A6A" w:rsidRDefault="008664B5" w:rsidP="00294017">
      <w:pPr>
        <w:pStyle w:val="commentbox"/>
        <w:numPr>
          <w:ilvl w:val="0"/>
          <w:numId w:val="71"/>
        </w:numPr>
        <w:ind w:hanging="720"/>
      </w:pPr>
      <w:r>
        <w:lastRenderedPageBreak/>
        <w:t xml:space="preserve">The extent to which </w:t>
      </w:r>
      <w:proofErr w:type="spellStart"/>
      <w:r>
        <w:t>Aquis</w:t>
      </w:r>
      <w:proofErr w:type="spellEnd"/>
      <w:r>
        <w:t xml:space="preserve"> Resort would be likely to compete for gaming machine patrons</w:t>
      </w:r>
      <w:r w:rsidR="00294017">
        <w:t xml:space="preserve">, and if so, whether there would be a difference between the type of patrons attracted to the gaming machines at the </w:t>
      </w:r>
      <w:proofErr w:type="spellStart"/>
      <w:r w:rsidR="00294017">
        <w:t>Aquis</w:t>
      </w:r>
      <w:proofErr w:type="spellEnd"/>
      <w:r w:rsidR="00294017">
        <w:t xml:space="preserve"> Resort and those attracted to the Reef Casino or other venues in Cairns.</w:t>
      </w:r>
    </w:p>
    <w:p w:rsidR="00FB30A0" w:rsidRDefault="00FB30A0" w:rsidP="00BF26F6">
      <w:pPr>
        <w:pStyle w:val="Heading4"/>
        <w:keepLines/>
      </w:pPr>
      <w:r w:rsidRPr="00E03DBC">
        <w:t>Issues unlikely to pose concerns</w:t>
      </w:r>
    </w:p>
    <w:p w:rsidR="00B15C6A" w:rsidRPr="00B15C6A" w:rsidRDefault="00F520AD" w:rsidP="00BF26F6">
      <w:pPr>
        <w:pStyle w:val="Heading5"/>
        <w:keepNext/>
        <w:keepLines/>
      </w:pPr>
      <w:r>
        <w:t>S</w:t>
      </w:r>
      <w:r w:rsidR="00B15C6A">
        <w:t xml:space="preserve">upply of </w:t>
      </w:r>
      <w:r w:rsidR="00A661C6">
        <w:t>casino services</w:t>
      </w:r>
      <w:r w:rsidR="00B15C6A">
        <w:t xml:space="preserve"> to VIP customers</w:t>
      </w:r>
    </w:p>
    <w:p w:rsidR="00152077" w:rsidRDefault="00152077" w:rsidP="00743015">
      <w:pPr>
        <w:pStyle w:val="Numbered"/>
        <w:rPr>
          <w:rFonts w:eastAsia="Calibri"/>
        </w:rPr>
      </w:pPr>
      <w:bookmarkStart w:id="31" w:name="_Ref390421724"/>
      <w:r w:rsidRPr="00E03DBC">
        <w:rPr>
          <w:rFonts w:eastAsia="Calibri"/>
        </w:rPr>
        <w:t>The ACCC</w:t>
      </w:r>
      <w:r w:rsidR="00E03DBC">
        <w:rPr>
          <w:rFonts w:eastAsia="Calibri"/>
        </w:rPr>
        <w:t>’s</w:t>
      </w:r>
      <w:r w:rsidRPr="00E03DBC">
        <w:rPr>
          <w:rFonts w:eastAsia="Calibri"/>
        </w:rPr>
        <w:t xml:space="preserve"> preliminary view is that the </w:t>
      </w:r>
      <w:r w:rsidRPr="00E03DBC">
        <w:t>proposed</w:t>
      </w:r>
      <w:r w:rsidRPr="00E03DBC">
        <w:rPr>
          <w:rFonts w:eastAsia="Calibri"/>
        </w:rPr>
        <w:t xml:space="preserve"> acquisition is unlikely to</w:t>
      </w:r>
      <w:r w:rsidR="00045162">
        <w:rPr>
          <w:rFonts w:eastAsia="Calibri"/>
        </w:rPr>
        <w:t xml:space="preserve"> </w:t>
      </w:r>
      <w:r w:rsidR="0080034E">
        <w:rPr>
          <w:rFonts w:eastAsia="Calibri"/>
        </w:rPr>
        <w:t>substantially lessen</w:t>
      </w:r>
      <w:r w:rsidR="00045162">
        <w:rPr>
          <w:rFonts w:eastAsia="Calibri"/>
        </w:rPr>
        <w:t xml:space="preserve"> competition for</w:t>
      </w:r>
      <w:r w:rsidRPr="00E03DBC">
        <w:rPr>
          <w:rFonts w:eastAsia="Calibri"/>
        </w:rPr>
        <w:t xml:space="preserve"> the supply of </w:t>
      </w:r>
      <w:r w:rsidR="0080034E">
        <w:rPr>
          <w:rFonts w:eastAsia="Calibri"/>
        </w:rPr>
        <w:t>casino services</w:t>
      </w:r>
      <w:r w:rsidRPr="00E03DBC">
        <w:rPr>
          <w:rFonts w:eastAsia="Calibri"/>
        </w:rPr>
        <w:t xml:space="preserve"> </w:t>
      </w:r>
      <w:r w:rsidR="00E03DBC" w:rsidRPr="00E03DBC">
        <w:rPr>
          <w:rFonts w:eastAsia="Calibri"/>
        </w:rPr>
        <w:t xml:space="preserve">to </w:t>
      </w:r>
      <w:r w:rsidR="00826AE5">
        <w:rPr>
          <w:rFonts w:eastAsia="Calibri"/>
        </w:rPr>
        <w:t>VIP customers.</w:t>
      </w:r>
      <w:bookmarkEnd w:id="31"/>
    </w:p>
    <w:p w:rsidR="00826AE5" w:rsidRPr="00F56633" w:rsidRDefault="00F56633" w:rsidP="006D1E13">
      <w:pPr>
        <w:pStyle w:val="Numbered"/>
        <w:rPr>
          <w:rFonts w:eastAsia="Calibri"/>
        </w:rPr>
      </w:pPr>
      <w:r w:rsidRPr="00F56633">
        <w:rPr>
          <w:rFonts w:eastAsia="Calibri"/>
        </w:rPr>
        <w:t>The ACCC understands</w:t>
      </w:r>
      <w:r w:rsidR="000148E6" w:rsidRPr="00F56633">
        <w:rPr>
          <w:rFonts w:eastAsia="Calibri"/>
        </w:rPr>
        <w:t xml:space="preserve"> that the majority of revenues at the </w:t>
      </w:r>
      <w:proofErr w:type="spellStart"/>
      <w:r w:rsidR="000148E6" w:rsidRPr="00F56633">
        <w:rPr>
          <w:rFonts w:eastAsia="Calibri"/>
        </w:rPr>
        <w:t>Aquis</w:t>
      </w:r>
      <w:proofErr w:type="spellEnd"/>
      <w:r w:rsidR="000148E6" w:rsidRPr="00F56633">
        <w:rPr>
          <w:rFonts w:eastAsia="Calibri"/>
        </w:rPr>
        <w:t xml:space="preserve"> resort are projected to come from VIP customers. </w:t>
      </w:r>
      <w:r>
        <w:rPr>
          <w:rFonts w:eastAsia="Calibri"/>
        </w:rPr>
        <w:t xml:space="preserve">In contrast, </w:t>
      </w:r>
      <w:r w:rsidR="00D67A2B" w:rsidRPr="00F56633">
        <w:rPr>
          <w:rFonts w:eastAsia="Calibri"/>
        </w:rPr>
        <w:t xml:space="preserve">the Reef Casino </w:t>
      </w:r>
      <w:r w:rsidR="00826AE5" w:rsidRPr="00F56633">
        <w:rPr>
          <w:rFonts w:eastAsia="Calibri"/>
        </w:rPr>
        <w:t>currently does not receive many VIP patrons</w:t>
      </w:r>
      <w:r w:rsidR="00D67A2B" w:rsidRPr="00F56633">
        <w:rPr>
          <w:rFonts w:eastAsia="Calibri"/>
        </w:rPr>
        <w:t>.</w:t>
      </w:r>
      <w:r w:rsidR="006D1E13" w:rsidRPr="00FD43E2">
        <w:t xml:space="preserve"> </w:t>
      </w:r>
      <w:r w:rsidR="006D1E13" w:rsidRPr="00F56633">
        <w:rPr>
          <w:rFonts w:eastAsia="Calibri"/>
        </w:rPr>
        <w:t xml:space="preserve">The Independent Expert’s Report includes the statement (at page 15) </w:t>
      </w:r>
      <w:r w:rsidR="008230BD" w:rsidRPr="00F56633">
        <w:rPr>
          <w:rFonts w:eastAsia="Calibri"/>
        </w:rPr>
        <w:t>that:</w:t>
      </w:r>
    </w:p>
    <w:p w:rsidR="006D1E13" w:rsidRPr="00FD43E2" w:rsidRDefault="006D1E13" w:rsidP="006D1E13">
      <w:pPr>
        <w:pStyle w:val="Numbered"/>
        <w:numPr>
          <w:ilvl w:val="0"/>
          <w:numId w:val="0"/>
        </w:numPr>
        <w:ind w:left="567"/>
        <w:rPr>
          <w:rFonts w:eastAsia="Calibri"/>
          <w:i/>
        </w:rPr>
      </w:pPr>
      <w:r w:rsidRPr="00FD43E2">
        <w:rPr>
          <w:rFonts w:eastAsia="Calibri"/>
          <w:i/>
        </w:rPr>
        <w:t>“The Casino attracts predominantly average income customers, otherwise known as grind business, with a small proportion of premium customers… Within table games the vast majority of revenue is sourced from grind customers.”</w:t>
      </w:r>
    </w:p>
    <w:p w:rsidR="005543D5" w:rsidRDefault="003C1DF3" w:rsidP="00743015">
      <w:pPr>
        <w:pStyle w:val="Numbered"/>
        <w:rPr>
          <w:rFonts w:eastAsia="Calibri"/>
        </w:rPr>
      </w:pPr>
      <w:r>
        <w:rPr>
          <w:rFonts w:eastAsia="Calibri"/>
        </w:rPr>
        <w:t>This suggests</w:t>
      </w:r>
      <w:r w:rsidR="005543D5">
        <w:rPr>
          <w:rFonts w:eastAsia="Calibri"/>
        </w:rPr>
        <w:t xml:space="preserve"> that if the Reef Casino were to maintain its current offer and customer focus, there would not be significant competition between the Reef Casino and the </w:t>
      </w:r>
      <w:proofErr w:type="spellStart"/>
      <w:r w:rsidR="005543D5">
        <w:rPr>
          <w:rFonts w:eastAsia="Calibri"/>
        </w:rPr>
        <w:t>Aquis</w:t>
      </w:r>
      <w:proofErr w:type="spellEnd"/>
      <w:r w:rsidR="005543D5">
        <w:rPr>
          <w:rFonts w:eastAsia="Calibri"/>
        </w:rPr>
        <w:t xml:space="preserve"> Resort for VIP customers</w:t>
      </w:r>
      <w:r w:rsidR="00097ACD">
        <w:rPr>
          <w:rFonts w:eastAsia="Calibri"/>
        </w:rPr>
        <w:t xml:space="preserve"> in the absence of the proposed acquisition</w:t>
      </w:r>
      <w:r w:rsidR="005543D5">
        <w:rPr>
          <w:rFonts w:eastAsia="Calibri"/>
        </w:rPr>
        <w:t>.</w:t>
      </w:r>
    </w:p>
    <w:p w:rsidR="00826AE5" w:rsidRPr="00915AAB" w:rsidRDefault="005543D5" w:rsidP="00097ACD">
      <w:pPr>
        <w:pStyle w:val="Numbered"/>
        <w:rPr>
          <w:rFonts w:eastAsia="Calibri"/>
        </w:rPr>
      </w:pPr>
      <w:r>
        <w:rPr>
          <w:rFonts w:eastAsia="Calibri"/>
        </w:rPr>
        <w:t xml:space="preserve">However, the ACCC is also considering whether the Reef Casino </w:t>
      </w:r>
      <w:r w:rsidR="00097ACD">
        <w:rPr>
          <w:rFonts w:eastAsia="Calibri"/>
        </w:rPr>
        <w:t xml:space="preserve">would be </w:t>
      </w:r>
      <w:r w:rsidR="008230BD" w:rsidRPr="00915AAB">
        <w:rPr>
          <w:rFonts w:eastAsia="Calibri"/>
        </w:rPr>
        <w:t>substantially redeveloped, and its offer to VIP customers enhanced, in the absence of the proposed acquisition</w:t>
      </w:r>
      <w:r w:rsidR="003C1DF3">
        <w:rPr>
          <w:rFonts w:eastAsia="Calibri"/>
        </w:rPr>
        <w:t xml:space="preserve">, given the </w:t>
      </w:r>
      <w:r w:rsidR="004553D6">
        <w:rPr>
          <w:rFonts w:eastAsia="Calibri"/>
        </w:rPr>
        <w:t xml:space="preserve">presence of the </w:t>
      </w:r>
      <w:r w:rsidR="003C1DF3">
        <w:rPr>
          <w:rFonts w:eastAsia="Calibri"/>
        </w:rPr>
        <w:t xml:space="preserve">new </w:t>
      </w:r>
      <w:proofErr w:type="spellStart"/>
      <w:r w:rsidR="003C1DF3">
        <w:rPr>
          <w:rFonts w:eastAsia="Calibri"/>
        </w:rPr>
        <w:t>Aquis</w:t>
      </w:r>
      <w:proofErr w:type="spellEnd"/>
      <w:r w:rsidR="003C1DF3">
        <w:rPr>
          <w:rFonts w:eastAsia="Calibri"/>
        </w:rPr>
        <w:t xml:space="preserve"> Resort</w:t>
      </w:r>
      <w:r w:rsidR="008230BD" w:rsidRPr="00915AAB">
        <w:rPr>
          <w:rFonts w:eastAsia="Calibri"/>
        </w:rPr>
        <w:t xml:space="preserve">. </w:t>
      </w:r>
      <w:r w:rsidR="000613D1">
        <w:rPr>
          <w:rFonts w:eastAsia="Calibri"/>
        </w:rPr>
        <w:t>If t</w:t>
      </w:r>
      <w:r w:rsidR="000613D1" w:rsidRPr="00915AAB">
        <w:rPr>
          <w:rFonts w:eastAsia="Calibri"/>
        </w:rPr>
        <w:t xml:space="preserve">his </w:t>
      </w:r>
      <w:r w:rsidR="008230BD" w:rsidRPr="00915AAB">
        <w:rPr>
          <w:rFonts w:eastAsia="Calibri"/>
        </w:rPr>
        <w:t xml:space="preserve">is </w:t>
      </w:r>
      <w:r w:rsidR="000613D1">
        <w:rPr>
          <w:rFonts w:eastAsia="Calibri"/>
        </w:rPr>
        <w:t>likely</w:t>
      </w:r>
      <w:r w:rsidR="008230BD" w:rsidRPr="00915AAB">
        <w:rPr>
          <w:rFonts w:eastAsia="Calibri"/>
        </w:rPr>
        <w:t xml:space="preserve">, </w:t>
      </w:r>
      <w:r w:rsidR="000613D1">
        <w:rPr>
          <w:rFonts w:eastAsia="Calibri"/>
        </w:rPr>
        <w:t>then</w:t>
      </w:r>
      <w:r w:rsidR="000613D1" w:rsidRPr="00915AAB">
        <w:rPr>
          <w:rFonts w:eastAsia="Calibri"/>
        </w:rPr>
        <w:t xml:space="preserve"> </w:t>
      </w:r>
      <w:r w:rsidR="008230BD" w:rsidRPr="00915AAB">
        <w:rPr>
          <w:rFonts w:eastAsia="Calibri"/>
        </w:rPr>
        <w:t>the proposed acquisition eliminate</w:t>
      </w:r>
      <w:r w:rsidR="00E152FB">
        <w:rPr>
          <w:rFonts w:eastAsia="Calibri"/>
        </w:rPr>
        <w:t>s</w:t>
      </w:r>
      <w:r w:rsidR="008230BD" w:rsidRPr="00915AAB">
        <w:rPr>
          <w:rFonts w:eastAsia="Calibri"/>
        </w:rPr>
        <w:t xml:space="preserve"> that </w:t>
      </w:r>
      <w:r w:rsidR="000E173B" w:rsidRPr="00915AAB">
        <w:rPr>
          <w:rFonts w:eastAsia="Calibri"/>
        </w:rPr>
        <w:t xml:space="preserve">potential for </w:t>
      </w:r>
      <w:r w:rsidR="00A17092">
        <w:rPr>
          <w:rFonts w:eastAsia="Calibri"/>
        </w:rPr>
        <w:t xml:space="preserve">greater </w:t>
      </w:r>
      <w:r w:rsidR="00453104" w:rsidRPr="00915AAB">
        <w:rPr>
          <w:rFonts w:eastAsia="Calibri"/>
        </w:rPr>
        <w:t xml:space="preserve">competition between the </w:t>
      </w:r>
      <w:proofErr w:type="spellStart"/>
      <w:r w:rsidR="00453104" w:rsidRPr="00915AAB">
        <w:rPr>
          <w:rFonts w:eastAsia="Calibri"/>
        </w:rPr>
        <w:t>Aquis</w:t>
      </w:r>
      <w:proofErr w:type="spellEnd"/>
      <w:r w:rsidR="00453104" w:rsidRPr="00915AAB">
        <w:rPr>
          <w:rFonts w:eastAsia="Calibri"/>
        </w:rPr>
        <w:t xml:space="preserve"> Resort and the Reef Casino for VIP customers in the future</w:t>
      </w:r>
      <w:r w:rsidR="008230BD" w:rsidRPr="00915AAB">
        <w:rPr>
          <w:rFonts w:eastAsia="Calibri"/>
        </w:rPr>
        <w:t>.</w:t>
      </w:r>
    </w:p>
    <w:p w:rsidR="00E45A58" w:rsidRDefault="006C0DDC" w:rsidP="00640B7C">
      <w:pPr>
        <w:pStyle w:val="Numbered"/>
        <w:rPr>
          <w:lang w:eastAsia="en-AU"/>
        </w:rPr>
      </w:pPr>
      <w:r>
        <w:rPr>
          <w:lang w:eastAsia="en-AU"/>
        </w:rPr>
        <w:t xml:space="preserve">As mentioned above at paragraph </w:t>
      </w:r>
      <w:r>
        <w:rPr>
          <w:lang w:eastAsia="en-AU"/>
        </w:rPr>
        <w:fldChar w:fldCharType="begin"/>
      </w:r>
      <w:r>
        <w:rPr>
          <w:lang w:eastAsia="en-AU"/>
        </w:rPr>
        <w:instrText xml:space="preserve"> REF _Ref390420300 \r \h </w:instrText>
      </w:r>
      <w:r>
        <w:rPr>
          <w:lang w:eastAsia="en-AU"/>
        </w:rPr>
      </w:r>
      <w:r>
        <w:rPr>
          <w:lang w:eastAsia="en-AU"/>
        </w:rPr>
        <w:fldChar w:fldCharType="separate"/>
      </w:r>
      <w:r w:rsidR="00C37665">
        <w:rPr>
          <w:lang w:eastAsia="en-AU"/>
        </w:rPr>
        <w:t>59</w:t>
      </w:r>
      <w:r>
        <w:rPr>
          <w:lang w:eastAsia="en-AU"/>
        </w:rPr>
        <w:fldChar w:fldCharType="end"/>
      </w:r>
      <w:r>
        <w:rPr>
          <w:lang w:eastAsia="en-AU"/>
        </w:rPr>
        <w:t>,</w:t>
      </w:r>
      <w:r w:rsidR="003C1DF3">
        <w:rPr>
          <w:lang w:eastAsia="en-AU"/>
        </w:rPr>
        <w:t xml:space="preserve"> </w:t>
      </w:r>
      <w:r>
        <w:rPr>
          <w:lang w:eastAsia="en-AU"/>
        </w:rPr>
        <w:t>i</w:t>
      </w:r>
      <w:r w:rsidR="000E173B" w:rsidRPr="00915AAB">
        <w:rPr>
          <w:lang w:eastAsia="en-AU"/>
        </w:rPr>
        <w:t xml:space="preserve">f </w:t>
      </w:r>
      <w:r w:rsidR="00DE1A9B" w:rsidRPr="00915AAB">
        <w:rPr>
          <w:lang w:eastAsia="en-AU"/>
        </w:rPr>
        <w:t xml:space="preserve">the </w:t>
      </w:r>
      <w:proofErr w:type="spellStart"/>
      <w:r w:rsidR="00DE1A9B" w:rsidRPr="00915AAB">
        <w:rPr>
          <w:lang w:eastAsia="en-AU"/>
        </w:rPr>
        <w:t>Aquis</w:t>
      </w:r>
      <w:proofErr w:type="spellEnd"/>
      <w:r w:rsidR="00DE1A9B" w:rsidRPr="00915AAB">
        <w:rPr>
          <w:lang w:eastAsia="en-AU"/>
        </w:rPr>
        <w:t xml:space="preserve"> Resort and the Reef Casino </w:t>
      </w:r>
      <w:r w:rsidR="000E173B" w:rsidRPr="00915AAB">
        <w:rPr>
          <w:lang w:eastAsia="en-AU"/>
        </w:rPr>
        <w:t>were to compete for VIP customers in the future</w:t>
      </w:r>
      <w:r w:rsidR="00DE1A9B" w:rsidRPr="00915AAB">
        <w:rPr>
          <w:lang w:eastAsia="en-AU"/>
        </w:rPr>
        <w:t>, they</w:t>
      </w:r>
      <w:r w:rsidR="000E173B" w:rsidRPr="00915AAB">
        <w:rPr>
          <w:lang w:eastAsia="en-AU"/>
        </w:rPr>
        <w:t xml:space="preserve"> would be the only two </w:t>
      </w:r>
      <w:r w:rsidR="00DE1A9B" w:rsidRPr="00915AAB">
        <w:rPr>
          <w:lang w:eastAsia="en-AU"/>
        </w:rPr>
        <w:t xml:space="preserve">casinos </w:t>
      </w:r>
      <w:r w:rsidR="000613D1">
        <w:rPr>
          <w:lang w:eastAsia="en-AU"/>
        </w:rPr>
        <w:t>competing for VIP customers wanting to visit</w:t>
      </w:r>
      <w:r w:rsidR="00BE60C9" w:rsidRPr="00915AAB">
        <w:rPr>
          <w:lang w:eastAsia="en-AU"/>
        </w:rPr>
        <w:t xml:space="preserve"> the Cairns region and the Great Barrier Reef.</w:t>
      </w:r>
      <w:r w:rsidR="00640B7C" w:rsidRPr="00915AAB">
        <w:rPr>
          <w:lang w:eastAsia="en-AU"/>
        </w:rPr>
        <w:t xml:space="preserve"> </w:t>
      </w:r>
      <w:r w:rsidR="00E45A58">
        <w:rPr>
          <w:lang w:eastAsia="en-AU"/>
        </w:rPr>
        <w:t xml:space="preserve">In this sense, they </w:t>
      </w:r>
      <w:r w:rsidR="007B72B6">
        <w:rPr>
          <w:lang w:eastAsia="en-AU"/>
        </w:rPr>
        <w:t xml:space="preserve">may </w:t>
      </w:r>
      <w:r w:rsidR="00E45A58">
        <w:rPr>
          <w:lang w:eastAsia="en-AU"/>
        </w:rPr>
        <w:t xml:space="preserve">be </w:t>
      </w:r>
      <w:r w:rsidR="00006AEA">
        <w:rPr>
          <w:lang w:eastAsia="en-AU"/>
        </w:rPr>
        <w:t xml:space="preserve">each other’s </w:t>
      </w:r>
      <w:r w:rsidR="00E45A58">
        <w:rPr>
          <w:lang w:eastAsia="en-AU"/>
        </w:rPr>
        <w:t>close</w:t>
      </w:r>
      <w:r w:rsidR="00006AEA">
        <w:rPr>
          <w:lang w:eastAsia="en-AU"/>
        </w:rPr>
        <w:t>st</w:t>
      </w:r>
      <w:r w:rsidR="00E45A58">
        <w:rPr>
          <w:lang w:eastAsia="en-AU"/>
        </w:rPr>
        <w:t xml:space="preserve"> competitor. </w:t>
      </w:r>
    </w:p>
    <w:p w:rsidR="006F234C" w:rsidRPr="00915AAB" w:rsidRDefault="007B72B6" w:rsidP="00640B7C">
      <w:pPr>
        <w:pStyle w:val="Numbered"/>
        <w:rPr>
          <w:lang w:eastAsia="en-AU"/>
        </w:rPr>
      </w:pPr>
      <w:r>
        <w:rPr>
          <w:lang w:eastAsia="en-AU"/>
        </w:rPr>
        <w:t>However, d</w:t>
      </w:r>
      <w:r w:rsidRPr="00915AAB">
        <w:rPr>
          <w:lang w:eastAsia="en-AU"/>
        </w:rPr>
        <w:t xml:space="preserve">espite </w:t>
      </w:r>
      <w:r w:rsidR="006F234C" w:rsidRPr="00915AAB">
        <w:rPr>
          <w:lang w:eastAsia="en-AU"/>
        </w:rPr>
        <w:t xml:space="preserve">the possibility of the proposed acquisition eliminating </w:t>
      </w:r>
      <w:r w:rsidR="000613D1">
        <w:rPr>
          <w:lang w:eastAsia="en-AU"/>
        </w:rPr>
        <w:t xml:space="preserve">future </w:t>
      </w:r>
      <w:r w:rsidR="006F234C" w:rsidRPr="00915AAB">
        <w:rPr>
          <w:lang w:eastAsia="en-AU"/>
        </w:rPr>
        <w:t xml:space="preserve">competition between the </w:t>
      </w:r>
      <w:proofErr w:type="spellStart"/>
      <w:r w:rsidR="006F234C" w:rsidRPr="00915AAB">
        <w:rPr>
          <w:lang w:eastAsia="en-AU"/>
        </w:rPr>
        <w:t>Aquis</w:t>
      </w:r>
      <w:proofErr w:type="spellEnd"/>
      <w:r w:rsidR="006F234C" w:rsidRPr="00915AAB">
        <w:rPr>
          <w:lang w:eastAsia="en-AU"/>
        </w:rPr>
        <w:t xml:space="preserve"> Resort and the Reef Casino for VIP customers, the ACCC</w:t>
      </w:r>
      <w:r>
        <w:rPr>
          <w:lang w:eastAsia="en-AU"/>
        </w:rPr>
        <w:t xml:space="preserve">’s preliminary view is that </w:t>
      </w:r>
      <w:r w:rsidR="006F234C" w:rsidRPr="00915AAB">
        <w:rPr>
          <w:lang w:eastAsia="en-AU"/>
        </w:rPr>
        <w:t xml:space="preserve">competition for VIP customers is broader than Cairns. If the proposed acquisition proceeds, the </w:t>
      </w:r>
      <w:proofErr w:type="spellStart"/>
      <w:r w:rsidR="006F234C" w:rsidRPr="00915AAB">
        <w:rPr>
          <w:lang w:eastAsia="en-AU"/>
        </w:rPr>
        <w:t>Aquis</w:t>
      </w:r>
      <w:proofErr w:type="spellEnd"/>
      <w:r w:rsidR="006F234C" w:rsidRPr="00915AAB">
        <w:rPr>
          <w:lang w:eastAsia="en-AU"/>
        </w:rPr>
        <w:t xml:space="preserve"> Resort and Reef Casino would be competing</w:t>
      </w:r>
      <w:r w:rsidR="00283A5F" w:rsidRPr="00915AAB">
        <w:rPr>
          <w:lang w:eastAsia="en-AU"/>
        </w:rPr>
        <w:t xml:space="preserve"> for VIP customers with</w:t>
      </w:r>
      <w:r w:rsidR="006F234C" w:rsidRPr="00915AAB">
        <w:rPr>
          <w:lang w:eastAsia="en-AU"/>
        </w:rPr>
        <w:t xml:space="preserve"> other Australian casinos</w:t>
      </w:r>
      <w:r w:rsidR="00283A5F" w:rsidRPr="00915AAB">
        <w:rPr>
          <w:lang w:eastAsia="en-AU"/>
        </w:rPr>
        <w:t xml:space="preserve"> such as Crown Melbourne, The Star and the forthcoming casino at </w:t>
      </w:r>
      <w:proofErr w:type="spellStart"/>
      <w:r w:rsidR="00283A5F" w:rsidRPr="00915AAB">
        <w:rPr>
          <w:lang w:eastAsia="en-AU"/>
        </w:rPr>
        <w:t>Barangaroo</w:t>
      </w:r>
      <w:proofErr w:type="spellEnd"/>
      <w:r w:rsidR="00283A5F" w:rsidRPr="00915AAB">
        <w:rPr>
          <w:lang w:eastAsia="en-AU"/>
        </w:rPr>
        <w:t xml:space="preserve"> </w:t>
      </w:r>
      <w:r w:rsidR="00DA1AA6">
        <w:rPr>
          <w:lang w:eastAsia="en-AU"/>
        </w:rPr>
        <w:t xml:space="preserve">in Sydney </w:t>
      </w:r>
      <w:r w:rsidR="00283A5F" w:rsidRPr="00915AAB">
        <w:rPr>
          <w:lang w:eastAsia="en-AU"/>
        </w:rPr>
        <w:t>(all of which are of greater scale than the Reef Casino)</w:t>
      </w:r>
      <w:r w:rsidR="006F234C" w:rsidRPr="00915AAB">
        <w:rPr>
          <w:lang w:eastAsia="en-AU"/>
        </w:rPr>
        <w:t xml:space="preserve">, and possibly </w:t>
      </w:r>
      <w:r w:rsidR="00283A5F" w:rsidRPr="00915AAB">
        <w:rPr>
          <w:lang w:eastAsia="en-AU"/>
        </w:rPr>
        <w:t xml:space="preserve">also with </w:t>
      </w:r>
      <w:r w:rsidR="006F234C" w:rsidRPr="00915AAB">
        <w:rPr>
          <w:lang w:eastAsia="en-AU"/>
        </w:rPr>
        <w:t xml:space="preserve">casinos </w:t>
      </w:r>
      <w:r w:rsidR="009F661C" w:rsidRPr="00915AAB">
        <w:rPr>
          <w:lang w:eastAsia="en-AU"/>
        </w:rPr>
        <w:t xml:space="preserve">located in other parts of </w:t>
      </w:r>
      <w:r w:rsidR="00283A5F" w:rsidRPr="00915AAB">
        <w:rPr>
          <w:lang w:eastAsia="en-AU"/>
        </w:rPr>
        <w:t>the Asia-Pacific region such as Macau</w:t>
      </w:r>
      <w:r w:rsidR="006F234C" w:rsidRPr="00915AAB">
        <w:rPr>
          <w:lang w:eastAsia="en-AU"/>
        </w:rPr>
        <w:t>.</w:t>
      </w:r>
    </w:p>
    <w:p w:rsidR="00283A5F" w:rsidRPr="00915AAB" w:rsidRDefault="00283A5F" w:rsidP="00640B7C">
      <w:pPr>
        <w:pStyle w:val="Numbered"/>
        <w:rPr>
          <w:lang w:eastAsia="en-AU"/>
        </w:rPr>
      </w:pPr>
      <w:bookmarkStart w:id="32" w:name="_Ref390421734"/>
      <w:r w:rsidRPr="00915AAB">
        <w:rPr>
          <w:lang w:eastAsia="en-AU"/>
        </w:rPr>
        <w:t xml:space="preserve">When considered in this </w:t>
      </w:r>
      <w:r w:rsidR="00915AAB">
        <w:rPr>
          <w:lang w:eastAsia="en-AU"/>
        </w:rPr>
        <w:t>context</w:t>
      </w:r>
      <w:r w:rsidRPr="00915AAB">
        <w:rPr>
          <w:lang w:eastAsia="en-AU"/>
        </w:rPr>
        <w:t xml:space="preserve">, the ACCC’s current view is that the proposed acquisition of the Reef Casino would be unlikely to pose </w:t>
      </w:r>
      <w:r w:rsidR="00006AEA">
        <w:rPr>
          <w:lang w:eastAsia="en-AU"/>
        </w:rPr>
        <w:t xml:space="preserve">significant </w:t>
      </w:r>
      <w:r w:rsidRPr="00915AAB">
        <w:rPr>
          <w:lang w:eastAsia="en-AU"/>
        </w:rPr>
        <w:t>competition concerns</w:t>
      </w:r>
      <w:r w:rsidR="007B72B6">
        <w:rPr>
          <w:lang w:eastAsia="en-AU"/>
        </w:rPr>
        <w:t xml:space="preserve"> relating to the supply of casino services</w:t>
      </w:r>
      <w:r w:rsidR="00015B21">
        <w:rPr>
          <w:lang w:eastAsia="en-AU"/>
        </w:rPr>
        <w:t xml:space="preserve"> to </w:t>
      </w:r>
      <w:r w:rsidRPr="00915AAB">
        <w:rPr>
          <w:lang w:eastAsia="en-AU"/>
        </w:rPr>
        <w:t>VIP customers.</w:t>
      </w:r>
      <w:bookmarkEnd w:id="32"/>
    </w:p>
    <w:p w:rsidR="00F4016F" w:rsidRDefault="00152077" w:rsidP="008D5DBD">
      <w:pPr>
        <w:pStyle w:val="commentbox"/>
        <w:keepNext/>
      </w:pPr>
      <w:r w:rsidRPr="009E0D10">
        <w:lastRenderedPageBreak/>
        <w:t>The ACCC invites comments from market participants on</w:t>
      </w:r>
      <w:r w:rsidR="00F4016F">
        <w:t>:</w:t>
      </w:r>
      <w:r w:rsidR="000613D1">
        <w:t xml:space="preserve"> </w:t>
      </w:r>
    </w:p>
    <w:p w:rsidR="007A24D7" w:rsidRDefault="007A24D7" w:rsidP="00D23A36">
      <w:pPr>
        <w:pStyle w:val="commentbox"/>
        <w:numPr>
          <w:ilvl w:val="0"/>
          <w:numId w:val="43"/>
        </w:numPr>
        <w:ind w:left="426" w:hanging="426"/>
      </w:pPr>
      <w:r>
        <w:t xml:space="preserve">The extent to which the Reef Casino currently caters to VIP customers. </w:t>
      </w:r>
      <w:r w:rsidR="00D33CB3">
        <w:t xml:space="preserve">Why does it not attract more </w:t>
      </w:r>
      <w:r>
        <w:t>VIP customers?</w:t>
      </w:r>
    </w:p>
    <w:p w:rsidR="00E45A58" w:rsidRDefault="0010409C" w:rsidP="00D23A36">
      <w:pPr>
        <w:pStyle w:val="commentbox"/>
        <w:numPr>
          <w:ilvl w:val="0"/>
          <w:numId w:val="43"/>
        </w:numPr>
        <w:ind w:left="426" w:hanging="426"/>
      </w:pPr>
      <w:r>
        <w:t xml:space="preserve">The extent to which, </w:t>
      </w:r>
      <w:r w:rsidR="00E45A58">
        <w:t xml:space="preserve">absent the proposed acquisition, the </w:t>
      </w:r>
      <w:proofErr w:type="spellStart"/>
      <w:r w:rsidR="00E45A58">
        <w:t>Aquis</w:t>
      </w:r>
      <w:proofErr w:type="spellEnd"/>
      <w:r w:rsidR="00E45A58">
        <w:t xml:space="preserve"> Resort and the Reef Casino would compete for VIP customers</w:t>
      </w:r>
      <w:r>
        <w:t xml:space="preserve">. </w:t>
      </w:r>
    </w:p>
    <w:p w:rsidR="0010409C" w:rsidRDefault="0010409C" w:rsidP="0010409C">
      <w:pPr>
        <w:pStyle w:val="commentbox"/>
        <w:numPr>
          <w:ilvl w:val="0"/>
          <w:numId w:val="43"/>
        </w:numPr>
        <w:ind w:left="426" w:hanging="426"/>
      </w:pPr>
      <w:r>
        <w:t xml:space="preserve">The extent to which, </w:t>
      </w:r>
      <w:r w:rsidR="00E45A58">
        <w:t xml:space="preserve">following the proposed acquisition, the </w:t>
      </w:r>
      <w:proofErr w:type="spellStart"/>
      <w:r w:rsidR="00E45A58">
        <w:t>Aquis</w:t>
      </w:r>
      <w:proofErr w:type="spellEnd"/>
      <w:r w:rsidR="00E45A58">
        <w:t xml:space="preserve"> Resort and the Reef Casino would compete with other Australian and Asia-Pacific casinos for VIP customers</w:t>
      </w:r>
      <w:r>
        <w:t>.</w:t>
      </w:r>
    </w:p>
    <w:p w:rsidR="00E45A58" w:rsidRDefault="0010409C" w:rsidP="0010409C">
      <w:pPr>
        <w:pStyle w:val="commentbox"/>
        <w:numPr>
          <w:ilvl w:val="0"/>
          <w:numId w:val="43"/>
        </w:numPr>
        <w:ind w:left="426" w:hanging="426"/>
      </w:pPr>
      <w:r>
        <w:t xml:space="preserve">Would the development of the </w:t>
      </w:r>
      <w:proofErr w:type="spellStart"/>
      <w:r>
        <w:t>Aquis</w:t>
      </w:r>
      <w:proofErr w:type="spellEnd"/>
      <w:r>
        <w:t xml:space="preserve"> Resort hinder or enhance the ability of the Reef Casino to compete for VIP customers in the future?</w:t>
      </w:r>
    </w:p>
    <w:p w:rsidR="000E173B" w:rsidRDefault="000E173B" w:rsidP="0010409C">
      <w:pPr>
        <w:pStyle w:val="Heading3"/>
      </w:pPr>
      <w:r w:rsidRPr="009E0D10">
        <w:t>Barriers to entry</w:t>
      </w:r>
    </w:p>
    <w:p w:rsidR="00705644" w:rsidRDefault="00705644" w:rsidP="0081484E">
      <w:pPr>
        <w:pStyle w:val="Numbered"/>
      </w:pPr>
      <w:r>
        <w:t xml:space="preserve">As described above at paragraphs </w:t>
      </w:r>
      <w:r>
        <w:fldChar w:fldCharType="begin"/>
      </w:r>
      <w:r>
        <w:instrText xml:space="preserve"> REF _Ref390418779 \r \h </w:instrText>
      </w:r>
      <w:r>
        <w:fldChar w:fldCharType="separate"/>
      </w:r>
      <w:r w:rsidR="00C37665">
        <w:t>36</w:t>
      </w:r>
      <w:r>
        <w:fldChar w:fldCharType="end"/>
      </w:r>
      <w:r>
        <w:t xml:space="preserve"> and </w:t>
      </w:r>
      <w:r>
        <w:fldChar w:fldCharType="begin"/>
      </w:r>
      <w:r>
        <w:instrText xml:space="preserve"> REF _Ref390418789 \r \h </w:instrText>
      </w:r>
      <w:r>
        <w:fldChar w:fldCharType="separate"/>
      </w:r>
      <w:r w:rsidR="00C37665">
        <w:t>37</w:t>
      </w:r>
      <w:r>
        <w:fldChar w:fldCharType="end"/>
      </w:r>
      <w:r>
        <w:t xml:space="preserve">, a casino cannot be operated in Queensland without a licence issued by the Queensland Government. </w:t>
      </w:r>
    </w:p>
    <w:p w:rsidR="0081484E" w:rsidRDefault="006605E6" w:rsidP="0081484E">
      <w:pPr>
        <w:pStyle w:val="Numbered"/>
      </w:pPr>
      <w:r>
        <w:t xml:space="preserve">The ACCC </w:t>
      </w:r>
      <w:r w:rsidR="00415E9A">
        <w:t>considers</w:t>
      </w:r>
      <w:r>
        <w:t xml:space="preserve"> that a</w:t>
      </w:r>
      <w:r w:rsidR="0081484E">
        <w:t xml:space="preserve">fter the current </w:t>
      </w:r>
      <w:r>
        <w:t xml:space="preserve">Queensland Government </w:t>
      </w:r>
      <w:r w:rsidR="00D90C11">
        <w:t>bid process</w:t>
      </w:r>
      <w:r w:rsidR="0081484E">
        <w:t xml:space="preserve"> has been completed, it is unlikely that any more new licences will be issued </w:t>
      </w:r>
      <w:r>
        <w:t xml:space="preserve">that would allow the operation of a casino in Cairns </w:t>
      </w:r>
      <w:r w:rsidR="0081484E">
        <w:t>for many years.</w:t>
      </w:r>
    </w:p>
    <w:p w:rsidR="000E173B" w:rsidRDefault="0081484E" w:rsidP="000E173B">
      <w:pPr>
        <w:pStyle w:val="Numbered"/>
      </w:pPr>
      <w:r>
        <w:t>For th</w:t>
      </w:r>
      <w:r w:rsidR="006605E6">
        <w:t>i</w:t>
      </w:r>
      <w:r>
        <w:t>s reason</w:t>
      </w:r>
      <w:r w:rsidR="006605E6">
        <w:t xml:space="preserve"> the ACCC takes the view that there are high barriers to entry into the </w:t>
      </w:r>
      <w:r w:rsidR="007B72B6">
        <w:t xml:space="preserve">market for the supply of casino services, particularly in the Cairns area. </w:t>
      </w:r>
    </w:p>
    <w:p w:rsidR="006C2E8E" w:rsidRPr="004A1C1B" w:rsidRDefault="00177E44" w:rsidP="000E173B">
      <w:pPr>
        <w:pStyle w:val="Numbered"/>
      </w:pPr>
      <w:r>
        <w:t xml:space="preserve">As described above at paragraph </w:t>
      </w:r>
      <w:r>
        <w:fldChar w:fldCharType="begin"/>
      </w:r>
      <w:r>
        <w:instrText xml:space="preserve"> REF _Ref391653503 \r \h </w:instrText>
      </w:r>
      <w:r>
        <w:fldChar w:fldCharType="separate"/>
      </w:r>
      <w:r w:rsidR="00C37665">
        <w:t>39</w:t>
      </w:r>
      <w:r>
        <w:fldChar w:fldCharType="end"/>
      </w:r>
      <w:r w:rsidR="00702E8D" w:rsidRPr="004A1C1B">
        <w:t xml:space="preserve">, there is also a licence regime for gaming machine operators, and state-wide caps on the number of the total number of gaming machines in clubs and hotels. The ACCC takes the preliminary view that these restrictions constitute significant barriers to new entry into the supply of gaming machines in Cairns. </w:t>
      </w:r>
    </w:p>
    <w:p w:rsidR="006A2213" w:rsidRDefault="006A2213" w:rsidP="006A2213">
      <w:pPr>
        <w:pStyle w:val="commentbox"/>
      </w:pPr>
      <w:r w:rsidRPr="009E0D10">
        <w:t xml:space="preserve">The ACCC invites comments from market participants on </w:t>
      </w:r>
      <w:r>
        <w:t>its preliminary views on barriers to entry</w:t>
      </w:r>
      <w:r w:rsidR="006C34F2">
        <w:t>.</w:t>
      </w:r>
    </w:p>
    <w:p w:rsidR="00FB30A0" w:rsidRDefault="00FB30A0" w:rsidP="00A643E0">
      <w:pPr>
        <w:pStyle w:val="Heading3"/>
      </w:pPr>
      <w:r>
        <w:t xml:space="preserve">ACCC's </w:t>
      </w:r>
      <w:r w:rsidRPr="009D1890">
        <w:t>future</w:t>
      </w:r>
      <w:r>
        <w:t xml:space="preserve"> steps</w:t>
      </w:r>
    </w:p>
    <w:p w:rsidR="00FB30A0" w:rsidRDefault="00FB30A0" w:rsidP="00743015">
      <w:pPr>
        <w:pStyle w:val="NormalParagraph"/>
      </w:pPr>
      <w:r>
        <w:t>The ACCC will finalise its view on this matter after it considers market responses invited by this Statement of Issues.</w:t>
      </w:r>
    </w:p>
    <w:p w:rsidR="00FB30A0" w:rsidRDefault="00FB30A0" w:rsidP="00743015">
      <w:pPr>
        <w:pStyle w:val="NormalParagraph"/>
      </w:pPr>
      <w:r>
        <w:t>The ACCC now seeks submissions from market participants on each of the issues identified in this Statement of Issues and on any other issue that may be relevant to the ACCC's assessment of this matter.</w:t>
      </w:r>
    </w:p>
    <w:p w:rsidR="00FB30A0" w:rsidRDefault="00FB30A0" w:rsidP="00743015">
      <w:pPr>
        <w:pStyle w:val="NormalParagraph"/>
      </w:pPr>
      <w:r>
        <w:t xml:space="preserve">Submissions are to be received by the ACCC no later </w:t>
      </w:r>
      <w:r w:rsidRPr="001566D1">
        <w:t xml:space="preserve">than </w:t>
      </w:r>
      <w:r w:rsidR="007C12F9" w:rsidRPr="00D33CB3">
        <w:t>1</w:t>
      </w:r>
      <w:r w:rsidR="007C12F9">
        <w:t>7</w:t>
      </w:r>
      <w:r w:rsidR="007C12F9" w:rsidRPr="00D33CB3">
        <w:t xml:space="preserve"> </w:t>
      </w:r>
      <w:r w:rsidR="00336BF7" w:rsidRPr="00D33CB3">
        <w:t>July 2014</w:t>
      </w:r>
      <w:r w:rsidRPr="001566D1">
        <w:t>.</w:t>
      </w:r>
      <w:r>
        <w:t xml:space="preserve"> The ACCC will consider the submissions received from the market and the merger parties in light of the issues identified above and will, in conjunction with information and submissions already provided by the parties, come to a final view </w:t>
      </w:r>
      <w:r w:rsidR="00F637D4" w:rsidRPr="00F637D4">
        <w:t>in light of the issues raised above.</w:t>
      </w:r>
    </w:p>
    <w:p w:rsidR="00FB30A0" w:rsidRDefault="00FB30A0" w:rsidP="00743015">
      <w:pPr>
        <w:pStyle w:val="NormalParagraph"/>
      </w:pPr>
      <w:r>
        <w:t xml:space="preserve">The ACCC intends to publicly announce its final </w:t>
      </w:r>
      <w:r w:rsidRPr="001566D1">
        <w:t xml:space="preserve">view by </w:t>
      </w:r>
      <w:r w:rsidR="006C34F2" w:rsidRPr="00D33CB3">
        <w:t xml:space="preserve">21 </w:t>
      </w:r>
      <w:r w:rsidR="00872F09" w:rsidRPr="00D33CB3">
        <w:t>August 2014</w:t>
      </w:r>
      <w:r w:rsidRPr="001566D1">
        <w:t>.</w:t>
      </w:r>
      <w:r>
        <w:t xml:space="preserve"> However the anticipated timeline may change in line with the </w:t>
      </w:r>
      <w:r w:rsidRPr="007F75F1">
        <w:t>Merger Review Process Guidelines</w:t>
      </w:r>
      <w:r>
        <w:t xml:space="preserve">. A </w:t>
      </w:r>
      <w:r w:rsidR="005F1F0B">
        <w:t>P</w:t>
      </w:r>
      <w:r>
        <w:t xml:space="preserve">ublic Competition Assessment for the purpose of </w:t>
      </w:r>
      <w:r>
        <w:lastRenderedPageBreak/>
        <w:t>explaining the ACCC's final view may be published following the ACCC's public announcement.</w:t>
      </w:r>
    </w:p>
    <w:sectPr w:rsidR="00FB30A0">
      <w:headerReference w:type="even" r:id="rId11"/>
      <w:headerReference w:type="default" r:id="rId12"/>
      <w:footerReference w:type="even" r:id="rId13"/>
      <w:footerReference w:type="default" r:id="rId14"/>
      <w:headerReference w:type="first" r:id="rId15"/>
      <w:footerReference w:type="first" r:id="rId16"/>
      <w:pgSz w:w="11906" w:h="16838" w:code="9"/>
      <w:pgMar w:top="1440" w:right="1729" w:bottom="1582" w:left="1729" w:header="709"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DE" w:rsidRDefault="00AB55DE">
      <w:r>
        <w:separator/>
      </w:r>
    </w:p>
    <w:p w:rsidR="00AB55DE" w:rsidRDefault="00AB55DE"/>
    <w:p w:rsidR="00AB55DE" w:rsidRDefault="00AB55DE"/>
  </w:endnote>
  <w:endnote w:type="continuationSeparator" w:id="0">
    <w:p w:rsidR="00AB55DE" w:rsidRDefault="00AB55DE">
      <w:r>
        <w:continuationSeparator/>
      </w:r>
    </w:p>
    <w:p w:rsidR="00AB55DE" w:rsidRDefault="00AB55DE"/>
    <w:p w:rsidR="00AB55DE" w:rsidRDefault="00AB5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DE" w:rsidRDefault="00AB5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5DE" w:rsidRDefault="00AB55DE">
    <w:pPr>
      <w:pStyle w:val="Footer"/>
    </w:pPr>
  </w:p>
  <w:p w:rsidR="00AB55DE" w:rsidRDefault="00AB55DE"/>
  <w:p w:rsidR="00AB55DE" w:rsidRDefault="00AB55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DE" w:rsidRPr="00E23669" w:rsidRDefault="00AB55DE" w:rsidP="00E23669">
    <w:pPr>
      <w:pStyle w:val="Footer"/>
      <w:jc w:val="right"/>
      <w:rPr>
        <w:rFonts w:ascii="Arial" w:hAnsi="Arial" w:cs="Arial"/>
        <w:sz w:val="22"/>
        <w:szCs w:val="22"/>
      </w:rPr>
    </w:pPr>
    <w:r w:rsidRPr="00E23669">
      <w:rPr>
        <w:rFonts w:ascii="Arial" w:hAnsi="Arial" w:cs="Arial"/>
        <w:sz w:val="22"/>
        <w:szCs w:val="22"/>
      </w:rPr>
      <w:t xml:space="preserve">Page </w:t>
    </w:r>
    <w:r w:rsidRPr="00E23669">
      <w:rPr>
        <w:rFonts w:ascii="Arial" w:hAnsi="Arial" w:cs="Arial"/>
        <w:b/>
        <w:sz w:val="22"/>
        <w:szCs w:val="22"/>
      </w:rPr>
      <w:fldChar w:fldCharType="begin"/>
    </w:r>
    <w:r w:rsidRPr="00E23669">
      <w:rPr>
        <w:rFonts w:ascii="Arial" w:hAnsi="Arial" w:cs="Arial"/>
        <w:b/>
        <w:sz w:val="22"/>
        <w:szCs w:val="22"/>
      </w:rPr>
      <w:instrText xml:space="preserve"> PAGE </w:instrText>
    </w:r>
    <w:r w:rsidRPr="00E23669">
      <w:rPr>
        <w:rFonts w:ascii="Arial" w:hAnsi="Arial" w:cs="Arial"/>
        <w:b/>
        <w:sz w:val="22"/>
        <w:szCs w:val="22"/>
      </w:rPr>
      <w:fldChar w:fldCharType="separate"/>
    </w:r>
    <w:r w:rsidR="00C37665">
      <w:rPr>
        <w:rFonts w:ascii="Arial" w:hAnsi="Arial" w:cs="Arial"/>
        <w:b/>
        <w:noProof/>
        <w:sz w:val="22"/>
        <w:szCs w:val="22"/>
      </w:rPr>
      <w:t>2</w:t>
    </w:r>
    <w:r w:rsidRPr="00E23669">
      <w:rPr>
        <w:rFonts w:ascii="Arial" w:hAnsi="Arial" w:cs="Arial"/>
        <w:b/>
        <w:sz w:val="22"/>
        <w:szCs w:val="22"/>
      </w:rPr>
      <w:fldChar w:fldCharType="end"/>
    </w:r>
    <w:r w:rsidRPr="00E23669">
      <w:rPr>
        <w:rFonts w:ascii="Arial" w:hAnsi="Arial" w:cs="Arial"/>
        <w:sz w:val="22"/>
        <w:szCs w:val="22"/>
      </w:rPr>
      <w:t xml:space="preserve"> of </w:t>
    </w:r>
    <w:r w:rsidRPr="00E23669">
      <w:rPr>
        <w:rFonts w:ascii="Arial" w:hAnsi="Arial" w:cs="Arial"/>
        <w:b/>
        <w:sz w:val="22"/>
        <w:szCs w:val="22"/>
      </w:rPr>
      <w:fldChar w:fldCharType="begin"/>
    </w:r>
    <w:r w:rsidRPr="00E23669">
      <w:rPr>
        <w:rFonts w:ascii="Arial" w:hAnsi="Arial" w:cs="Arial"/>
        <w:b/>
        <w:sz w:val="22"/>
        <w:szCs w:val="22"/>
      </w:rPr>
      <w:instrText xml:space="preserve"> NUMPAGES  </w:instrText>
    </w:r>
    <w:r w:rsidRPr="00E23669">
      <w:rPr>
        <w:rFonts w:ascii="Arial" w:hAnsi="Arial" w:cs="Arial"/>
        <w:b/>
        <w:sz w:val="22"/>
        <w:szCs w:val="22"/>
      </w:rPr>
      <w:fldChar w:fldCharType="separate"/>
    </w:r>
    <w:r w:rsidR="00C37665">
      <w:rPr>
        <w:rFonts w:ascii="Arial" w:hAnsi="Arial" w:cs="Arial"/>
        <w:b/>
        <w:noProof/>
        <w:sz w:val="22"/>
        <w:szCs w:val="22"/>
      </w:rPr>
      <w:t>20</w:t>
    </w:r>
    <w:r w:rsidRPr="00E23669">
      <w:rPr>
        <w:rFonts w:ascii="Arial" w:hAnsi="Arial" w:cs="Arial"/>
        <w:b/>
        <w:sz w:val="22"/>
        <w:szCs w:val="22"/>
      </w:rPr>
      <w:fldChar w:fldCharType="end"/>
    </w:r>
  </w:p>
  <w:p w:rsidR="00AB55DE" w:rsidRDefault="00AB55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DE" w:rsidRPr="00497688" w:rsidRDefault="00AB55DE">
    <w:pPr>
      <w:pStyle w:val="Footer"/>
      <w:jc w:val="right"/>
      <w:rPr>
        <w:rFonts w:ascii="Arial" w:hAnsi="Arial" w:cs="Arial"/>
        <w:sz w:val="22"/>
        <w:szCs w:val="22"/>
      </w:rPr>
    </w:pPr>
    <w:r w:rsidRPr="00497688">
      <w:rPr>
        <w:rFonts w:ascii="Arial" w:hAnsi="Arial" w:cs="Arial"/>
        <w:sz w:val="22"/>
        <w:szCs w:val="22"/>
      </w:rPr>
      <w:t xml:space="preserve">Page </w:t>
    </w:r>
    <w:r w:rsidRPr="00497688">
      <w:rPr>
        <w:rFonts w:ascii="Arial" w:hAnsi="Arial" w:cs="Arial"/>
        <w:b/>
        <w:sz w:val="22"/>
        <w:szCs w:val="22"/>
      </w:rPr>
      <w:fldChar w:fldCharType="begin"/>
    </w:r>
    <w:r w:rsidRPr="00497688">
      <w:rPr>
        <w:rFonts w:ascii="Arial" w:hAnsi="Arial" w:cs="Arial"/>
        <w:b/>
        <w:sz w:val="22"/>
        <w:szCs w:val="22"/>
      </w:rPr>
      <w:instrText xml:space="preserve"> PAGE </w:instrText>
    </w:r>
    <w:r w:rsidRPr="00497688">
      <w:rPr>
        <w:rFonts w:ascii="Arial" w:hAnsi="Arial" w:cs="Arial"/>
        <w:b/>
        <w:sz w:val="22"/>
        <w:szCs w:val="22"/>
      </w:rPr>
      <w:fldChar w:fldCharType="separate"/>
    </w:r>
    <w:r w:rsidR="00C37665">
      <w:rPr>
        <w:rFonts w:ascii="Arial" w:hAnsi="Arial" w:cs="Arial"/>
        <w:b/>
        <w:noProof/>
        <w:sz w:val="22"/>
        <w:szCs w:val="22"/>
      </w:rPr>
      <w:t>1</w:t>
    </w:r>
    <w:r w:rsidRPr="00497688">
      <w:rPr>
        <w:rFonts w:ascii="Arial" w:hAnsi="Arial" w:cs="Arial"/>
        <w:b/>
        <w:sz w:val="22"/>
        <w:szCs w:val="22"/>
      </w:rPr>
      <w:fldChar w:fldCharType="end"/>
    </w:r>
    <w:r w:rsidRPr="00497688">
      <w:rPr>
        <w:rFonts w:ascii="Arial" w:hAnsi="Arial" w:cs="Arial"/>
        <w:sz w:val="22"/>
        <w:szCs w:val="22"/>
      </w:rPr>
      <w:t xml:space="preserve"> of </w:t>
    </w:r>
    <w:r w:rsidRPr="00497688">
      <w:rPr>
        <w:rFonts w:ascii="Arial" w:hAnsi="Arial" w:cs="Arial"/>
        <w:b/>
        <w:sz w:val="22"/>
        <w:szCs w:val="22"/>
      </w:rPr>
      <w:fldChar w:fldCharType="begin"/>
    </w:r>
    <w:r w:rsidRPr="00497688">
      <w:rPr>
        <w:rFonts w:ascii="Arial" w:hAnsi="Arial" w:cs="Arial"/>
        <w:b/>
        <w:sz w:val="22"/>
        <w:szCs w:val="22"/>
      </w:rPr>
      <w:instrText xml:space="preserve"> NUMPAGES  </w:instrText>
    </w:r>
    <w:r w:rsidRPr="00497688">
      <w:rPr>
        <w:rFonts w:ascii="Arial" w:hAnsi="Arial" w:cs="Arial"/>
        <w:b/>
        <w:sz w:val="22"/>
        <w:szCs w:val="22"/>
      </w:rPr>
      <w:fldChar w:fldCharType="separate"/>
    </w:r>
    <w:r w:rsidR="00C37665">
      <w:rPr>
        <w:rFonts w:ascii="Arial" w:hAnsi="Arial" w:cs="Arial"/>
        <w:b/>
        <w:noProof/>
        <w:sz w:val="22"/>
        <w:szCs w:val="22"/>
      </w:rPr>
      <w:t>20</w:t>
    </w:r>
    <w:r w:rsidRPr="00497688">
      <w:rPr>
        <w:rFonts w:ascii="Arial" w:hAnsi="Arial" w:cs="Arial"/>
        <w:b/>
        <w:sz w:val="22"/>
        <w:szCs w:val="22"/>
      </w:rPr>
      <w:fldChar w:fldCharType="end"/>
    </w:r>
  </w:p>
  <w:p w:rsidR="00AB55DE" w:rsidRDefault="00AB5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DE" w:rsidRDefault="00AB55DE">
      <w:r>
        <w:separator/>
      </w:r>
    </w:p>
    <w:p w:rsidR="00AB55DE" w:rsidRDefault="00AB55DE"/>
    <w:p w:rsidR="00AB55DE" w:rsidRDefault="00AB55DE"/>
  </w:footnote>
  <w:footnote w:type="continuationSeparator" w:id="0">
    <w:p w:rsidR="00AB55DE" w:rsidRDefault="00AB55DE">
      <w:r>
        <w:continuationSeparator/>
      </w:r>
    </w:p>
    <w:p w:rsidR="00AB55DE" w:rsidRDefault="00AB55DE"/>
    <w:p w:rsidR="00AB55DE" w:rsidRDefault="00AB55DE"/>
  </w:footnote>
  <w:footnote w:id="1">
    <w:p w:rsidR="00AB55DE" w:rsidRDefault="00AB55DE">
      <w:pPr>
        <w:pStyle w:val="FootnoteText"/>
      </w:pPr>
      <w:r>
        <w:rPr>
          <w:rStyle w:val="FootnoteReference"/>
        </w:rPr>
        <w:footnoteRef/>
      </w:r>
      <w:r>
        <w:t xml:space="preserve"> The other short-listed project is by ASF Consortium Pty Ltd for an integrated resort and casino in Broadwater on the Gold Coast.</w:t>
      </w:r>
    </w:p>
  </w:footnote>
  <w:footnote w:id="2">
    <w:p w:rsidR="00AB55DE" w:rsidRPr="009F424A" w:rsidRDefault="00AB55DE">
      <w:pPr>
        <w:pStyle w:val="FootnoteText"/>
        <w:rPr>
          <w:color w:val="000000" w:themeColor="text1"/>
        </w:rPr>
      </w:pPr>
      <w:r w:rsidRPr="009F424A">
        <w:rPr>
          <w:rStyle w:val="FootnoteReference"/>
          <w:color w:val="000000" w:themeColor="text1"/>
        </w:rPr>
        <w:footnoteRef/>
      </w:r>
      <w:r w:rsidRPr="009F424A">
        <w:rPr>
          <w:color w:val="000000" w:themeColor="text1"/>
        </w:rPr>
        <w:t xml:space="preserve"> See the media statement of </w:t>
      </w:r>
      <w:r>
        <w:rPr>
          <w:color w:val="000000" w:themeColor="text1"/>
        </w:rPr>
        <w:t xml:space="preserve">the </w:t>
      </w:r>
      <w:r w:rsidRPr="0073308A">
        <w:rPr>
          <w:color w:val="000000" w:themeColor="text1"/>
        </w:rPr>
        <w:t>Deputy Premier, Minister for State Development, Infrastructure and Planning</w:t>
      </w:r>
      <w:r>
        <w:rPr>
          <w:color w:val="000000" w:themeColor="text1"/>
        </w:rPr>
        <w:t>, t</w:t>
      </w:r>
      <w:r w:rsidRPr="0073308A">
        <w:rPr>
          <w:color w:val="000000" w:themeColor="text1"/>
        </w:rPr>
        <w:t xml:space="preserve">he Honourable Jeff </w:t>
      </w:r>
      <w:proofErr w:type="spellStart"/>
      <w:r w:rsidRPr="0073308A">
        <w:rPr>
          <w:color w:val="000000" w:themeColor="text1"/>
        </w:rPr>
        <w:t>Seeney</w:t>
      </w:r>
      <w:proofErr w:type="spellEnd"/>
      <w:r>
        <w:rPr>
          <w:color w:val="000000" w:themeColor="text1"/>
        </w:rPr>
        <w:t>, at</w:t>
      </w:r>
      <w:r w:rsidRPr="009F424A">
        <w:rPr>
          <w:color w:val="000000" w:themeColor="text1"/>
        </w:rPr>
        <w:t xml:space="preserve"> </w:t>
      </w:r>
      <w:hyperlink r:id="rId1" w:history="1">
        <w:r w:rsidRPr="009F424A">
          <w:rPr>
            <w:rStyle w:val="Hyperlink"/>
            <w:color w:val="000000" w:themeColor="text1"/>
          </w:rPr>
          <w:t>http://statements.qld.gov.au/Statement/2014/5/27/aquis-and-asf-shortlisted-to-develop-integrated-resorts</w:t>
        </w:r>
      </w:hyperlink>
      <w:r>
        <w:rPr>
          <w:rStyle w:val="Hyperlink"/>
          <w:color w:val="000000" w:themeColor="text1"/>
        </w:rPr>
        <w:t xml:space="preserve"> </w:t>
      </w:r>
    </w:p>
  </w:footnote>
  <w:footnote w:id="3">
    <w:p w:rsidR="00AB55DE" w:rsidRPr="0037077F" w:rsidRDefault="00AB55DE" w:rsidP="008E343D">
      <w:pPr>
        <w:pStyle w:val="FootnoteText"/>
        <w:jc w:val="left"/>
        <w:rPr>
          <w:color w:val="000000" w:themeColor="text1"/>
        </w:rPr>
      </w:pPr>
      <w:r w:rsidRPr="009F424A">
        <w:rPr>
          <w:rStyle w:val="FootnoteReference"/>
          <w:color w:val="000000" w:themeColor="text1"/>
        </w:rPr>
        <w:footnoteRef/>
      </w:r>
      <w:r>
        <w:t xml:space="preserve"> </w:t>
      </w:r>
      <w:hyperlink r:id="rId2" w:history="1">
        <w:r w:rsidRPr="0037077F">
          <w:rPr>
            <w:rStyle w:val="Hyperlink"/>
            <w:color w:val="000000" w:themeColor="text1"/>
          </w:rPr>
          <w:t>http://eisdocs.dsdip.qld.gov.au/Active%20Projects/Aquis%20Resort%20at%20the%20Great%20Barrier%20Reef/EIS/Aquis%20EIS_DIGITAL_Chapter%204.pdf</w:t>
        </w:r>
      </w:hyperlink>
      <w:r w:rsidRPr="0037077F">
        <w:rPr>
          <w:color w:val="000000" w:themeColor="text1"/>
        </w:rPr>
        <w:t xml:space="preserve"> </w:t>
      </w:r>
    </w:p>
  </w:footnote>
  <w:footnote w:id="4">
    <w:p w:rsidR="00AB55DE" w:rsidRPr="0037077F" w:rsidRDefault="00AB55DE" w:rsidP="00CD3E59">
      <w:pPr>
        <w:pStyle w:val="FootnoteText"/>
        <w:jc w:val="left"/>
        <w:rPr>
          <w:color w:val="000000" w:themeColor="text1"/>
        </w:rPr>
      </w:pPr>
      <w:r w:rsidRPr="0037077F">
        <w:rPr>
          <w:rStyle w:val="FootnoteReference"/>
          <w:color w:val="000000" w:themeColor="text1"/>
        </w:rPr>
        <w:footnoteRef/>
      </w:r>
      <w:r w:rsidRPr="0037077F">
        <w:rPr>
          <w:color w:val="000000" w:themeColor="text1"/>
        </w:rPr>
        <w:t xml:space="preserve"> </w:t>
      </w:r>
      <w:r w:rsidR="004D2F2B">
        <w:rPr>
          <w:color w:val="000000" w:themeColor="text1"/>
        </w:rPr>
        <w:t xml:space="preserve">The Independent Expert’s Report is </w:t>
      </w:r>
      <w:r w:rsidRPr="0037077F">
        <w:rPr>
          <w:color w:val="000000" w:themeColor="text1"/>
        </w:rPr>
        <w:t xml:space="preserve">Attachment 1 to the Reef Casino’s Target’s Statement issued in response to </w:t>
      </w:r>
      <w:proofErr w:type="spellStart"/>
      <w:r w:rsidRPr="0037077F">
        <w:rPr>
          <w:color w:val="000000" w:themeColor="text1"/>
        </w:rPr>
        <w:t>Aquis</w:t>
      </w:r>
      <w:proofErr w:type="spellEnd"/>
      <w:r w:rsidRPr="0037077F">
        <w:rPr>
          <w:color w:val="000000" w:themeColor="text1"/>
        </w:rPr>
        <w:t>’ bid for the Reef Casino Trust at</w:t>
      </w:r>
      <w:r w:rsidRPr="0037077F">
        <w:rPr>
          <w:rFonts w:ascii="Arial" w:hAnsi="Arial" w:cs="Arial"/>
          <w:color w:val="000000" w:themeColor="text1"/>
        </w:rPr>
        <w:t xml:space="preserve"> </w:t>
      </w:r>
      <w:hyperlink r:id="rId3" w:history="1">
        <w:r w:rsidRPr="0037077F">
          <w:rPr>
            <w:rStyle w:val="Hyperlink"/>
            <w:color w:val="000000" w:themeColor="text1"/>
          </w:rPr>
          <w:t>http://media.reefcasino.com.au/d/reefcasino/media/Pdfs/Targets_Statement_ASX_lodgement.pdf</w:t>
        </w:r>
      </w:hyperlink>
    </w:p>
  </w:footnote>
  <w:footnote w:id="5">
    <w:p w:rsidR="00AB55DE" w:rsidRPr="008D76B6" w:rsidRDefault="00AB55DE" w:rsidP="00C1009F">
      <w:pPr>
        <w:pStyle w:val="FootnoteText"/>
      </w:pPr>
      <w:r w:rsidRPr="008D76B6">
        <w:rPr>
          <w:rStyle w:val="FootnoteReference"/>
        </w:rPr>
        <w:footnoteRef/>
      </w:r>
      <w:r w:rsidRPr="008D76B6">
        <w:t xml:space="preserve"> </w:t>
      </w:r>
      <w:proofErr w:type="gramStart"/>
      <w:r w:rsidRPr="008D76B6">
        <w:t>Page 22 of the Independent Expert’s Report.</w:t>
      </w:r>
      <w:proofErr w:type="gramEnd"/>
    </w:p>
  </w:footnote>
  <w:footnote w:id="6">
    <w:p w:rsidR="00AB55DE" w:rsidRPr="00C808F8" w:rsidRDefault="00AB55DE" w:rsidP="00C1009F">
      <w:pPr>
        <w:pStyle w:val="FootnoteText"/>
        <w:rPr>
          <w:rFonts w:ascii="Arial" w:hAnsi="Arial" w:cs="Arial"/>
        </w:rPr>
      </w:pPr>
      <w:r w:rsidRPr="008D76B6">
        <w:rPr>
          <w:rStyle w:val="FootnoteReference"/>
        </w:rPr>
        <w:footnoteRef/>
      </w:r>
      <w:r w:rsidRPr="008D76B6">
        <w:t xml:space="preserve"> Ibis world, as quoted at page 24 of the Independent Export’s Report. These figures do not include any revenues associated with the </w:t>
      </w:r>
      <w:proofErr w:type="spellStart"/>
      <w:r w:rsidRPr="008D76B6">
        <w:t>Aquis</w:t>
      </w:r>
      <w:proofErr w:type="spellEnd"/>
      <w:r w:rsidRPr="008D76B6">
        <w:t xml:space="preserve"> Resort.</w:t>
      </w:r>
    </w:p>
  </w:footnote>
  <w:footnote w:id="7">
    <w:p w:rsidR="00AB55DE" w:rsidRDefault="00AB55DE">
      <w:pPr>
        <w:pStyle w:val="FootnoteText"/>
      </w:pPr>
      <w:r>
        <w:rPr>
          <w:rStyle w:val="FootnoteReference"/>
        </w:rPr>
        <w:footnoteRef/>
      </w:r>
      <w:r>
        <w:t xml:space="preserve"> </w:t>
      </w:r>
      <w:proofErr w:type="gramStart"/>
      <w:r w:rsidR="000B4A7A">
        <w:t>Reproduced from p</w:t>
      </w:r>
      <w:r>
        <w:t>age 23 of the Independent Expert’s Report.</w:t>
      </w:r>
      <w:proofErr w:type="gramEnd"/>
    </w:p>
  </w:footnote>
  <w:footnote w:id="8">
    <w:p w:rsidR="00AB55DE" w:rsidRPr="0037077F" w:rsidRDefault="00AB55DE">
      <w:pPr>
        <w:pStyle w:val="FootnoteText"/>
        <w:rPr>
          <w:color w:val="000000" w:themeColor="text1"/>
        </w:rPr>
      </w:pPr>
      <w:r>
        <w:rPr>
          <w:rStyle w:val="FootnoteReference"/>
        </w:rPr>
        <w:footnoteRef/>
      </w:r>
      <w:r>
        <w:t xml:space="preserve"> </w:t>
      </w:r>
      <w:r w:rsidRPr="0037077F">
        <w:rPr>
          <w:color w:val="000000" w:themeColor="text1"/>
        </w:rPr>
        <w:t xml:space="preserve">Available at </w:t>
      </w:r>
      <w:hyperlink r:id="rId4" w:history="1">
        <w:r w:rsidRPr="0037077F">
          <w:rPr>
            <w:rStyle w:val="Hyperlink"/>
            <w:color w:val="000000" w:themeColor="text1"/>
          </w:rPr>
          <w:t>http://www.dsdip.qld.gov.au/assessments-and-approvals/projects-environmental-impact-statement.html</w:t>
        </w:r>
      </w:hyperlink>
      <w:r w:rsidRPr="0037077F">
        <w:rPr>
          <w:color w:val="000000" w:themeColor="text1"/>
        </w:rPr>
        <w:t xml:space="preserve"> </w:t>
      </w:r>
    </w:p>
  </w:footnote>
  <w:footnote w:id="9">
    <w:p w:rsidR="00AB55DE" w:rsidRPr="0037077F" w:rsidRDefault="00AB55DE" w:rsidP="00B430EB">
      <w:pPr>
        <w:pStyle w:val="FootnoteText"/>
        <w:rPr>
          <w:color w:val="000000" w:themeColor="text1"/>
        </w:rPr>
      </w:pPr>
      <w:r>
        <w:rPr>
          <w:rStyle w:val="FootnoteReference"/>
        </w:rPr>
        <w:footnoteRef/>
      </w:r>
      <w:r>
        <w:t xml:space="preserve"> </w:t>
      </w:r>
      <w:proofErr w:type="gramStart"/>
      <w:r w:rsidRPr="0037077F">
        <w:rPr>
          <w:color w:val="000000" w:themeColor="text1"/>
        </w:rPr>
        <w:t>Table games refers</w:t>
      </w:r>
      <w:proofErr w:type="gramEnd"/>
      <w:r w:rsidRPr="0037077F">
        <w:rPr>
          <w:color w:val="000000" w:themeColor="text1"/>
        </w:rPr>
        <w:t xml:space="preserve"> to games such as blackjack, roulette, and baccarat that are played on a table. The phrase table games is used to distinguish games of this type from other forms of gambling available at a casino such as gaming machines.</w:t>
      </w:r>
    </w:p>
  </w:footnote>
  <w:footnote w:id="10">
    <w:p w:rsidR="00AB55DE" w:rsidRPr="0037077F" w:rsidRDefault="00AB55DE">
      <w:pPr>
        <w:pStyle w:val="FootnoteText"/>
        <w:rPr>
          <w:color w:val="000000" w:themeColor="text1"/>
        </w:rPr>
      </w:pPr>
      <w:r w:rsidRPr="0037077F">
        <w:rPr>
          <w:rStyle w:val="FootnoteReference"/>
          <w:color w:val="000000" w:themeColor="text1"/>
        </w:rPr>
        <w:footnoteRef/>
      </w:r>
      <w:r w:rsidRPr="0037077F">
        <w:rPr>
          <w:color w:val="000000" w:themeColor="text1"/>
        </w:rPr>
        <w:t xml:space="preserve"> </w:t>
      </w:r>
      <w:r w:rsidRPr="0037077F">
        <w:rPr>
          <w:i/>
          <w:color w:val="000000" w:themeColor="text1"/>
        </w:rPr>
        <w:t xml:space="preserve">Gaming Machine Act 1991 </w:t>
      </w:r>
      <w:r w:rsidRPr="0037077F">
        <w:rPr>
          <w:color w:val="000000" w:themeColor="text1"/>
        </w:rPr>
        <w:t>(Qld)</w:t>
      </w:r>
    </w:p>
  </w:footnote>
  <w:footnote w:id="11">
    <w:p w:rsidR="00AB55DE" w:rsidRPr="0037077F" w:rsidRDefault="00AB55DE" w:rsidP="00F17412">
      <w:pPr>
        <w:pStyle w:val="FootnoteText"/>
        <w:jc w:val="left"/>
        <w:rPr>
          <w:color w:val="000000" w:themeColor="text1"/>
        </w:rPr>
      </w:pPr>
      <w:r w:rsidRPr="0037077F">
        <w:rPr>
          <w:rStyle w:val="FootnoteReference"/>
          <w:color w:val="000000" w:themeColor="text1"/>
        </w:rPr>
        <w:footnoteRef/>
      </w:r>
      <w:r w:rsidRPr="0037077F">
        <w:rPr>
          <w:color w:val="000000" w:themeColor="text1"/>
        </w:rPr>
        <w:t xml:space="preserve"> </w:t>
      </w:r>
      <w:proofErr w:type="gramStart"/>
      <w:r w:rsidRPr="0037077F">
        <w:rPr>
          <w:color w:val="000000" w:themeColor="text1"/>
        </w:rPr>
        <w:t>Chapter 8.3 of the Australian/New Zealand Gaming Machine National Standard, Revision 10.3, 13 December 2012 (</w:t>
      </w:r>
      <w:hyperlink r:id="rId5" w:history="1">
        <w:r w:rsidRPr="0037077F">
          <w:rPr>
            <w:rStyle w:val="Hyperlink"/>
            <w:color w:val="000000" w:themeColor="text1"/>
          </w:rPr>
          <w:t>http://www.olgr.qld.gov.au/__data/assets/pdf_file/0017/250370/AustralianNewZealandGamingMachineNationalStandard.pdf</w:t>
        </w:r>
      </w:hyperlink>
      <w:r w:rsidRPr="0037077F">
        <w:rPr>
          <w:color w:val="000000" w:themeColor="text1"/>
        </w:rPr>
        <w:t>).</w:t>
      </w:r>
      <w:proofErr w:type="gramEnd"/>
      <w:r w:rsidRPr="0037077F">
        <w:rPr>
          <w:color w:val="000000" w:themeColor="text1"/>
        </w:rPr>
        <w:t xml:space="preserve"> These standards are required to be adopted by machines in Queensland under the </w:t>
      </w:r>
      <w:r w:rsidRPr="0037077F">
        <w:rPr>
          <w:i/>
          <w:color w:val="000000" w:themeColor="text1"/>
        </w:rPr>
        <w:t>Gaming Machine Act 1991</w:t>
      </w:r>
      <w:r w:rsidRPr="0037077F">
        <w:rPr>
          <w:color w:val="000000" w:themeColor="text1"/>
        </w:rPr>
        <w:t xml:space="preserve"> (Qld).</w:t>
      </w:r>
    </w:p>
  </w:footnote>
  <w:footnote w:id="12">
    <w:p w:rsidR="00AB55DE" w:rsidRDefault="00AB55DE">
      <w:pPr>
        <w:pStyle w:val="FootnoteText"/>
      </w:pPr>
      <w:r>
        <w:rPr>
          <w:rStyle w:val="FootnoteReference"/>
        </w:rPr>
        <w:footnoteRef/>
      </w:r>
      <w:r>
        <w:t xml:space="preserve"> </w:t>
      </w:r>
      <w:proofErr w:type="gramStart"/>
      <w:r>
        <w:t>A small but significant non-transitory increase in prices (or equivalent reduction in service quality).</w:t>
      </w:r>
      <w:proofErr w:type="gramEnd"/>
      <w:r>
        <w:t xml:space="preserve"> </w:t>
      </w:r>
    </w:p>
  </w:footnote>
  <w:footnote w:id="13">
    <w:p w:rsidR="00AB55DE" w:rsidRPr="0037077F" w:rsidRDefault="00AB55DE">
      <w:pPr>
        <w:pStyle w:val="FootnoteText"/>
        <w:rPr>
          <w:color w:val="000000" w:themeColor="text1"/>
        </w:rPr>
      </w:pPr>
      <w:r>
        <w:rPr>
          <w:rStyle w:val="FootnoteReference"/>
        </w:rPr>
        <w:footnoteRef/>
      </w:r>
      <w:r>
        <w:t xml:space="preserve"> </w:t>
      </w:r>
      <w:r w:rsidRPr="0037077F">
        <w:rPr>
          <w:color w:val="000000" w:themeColor="text1"/>
        </w:rPr>
        <w:t xml:space="preserve">The ACCC notes the possibility that the focus of the Reef Casino could change in the future in the absence of the proposed acquisition. This issue is considered below at paragraphs </w:t>
      </w:r>
      <w:r w:rsidRPr="0037077F">
        <w:rPr>
          <w:color w:val="000000" w:themeColor="text1"/>
        </w:rPr>
        <w:fldChar w:fldCharType="begin"/>
      </w:r>
      <w:r w:rsidRPr="0037077F">
        <w:rPr>
          <w:color w:val="000000" w:themeColor="text1"/>
        </w:rPr>
        <w:instrText xml:space="preserve"> REF _Ref390421724 \r \h </w:instrText>
      </w:r>
      <w:r w:rsidRPr="0037077F">
        <w:rPr>
          <w:color w:val="000000" w:themeColor="text1"/>
        </w:rPr>
      </w:r>
      <w:r w:rsidRPr="0037077F">
        <w:rPr>
          <w:color w:val="000000" w:themeColor="text1"/>
        </w:rPr>
        <w:fldChar w:fldCharType="separate"/>
      </w:r>
      <w:r w:rsidR="00C37665">
        <w:rPr>
          <w:color w:val="000000" w:themeColor="text1"/>
        </w:rPr>
        <w:t>78</w:t>
      </w:r>
      <w:r w:rsidRPr="0037077F">
        <w:rPr>
          <w:color w:val="000000" w:themeColor="text1"/>
        </w:rPr>
        <w:fldChar w:fldCharType="end"/>
      </w:r>
      <w:r w:rsidRPr="0037077F">
        <w:rPr>
          <w:color w:val="000000" w:themeColor="text1"/>
        </w:rPr>
        <w:t xml:space="preserve"> to </w:t>
      </w:r>
      <w:r w:rsidRPr="0037077F">
        <w:rPr>
          <w:color w:val="000000" w:themeColor="text1"/>
        </w:rPr>
        <w:fldChar w:fldCharType="begin"/>
      </w:r>
      <w:r w:rsidRPr="0037077F">
        <w:rPr>
          <w:color w:val="000000" w:themeColor="text1"/>
        </w:rPr>
        <w:instrText xml:space="preserve"> REF _Ref390421734 \r \h </w:instrText>
      </w:r>
      <w:r w:rsidRPr="0037077F">
        <w:rPr>
          <w:color w:val="000000" w:themeColor="text1"/>
        </w:rPr>
      </w:r>
      <w:r w:rsidRPr="0037077F">
        <w:rPr>
          <w:color w:val="000000" w:themeColor="text1"/>
        </w:rPr>
        <w:fldChar w:fldCharType="separate"/>
      </w:r>
      <w:r w:rsidR="00C37665">
        <w:rPr>
          <w:color w:val="000000" w:themeColor="text1"/>
        </w:rPr>
        <w:t>84</w:t>
      </w:r>
      <w:r w:rsidRPr="0037077F">
        <w:rPr>
          <w:color w:val="000000" w:themeColor="text1"/>
        </w:rPr>
        <w:fldChar w:fldCharType="end"/>
      </w:r>
      <w:r w:rsidRPr="0037077F">
        <w:rPr>
          <w:color w:val="000000" w:themeColor="text1"/>
        </w:rPr>
        <w:t>.</w:t>
      </w:r>
    </w:p>
  </w:footnote>
  <w:footnote w:id="14">
    <w:p w:rsidR="00AB55DE" w:rsidRPr="0037077F" w:rsidRDefault="00AB55DE" w:rsidP="00CB2877">
      <w:pPr>
        <w:pStyle w:val="FootnoteText"/>
        <w:jc w:val="left"/>
        <w:rPr>
          <w:color w:val="000000" w:themeColor="text1"/>
        </w:rPr>
      </w:pPr>
      <w:r w:rsidRPr="0037077F">
        <w:rPr>
          <w:rStyle w:val="FootnoteReference"/>
          <w:color w:val="000000" w:themeColor="text1"/>
        </w:rPr>
        <w:footnoteRef/>
      </w:r>
      <w:r w:rsidRPr="0037077F">
        <w:rPr>
          <w:color w:val="000000" w:themeColor="text1"/>
        </w:rPr>
        <w:t xml:space="preserve"> See Table 13-11 at page 22 of chapter 13 of the statement at </w:t>
      </w:r>
      <w:hyperlink r:id="rId6" w:history="1">
        <w:r w:rsidRPr="0037077F">
          <w:rPr>
            <w:rStyle w:val="Hyperlink"/>
            <w:color w:val="000000" w:themeColor="text1"/>
          </w:rPr>
          <w:t>http://eisdocs.dsdip.qld.gov.au/Active%20Projects/Aquis%20Resort%20at%20the%20Great%20Barrier%20Reef/EIS/Aquis%20EIS_DIGITAL_Chapter%2013.pdf</w:t>
        </w:r>
      </w:hyperlink>
      <w:r w:rsidRPr="0037077F">
        <w:rPr>
          <w:color w:val="000000" w:themeColor="text1"/>
        </w:rPr>
        <w:t xml:space="preserve"> </w:t>
      </w:r>
    </w:p>
  </w:footnote>
  <w:footnote w:id="15">
    <w:p w:rsidR="00AB55DE" w:rsidRDefault="00AB55DE" w:rsidP="00DF01DA">
      <w:pPr>
        <w:pStyle w:val="FootnoteText"/>
        <w:jc w:val="left"/>
      </w:pPr>
      <w:r>
        <w:rPr>
          <w:rStyle w:val="FootnoteReference"/>
        </w:rPr>
        <w:footnoteRef/>
      </w:r>
      <w:r>
        <w:t xml:space="preserve"> </w:t>
      </w:r>
      <w:hyperlink r:id="rId7" w:history="1">
        <w:r w:rsidR="00DF01DA" w:rsidRPr="009F424A">
          <w:rPr>
            <w:rStyle w:val="Hyperlink"/>
            <w:color w:val="000000" w:themeColor="text1"/>
          </w:rPr>
          <w:t>http://aquisgreatbarrierreefresort.com/wp-content/uploads/2013/08/130801-Aquis-GBR-Resort-Submission-Overview.pdf</w:t>
        </w:r>
      </w:hyperlink>
    </w:p>
  </w:footnote>
  <w:footnote w:id="16">
    <w:p w:rsidR="00AB55DE" w:rsidRPr="0037077F" w:rsidRDefault="00AB55DE" w:rsidP="00A125DF">
      <w:pPr>
        <w:pStyle w:val="FootnoteText"/>
        <w:rPr>
          <w:color w:val="000000" w:themeColor="text1"/>
        </w:rPr>
      </w:pPr>
      <w:r>
        <w:rPr>
          <w:rStyle w:val="FootnoteReference"/>
        </w:rPr>
        <w:footnoteRef/>
      </w:r>
      <w:r>
        <w:t xml:space="preserve"> </w:t>
      </w:r>
      <w:r w:rsidRPr="0037077F">
        <w:rPr>
          <w:color w:val="000000" w:themeColor="text1"/>
        </w:rPr>
        <w:t xml:space="preserve">Source: information gathered from the Queensland Office of Liquor and Gaming Regulation website </w:t>
      </w:r>
      <w:hyperlink r:id="rId8" w:history="1">
        <w:r w:rsidRPr="0037077F">
          <w:rPr>
            <w:rStyle w:val="Hyperlink"/>
            <w:color w:val="000000" w:themeColor="text1"/>
          </w:rPr>
          <w:t>https://secure.olgr.qld.gov.au/dcm/Gaming</w:t>
        </w:r>
      </w:hyperlink>
      <w:r w:rsidRPr="0037077F">
        <w:rPr>
          <w:color w:val="000000" w:themeColor="text1"/>
        </w:rPr>
        <w:t xml:space="preserve"> as at 23 June 2014.</w:t>
      </w:r>
    </w:p>
  </w:footnote>
  <w:footnote w:id="17">
    <w:p w:rsidR="00AB55DE" w:rsidRPr="0037077F" w:rsidRDefault="00AB55DE">
      <w:pPr>
        <w:pStyle w:val="FootnoteText"/>
        <w:rPr>
          <w:color w:val="000000" w:themeColor="text1"/>
        </w:rPr>
      </w:pPr>
      <w:r w:rsidRPr="0037077F">
        <w:rPr>
          <w:rStyle w:val="FootnoteReference"/>
          <w:color w:val="000000" w:themeColor="text1"/>
        </w:rPr>
        <w:footnoteRef/>
      </w:r>
      <w:r w:rsidRPr="0037077F">
        <w:rPr>
          <w:color w:val="000000" w:themeColor="text1"/>
        </w:rPr>
        <w:t xml:space="preserve"> The Fuller Sports Club is owned by the Brothers Leagues Club Cairns.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7F" w:rsidRDefault="00370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DE" w:rsidRPr="00393DD8" w:rsidRDefault="00AB55DE">
    <w:pPr>
      <w:pStyle w:val="Header"/>
      <w:jc w:val="right"/>
      <w:rPr>
        <w:rFonts w:ascii="Arial" w:hAnsi="Arial" w:cs="Arial"/>
      </w:rPr>
    </w:pPr>
    <w:proofErr w:type="spellStart"/>
    <w:r>
      <w:rPr>
        <w:rFonts w:ascii="Arial" w:hAnsi="Arial" w:cs="Arial"/>
      </w:rPr>
      <w:t>Aquis</w:t>
    </w:r>
    <w:proofErr w:type="spellEnd"/>
    <w:r>
      <w:rPr>
        <w:rFonts w:ascii="Arial" w:hAnsi="Arial" w:cs="Arial"/>
      </w:rPr>
      <w:t xml:space="preserve"> Group - proposed acquisition of the Reef Casino Trust</w:t>
    </w:r>
  </w:p>
  <w:p w:rsidR="00AB55DE" w:rsidRDefault="00AB55DE"/>
  <w:p w:rsidR="00AB55DE" w:rsidRDefault="00AB55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7F" w:rsidRDefault="00370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4214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7760"/>
    <w:multiLevelType w:val="hybridMultilevel"/>
    <w:tmpl w:val="26A4A7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A12CEA"/>
    <w:multiLevelType w:val="hybridMultilevel"/>
    <w:tmpl w:val="9A682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2F5C3D"/>
    <w:multiLevelType w:val="hybridMultilevel"/>
    <w:tmpl w:val="A2168D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F7594D"/>
    <w:multiLevelType w:val="multilevel"/>
    <w:tmpl w:val="90B0491E"/>
    <w:lvl w:ilvl="0">
      <w:start w:val="1"/>
      <w:numFmt w:val="decimal"/>
      <w:pStyle w:val="NoSpacing"/>
      <w:lvlText w:val="%1."/>
      <w:lvlJc w:val="left"/>
      <w:pPr>
        <w:tabs>
          <w:tab w:val="num" w:pos="567"/>
        </w:tabs>
        <w:ind w:left="567"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nsid w:val="1CEE042A"/>
    <w:multiLevelType w:val="hybridMultilevel"/>
    <w:tmpl w:val="835AA654"/>
    <w:lvl w:ilvl="0" w:tplc="919CAD10">
      <w:start w:val="1"/>
      <w:numFmt w:val="lowerLetter"/>
      <w:lvlText w:val="%1."/>
      <w:lvlJc w:val="left"/>
      <w:pPr>
        <w:tabs>
          <w:tab w:val="num" w:pos="862"/>
        </w:tabs>
        <w:ind w:left="862" w:hanging="360"/>
      </w:pPr>
    </w:lvl>
    <w:lvl w:ilvl="1" w:tplc="FFFFFFFF">
      <w:start w:val="1"/>
      <w:numFmt w:val="decimal"/>
      <w:lvlText w:val="%2."/>
      <w:lvlJc w:val="left"/>
      <w:pPr>
        <w:tabs>
          <w:tab w:val="num" w:pos="862"/>
        </w:tabs>
        <w:ind w:left="862"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1805366"/>
    <w:multiLevelType w:val="hybridMultilevel"/>
    <w:tmpl w:val="7318F0BE"/>
    <w:lvl w:ilvl="0" w:tplc="3A8A2044">
      <w:start w:val="1"/>
      <w:numFmt w:val="decimal"/>
      <w:pStyle w:val="Numbered"/>
      <w:lvlText w:val="%1."/>
      <w:lvlJc w:val="left"/>
      <w:pPr>
        <w:tabs>
          <w:tab w:val="num" w:pos="567"/>
        </w:tabs>
        <w:ind w:left="567" w:hanging="567"/>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191703B"/>
    <w:multiLevelType w:val="hybridMultilevel"/>
    <w:tmpl w:val="09A2C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CC04CC"/>
    <w:multiLevelType w:val="hybridMultilevel"/>
    <w:tmpl w:val="DBC0027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1B614F"/>
    <w:multiLevelType w:val="hybridMultilevel"/>
    <w:tmpl w:val="1CAE897E"/>
    <w:lvl w:ilvl="0" w:tplc="3C9479D2">
      <w:start w:val="1"/>
      <w:numFmt w:val="decimal"/>
      <w:pStyle w:val="Commentbox-ques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F65F22"/>
    <w:multiLevelType w:val="hybridMultilevel"/>
    <w:tmpl w:val="26A4A7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100C70"/>
    <w:multiLevelType w:val="hybridMultilevel"/>
    <w:tmpl w:val="AB8EDC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DF39BE"/>
    <w:multiLevelType w:val="hybridMultilevel"/>
    <w:tmpl w:val="A9F494A2"/>
    <w:lvl w:ilvl="0" w:tplc="8A984EBE">
      <w:start w:val="1"/>
      <w:numFmt w:val="bullet"/>
      <w:pStyle w:val="ListParagraph"/>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3886368F"/>
    <w:multiLevelType w:val="hybridMultilevel"/>
    <w:tmpl w:val="835AA654"/>
    <w:lvl w:ilvl="0" w:tplc="919CAD10">
      <w:start w:val="1"/>
      <w:numFmt w:val="lowerLetter"/>
      <w:lvlText w:val="%1."/>
      <w:lvlJc w:val="left"/>
      <w:pPr>
        <w:tabs>
          <w:tab w:val="num" w:pos="862"/>
        </w:tabs>
        <w:ind w:left="862" w:hanging="360"/>
      </w:pPr>
    </w:lvl>
    <w:lvl w:ilvl="1" w:tplc="FFFFFFFF">
      <w:start w:val="1"/>
      <w:numFmt w:val="decimal"/>
      <w:lvlText w:val="%2."/>
      <w:lvlJc w:val="left"/>
      <w:pPr>
        <w:tabs>
          <w:tab w:val="num" w:pos="862"/>
        </w:tabs>
        <w:ind w:left="862"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3FA1479"/>
    <w:multiLevelType w:val="hybridMultilevel"/>
    <w:tmpl w:val="DBC0027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84208E"/>
    <w:multiLevelType w:val="hybridMultilevel"/>
    <w:tmpl w:val="B282A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B5C16"/>
    <w:multiLevelType w:val="hybridMultilevel"/>
    <w:tmpl w:val="3C5E2F5C"/>
    <w:lvl w:ilvl="0" w:tplc="7B284ED6">
      <w:start w:val="1"/>
      <w:numFmt w:val="lowerLetter"/>
      <w:pStyle w:val="abc"/>
      <w:lvlText w:val="%1."/>
      <w:lvlJc w:val="left"/>
      <w:pPr>
        <w:tabs>
          <w:tab w:val="num" w:pos="1080"/>
        </w:tabs>
        <w:ind w:left="1080" w:hanging="360"/>
      </w:pPr>
      <w:rPr>
        <w:b w:val="0"/>
        <w:sz w:val="22"/>
        <w:szCs w:val="22"/>
      </w:r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2738"/>
        </w:tabs>
        <w:ind w:left="2738" w:hanging="180"/>
      </w:pPr>
    </w:lvl>
    <w:lvl w:ilvl="3" w:tplc="FFFFFFFF">
      <w:start w:val="1"/>
      <w:numFmt w:val="decimal"/>
      <w:lvlText w:val="%4."/>
      <w:lvlJc w:val="left"/>
      <w:pPr>
        <w:tabs>
          <w:tab w:val="num" w:pos="3458"/>
        </w:tabs>
        <w:ind w:left="3458" w:hanging="360"/>
      </w:pPr>
    </w:lvl>
    <w:lvl w:ilvl="4" w:tplc="FFFFFFFF">
      <w:start w:val="1"/>
      <w:numFmt w:val="lowerLetter"/>
      <w:lvlText w:val="%5."/>
      <w:lvlJc w:val="left"/>
      <w:pPr>
        <w:tabs>
          <w:tab w:val="num" w:pos="4178"/>
        </w:tabs>
        <w:ind w:left="4178" w:hanging="360"/>
      </w:pPr>
    </w:lvl>
    <w:lvl w:ilvl="5" w:tplc="FFFFFFFF">
      <w:start w:val="1"/>
      <w:numFmt w:val="lowerRoman"/>
      <w:lvlText w:val="%6."/>
      <w:lvlJc w:val="right"/>
      <w:pPr>
        <w:tabs>
          <w:tab w:val="num" w:pos="4898"/>
        </w:tabs>
        <w:ind w:left="4898" w:hanging="180"/>
      </w:pPr>
    </w:lvl>
    <w:lvl w:ilvl="6" w:tplc="FFFFFFFF" w:tentative="1">
      <w:start w:val="1"/>
      <w:numFmt w:val="decimal"/>
      <w:lvlText w:val="%7."/>
      <w:lvlJc w:val="left"/>
      <w:pPr>
        <w:tabs>
          <w:tab w:val="num" w:pos="5618"/>
        </w:tabs>
        <w:ind w:left="5618" w:hanging="360"/>
      </w:pPr>
    </w:lvl>
    <w:lvl w:ilvl="7" w:tplc="FFFFFFFF" w:tentative="1">
      <w:start w:val="1"/>
      <w:numFmt w:val="lowerLetter"/>
      <w:lvlText w:val="%8."/>
      <w:lvlJc w:val="left"/>
      <w:pPr>
        <w:tabs>
          <w:tab w:val="num" w:pos="6338"/>
        </w:tabs>
        <w:ind w:left="6338" w:hanging="360"/>
      </w:pPr>
    </w:lvl>
    <w:lvl w:ilvl="8" w:tplc="FFFFFFFF" w:tentative="1">
      <w:start w:val="1"/>
      <w:numFmt w:val="lowerRoman"/>
      <w:lvlText w:val="%9."/>
      <w:lvlJc w:val="right"/>
      <w:pPr>
        <w:tabs>
          <w:tab w:val="num" w:pos="7058"/>
        </w:tabs>
        <w:ind w:left="7058" w:hanging="180"/>
      </w:pPr>
    </w:lvl>
  </w:abstractNum>
  <w:abstractNum w:abstractNumId="17">
    <w:nsid w:val="49F758EF"/>
    <w:multiLevelType w:val="hybridMultilevel"/>
    <w:tmpl w:val="835AA654"/>
    <w:lvl w:ilvl="0" w:tplc="919CAD10">
      <w:start w:val="1"/>
      <w:numFmt w:val="lowerLetter"/>
      <w:lvlText w:val="%1."/>
      <w:lvlJc w:val="left"/>
      <w:pPr>
        <w:tabs>
          <w:tab w:val="num" w:pos="862"/>
        </w:tabs>
        <w:ind w:left="862" w:hanging="360"/>
      </w:pPr>
    </w:lvl>
    <w:lvl w:ilvl="1" w:tplc="FFFFFFFF">
      <w:start w:val="1"/>
      <w:numFmt w:val="decimal"/>
      <w:lvlText w:val="%2."/>
      <w:lvlJc w:val="left"/>
      <w:pPr>
        <w:tabs>
          <w:tab w:val="num" w:pos="862"/>
        </w:tabs>
        <w:ind w:left="862"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CA75EB0"/>
    <w:multiLevelType w:val="hybridMultilevel"/>
    <w:tmpl w:val="835AA654"/>
    <w:lvl w:ilvl="0" w:tplc="919CAD10">
      <w:start w:val="1"/>
      <w:numFmt w:val="lowerLetter"/>
      <w:lvlText w:val="%1."/>
      <w:lvlJc w:val="left"/>
      <w:pPr>
        <w:tabs>
          <w:tab w:val="num" w:pos="862"/>
        </w:tabs>
        <w:ind w:left="862" w:hanging="360"/>
      </w:pPr>
    </w:lvl>
    <w:lvl w:ilvl="1" w:tplc="FFFFFFFF">
      <w:start w:val="1"/>
      <w:numFmt w:val="decimal"/>
      <w:lvlText w:val="%2."/>
      <w:lvlJc w:val="left"/>
      <w:pPr>
        <w:tabs>
          <w:tab w:val="num" w:pos="862"/>
        </w:tabs>
        <w:ind w:left="862"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5E16FCB"/>
    <w:multiLevelType w:val="hybridMultilevel"/>
    <w:tmpl w:val="B42C761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1E7A46"/>
    <w:multiLevelType w:val="hybridMultilevel"/>
    <w:tmpl w:val="DBC0027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4B4F43"/>
    <w:multiLevelType w:val="hybridMultilevel"/>
    <w:tmpl w:val="C9D0C16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96111E"/>
    <w:multiLevelType w:val="hybridMultilevel"/>
    <w:tmpl w:val="79D8B3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25F6642"/>
    <w:multiLevelType w:val="hybridMultilevel"/>
    <w:tmpl w:val="DBC0027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3CC18D1"/>
    <w:multiLevelType w:val="hybridMultilevel"/>
    <w:tmpl w:val="835AA654"/>
    <w:lvl w:ilvl="0" w:tplc="919CAD10">
      <w:start w:val="1"/>
      <w:numFmt w:val="lowerLetter"/>
      <w:lvlText w:val="%1."/>
      <w:lvlJc w:val="left"/>
      <w:pPr>
        <w:tabs>
          <w:tab w:val="num" w:pos="862"/>
        </w:tabs>
        <w:ind w:left="862" w:hanging="360"/>
      </w:pPr>
    </w:lvl>
    <w:lvl w:ilvl="1" w:tplc="FFFFFFFF">
      <w:start w:val="1"/>
      <w:numFmt w:val="decimal"/>
      <w:lvlText w:val="%2."/>
      <w:lvlJc w:val="left"/>
      <w:pPr>
        <w:tabs>
          <w:tab w:val="num" w:pos="862"/>
        </w:tabs>
        <w:ind w:left="862"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73A2F4D"/>
    <w:multiLevelType w:val="hybridMultilevel"/>
    <w:tmpl w:val="01C64826"/>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nsid w:val="7DA31AB2"/>
    <w:multiLevelType w:val="hybridMultilevel"/>
    <w:tmpl w:val="C5D4E028"/>
    <w:lvl w:ilvl="0" w:tplc="008E7FDE">
      <w:start w:val="1"/>
      <w:numFmt w:val="lowerLetter"/>
      <w:pStyle w:val="ABCList"/>
      <w:lvlText w:val="%1."/>
      <w:lvlJc w:val="left"/>
      <w:pPr>
        <w:ind w:left="19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7">
    <w:nsid w:val="7E0315D3"/>
    <w:multiLevelType w:val="hybridMultilevel"/>
    <w:tmpl w:val="835AA654"/>
    <w:lvl w:ilvl="0" w:tplc="919CAD10">
      <w:start w:val="1"/>
      <w:numFmt w:val="lowerLetter"/>
      <w:lvlText w:val="%1."/>
      <w:lvlJc w:val="left"/>
      <w:pPr>
        <w:tabs>
          <w:tab w:val="num" w:pos="862"/>
        </w:tabs>
        <w:ind w:left="862" w:hanging="360"/>
      </w:pPr>
    </w:lvl>
    <w:lvl w:ilvl="1" w:tplc="FFFFFFFF">
      <w:start w:val="1"/>
      <w:numFmt w:val="decimal"/>
      <w:lvlText w:val="%2."/>
      <w:lvlJc w:val="left"/>
      <w:pPr>
        <w:tabs>
          <w:tab w:val="num" w:pos="862"/>
        </w:tabs>
        <w:ind w:left="862"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7EE452D3"/>
    <w:multiLevelType w:val="hybridMultilevel"/>
    <w:tmpl w:val="DBC0027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B47ECF"/>
    <w:multiLevelType w:val="hybridMultilevel"/>
    <w:tmpl w:val="01C64826"/>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0"/>
  </w:num>
  <w:num w:numId="2">
    <w:abstractNumId w:val="6"/>
  </w:num>
  <w:num w:numId="3">
    <w:abstractNumId w:val="12"/>
  </w:num>
  <w:num w:numId="4">
    <w:abstractNumId w:val="26"/>
  </w:num>
  <w:num w:numId="5">
    <w:abstractNumId w:val="29"/>
  </w:num>
  <w:num w:numId="6">
    <w:abstractNumId w:val="25"/>
  </w:num>
  <w:num w:numId="7">
    <w:abstractNumId w:val="4"/>
  </w:num>
  <w:num w:numId="8">
    <w:abstractNumId w:val="5"/>
  </w:num>
  <w:num w:numId="9">
    <w:abstractNumId w:val="24"/>
  </w:num>
  <w:num w:numId="10">
    <w:abstractNumId w:val="16"/>
  </w:num>
  <w:num w:numId="11">
    <w:abstractNumId w:val="13"/>
  </w:num>
  <w:num w:numId="12">
    <w:abstractNumId w:val="17"/>
  </w:num>
  <w:num w:numId="13">
    <w:abstractNumId w:val="18"/>
  </w:num>
  <w:num w:numId="14">
    <w:abstractNumId w:val="6"/>
  </w:num>
  <w:num w:numId="15">
    <w:abstractNumId w:val="27"/>
  </w:num>
  <w:num w:numId="16">
    <w:abstractNumId w:val="16"/>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6"/>
  </w:num>
  <w:num w:numId="21">
    <w:abstractNumId w:val="6"/>
  </w:num>
  <w:num w:numId="22">
    <w:abstractNumId w:val="15"/>
  </w:num>
  <w:num w:numId="23">
    <w:abstractNumId w:val="1"/>
  </w:num>
  <w:num w:numId="24">
    <w:abstractNumId w:val="10"/>
  </w:num>
  <w:num w:numId="25">
    <w:abstractNumId w:val="2"/>
  </w:num>
  <w:num w:numId="26">
    <w:abstractNumId w:val="11"/>
  </w:num>
  <w:num w:numId="27">
    <w:abstractNumId w:val="3"/>
  </w:num>
  <w:num w:numId="28">
    <w:abstractNumId w:val="16"/>
    <w:lvlOverride w:ilvl="0">
      <w:startOverride w:val="1"/>
    </w:lvlOverride>
  </w:num>
  <w:num w:numId="29">
    <w:abstractNumId w:val="9"/>
  </w:num>
  <w:num w:numId="30">
    <w:abstractNumId w:val="8"/>
  </w:num>
  <w:num w:numId="31">
    <w:abstractNumId w:val="16"/>
    <w:lvlOverride w:ilvl="0">
      <w:startOverride w:val="1"/>
    </w:lvlOverride>
  </w:num>
  <w:num w:numId="32">
    <w:abstractNumId w:val="16"/>
    <w:lvlOverride w:ilvl="0">
      <w:startOverride w:val="1"/>
    </w:lvlOverride>
  </w:num>
  <w:num w:numId="33">
    <w:abstractNumId w:val="6"/>
  </w:num>
  <w:num w:numId="34">
    <w:abstractNumId w:val="16"/>
    <w:lvlOverride w:ilvl="0">
      <w:startOverride w:val="1"/>
    </w:lvlOverride>
  </w:num>
  <w:num w:numId="35">
    <w:abstractNumId w:val="6"/>
  </w:num>
  <w:num w:numId="36">
    <w:abstractNumId w:val="16"/>
    <w:lvlOverride w:ilvl="0">
      <w:startOverride w:val="1"/>
    </w:lvlOverride>
  </w:num>
  <w:num w:numId="37">
    <w:abstractNumId w:val="28"/>
  </w:num>
  <w:num w:numId="38">
    <w:abstractNumId w:val="16"/>
    <w:lvlOverride w:ilvl="0">
      <w:startOverride w:val="1"/>
    </w:lvlOverride>
  </w:num>
  <w:num w:numId="39">
    <w:abstractNumId w:val="6"/>
  </w:num>
  <w:num w:numId="40">
    <w:abstractNumId w:val="6"/>
  </w:num>
  <w:num w:numId="41">
    <w:abstractNumId w:val="6"/>
  </w:num>
  <w:num w:numId="42">
    <w:abstractNumId w:val="6"/>
  </w:num>
  <w:num w:numId="43">
    <w:abstractNumId w:val="23"/>
  </w:num>
  <w:num w:numId="44">
    <w:abstractNumId w:val="16"/>
    <w:lvlOverride w:ilvl="0">
      <w:startOverride w:val="1"/>
    </w:lvlOverride>
  </w:num>
  <w:num w:numId="45">
    <w:abstractNumId w:val="16"/>
    <w:lvlOverride w:ilvl="0">
      <w:startOverride w:val="1"/>
    </w:lvlOverride>
  </w:num>
  <w:num w:numId="46">
    <w:abstractNumId w:val="16"/>
  </w:num>
  <w:num w:numId="47">
    <w:abstractNumId w:val="16"/>
    <w:lvlOverride w:ilvl="0">
      <w:startOverride w:val="1"/>
    </w:lvlOverride>
  </w:num>
  <w:num w:numId="48">
    <w:abstractNumId w:val="14"/>
  </w:num>
  <w:num w:numId="49">
    <w:abstractNumId w:val="9"/>
    <w:lvlOverride w:ilvl="0">
      <w:startOverride w:val="1"/>
    </w:lvlOverride>
  </w:num>
  <w:num w:numId="50">
    <w:abstractNumId w:val="9"/>
  </w:num>
  <w:num w:numId="51">
    <w:abstractNumId w:val="9"/>
    <w:lvlOverride w:ilvl="0">
      <w:startOverride w:val="1"/>
    </w:lvlOverride>
  </w:num>
  <w:num w:numId="52">
    <w:abstractNumId w:val="7"/>
  </w:num>
  <w:num w:numId="53">
    <w:abstractNumId w:val="19"/>
  </w:num>
  <w:num w:numId="54">
    <w:abstractNumId w:val="21"/>
  </w:num>
  <w:num w:numId="55">
    <w:abstractNumId w:val="16"/>
    <w:lvlOverride w:ilvl="0">
      <w:startOverride w:val="1"/>
    </w:lvlOverride>
  </w:num>
  <w:num w:numId="56">
    <w:abstractNumId w:val="6"/>
  </w:num>
  <w:num w:numId="57">
    <w:abstractNumId w:val="16"/>
    <w:lvlOverride w:ilvl="0">
      <w:startOverride w:val="1"/>
    </w:lvlOverride>
  </w:num>
  <w:num w:numId="58">
    <w:abstractNumId w:val="6"/>
  </w:num>
  <w:num w:numId="59">
    <w:abstractNumId w:val="22"/>
  </w:num>
  <w:num w:numId="60">
    <w:abstractNumId w:val="16"/>
  </w:num>
  <w:num w:numId="61">
    <w:abstractNumId w:val="16"/>
    <w:lvlOverride w:ilvl="0">
      <w:startOverride w:val="1"/>
    </w:lvlOverride>
  </w:num>
  <w:num w:numId="62">
    <w:abstractNumId w:val="16"/>
  </w:num>
  <w:num w:numId="63">
    <w:abstractNumId w:val="6"/>
  </w:num>
  <w:num w:numId="64">
    <w:abstractNumId w:val="16"/>
  </w:num>
  <w:num w:numId="65">
    <w:abstractNumId w:val="16"/>
    <w:lvlOverride w:ilvl="0">
      <w:startOverride w:val="1"/>
    </w:lvlOverride>
  </w:num>
  <w:num w:numId="66">
    <w:abstractNumId w:val="6"/>
  </w:num>
  <w:num w:numId="67">
    <w:abstractNumId w:val="16"/>
  </w:num>
  <w:num w:numId="68">
    <w:abstractNumId w:val="16"/>
  </w:num>
  <w:num w:numId="69">
    <w:abstractNumId w:val="6"/>
  </w:num>
  <w:num w:numId="70">
    <w:abstractNumId w:val="6"/>
  </w:num>
  <w:num w:numId="71">
    <w:abstractNumId w:val="20"/>
  </w:num>
  <w:num w:numId="72">
    <w:abstractNumId w:val="6"/>
  </w:num>
  <w:num w:numId="73">
    <w:abstractNumId w:val="16"/>
  </w:num>
  <w:num w:numId="74">
    <w:abstractNumId w:val="16"/>
    <w:lvlOverride w:ilvl="0">
      <w:startOverride w:val="1"/>
    </w:lvlOverride>
  </w:num>
  <w:num w:numId="75">
    <w:abstractNumId w:val="6"/>
  </w:num>
  <w:num w:numId="76">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asudo\aquis reef casino - soi (final (MER2014-06960).docx"/>
  </w:docVars>
  <w:rsids>
    <w:rsidRoot w:val="003E7C7B"/>
    <w:rsid w:val="0000033E"/>
    <w:rsid w:val="0000049A"/>
    <w:rsid w:val="000005B2"/>
    <w:rsid w:val="000006A8"/>
    <w:rsid w:val="000020B6"/>
    <w:rsid w:val="00005568"/>
    <w:rsid w:val="000066B1"/>
    <w:rsid w:val="00006AEA"/>
    <w:rsid w:val="0000727F"/>
    <w:rsid w:val="00011364"/>
    <w:rsid w:val="00011B4F"/>
    <w:rsid w:val="00011F87"/>
    <w:rsid w:val="000132DC"/>
    <w:rsid w:val="00014641"/>
    <w:rsid w:val="000148E6"/>
    <w:rsid w:val="000157FC"/>
    <w:rsid w:val="00015B21"/>
    <w:rsid w:val="0001620E"/>
    <w:rsid w:val="00016333"/>
    <w:rsid w:val="00016857"/>
    <w:rsid w:val="00017C5F"/>
    <w:rsid w:val="00017D9C"/>
    <w:rsid w:val="00020701"/>
    <w:rsid w:val="00023A98"/>
    <w:rsid w:val="00024E7D"/>
    <w:rsid w:val="00025DC4"/>
    <w:rsid w:val="000261B6"/>
    <w:rsid w:val="00027C90"/>
    <w:rsid w:val="00034934"/>
    <w:rsid w:val="00036BFB"/>
    <w:rsid w:val="00042203"/>
    <w:rsid w:val="00043F72"/>
    <w:rsid w:val="00044015"/>
    <w:rsid w:val="00044157"/>
    <w:rsid w:val="00045162"/>
    <w:rsid w:val="00047416"/>
    <w:rsid w:val="00047A03"/>
    <w:rsid w:val="00050DF4"/>
    <w:rsid w:val="00050F4A"/>
    <w:rsid w:val="0005273F"/>
    <w:rsid w:val="000532E7"/>
    <w:rsid w:val="000603AB"/>
    <w:rsid w:val="00060857"/>
    <w:rsid w:val="000613D1"/>
    <w:rsid w:val="0006216E"/>
    <w:rsid w:val="000625EF"/>
    <w:rsid w:val="0006271D"/>
    <w:rsid w:val="00062D60"/>
    <w:rsid w:val="00063737"/>
    <w:rsid w:val="0006376B"/>
    <w:rsid w:val="00064498"/>
    <w:rsid w:val="00064A30"/>
    <w:rsid w:val="00065420"/>
    <w:rsid w:val="00066818"/>
    <w:rsid w:val="00072F40"/>
    <w:rsid w:val="00074B52"/>
    <w:rsid w:val="00075D57"/>
    <w:rsid w:val="00076B37"/>
    <w:rsid w:val="0007710E"/>
    <w:rsid w:val="00077D0F"/>
    <w:rsid w:val="00080774"/>
    <w:rsid w:val="000810FC"/>
    <w:rsid w:val="00082657"/>
    <w:rsid w:val="00084178"/>
    <w:rsid w:val="00084579"/>
    <w:rsid w:val="00086A7A"/>
    <w:rsid w:val="00086DFC"/>
    <w:rsid w:val="000910B7"/>
    <w:rsid w:val="0009319D"/>
    <w:rsid w:val="000953D4"/>
    <w:rsid w:val="00095419"/>
    <w:rsid w:val="00095992"/>
    <w:rsid w:val="00097832"/>
    <w:rsid w:val="00097848"/>
    <w:rsid w:val="00097ACD"/>
    <w:rsid w:val="000A0965"/>
    <w:rsid w:val="000A1CE2"/>
    <w:rsid w:val="000A2080"/>
    <w:rsid w:val="000A2794"/>
    <w:rsid w:val="000A44DC"/>
    <w:rsid w:val="000A46DF"/>
    <w:rsid w:val="000A4B7C"/>
    <w:rsid w:val="000A56BE"/>
    <w:rsid w:val="000A5C2B"/>
    <w:rsid w:val="000A5D5C"/>
    <w:rsid w:val="000A641B"/>
    <w:rsid w:val="000A6ECE"/>
    <w:rsid w:val="000A7F00"/>
    <w:rsid w:val="000B0E5D"/>
    <w:rsid w:val="000B1447"/>
    <w:rsid w:val="000B26D7"/>
    <w:rsid w:val="000B2817"/>
    <w:rsid w:val="000B397F"/>
    <w:rsid w:val="000B3AD6"/>
    <w:rsid w:val="000B4A7A"/>
    <w:rsid w:val="000B5086"/>
    <w:rsid w:val="000B5A2E"/>
    <w:rsid w:val="000B6915"/>
    <w:rsid w:val="000C3202"/>
    <w:rsid w:val="000C33A3"/>
    <w:rsid w:val="000C40B7"/>
    <w:rsid w:val="000C4370"/>
    <w:rsid w:val="000C4E57"/>
    <w:rsid w:val="000C541D"/>
    <w:rsid w:val="000C5560"/>
    <w:rsid w:val="000C5A13"/>
    <w:rsid w:val="000C650C"/>
    <w:rsid w:val="000C6B74"/>
    <w:rsid w:val="000D0368"/>
    <w:rsid w:val="000D0458"/>
    <w:rsid w:val="000D1F2A"/>
    <w:rsid w:val="000D418E"/>
    <w:rsid w:val="000D4535"/>
    <w:rsid w:val="000D5EF9"/>
    <w:rsid w:val="000D6855"/>
    <w:rsid w:val="000D6863"/>
    <w:rsid w:val="000D6AFC"/>
    <w:rsid w:val="000D7F27"/>
    <w:rsid w:val="000E166C"/>
    <w:rsid w:val="000E173B"/>
    <w:rsid w:val="000E22AB"/>
    <w:rsid w:val="000E22C2"/>
    <w:rsid w:val="000E296B"/>
    <w:rsid w:val="000E2D7D"/>
    <w:rsid w:val="000E3B42"/>
    <w:rsid w:val="000E420E"/>
    <w:rsid w:val="000E5D17"/>
    <w:rsid w:val="000E7142"/>
    <w:rsid w:val="000E7666"/>
    <w:rsid w:val="000E78F9"/>
    <w:rsid w:val="000F132D"/>
    <w:rsid w:val="000F1353"/>
    <w:rsid w:val="000F773C"/>
    <w:rsid w:val="00100070"/>
    <w:rsid w:val="0010320D"/>
    <w:rsid w:val="00103DB7"/>
    <w:rsid w:val="0010409C"/>
    <w:rsid w:val="001040C3"/>
    <w:rsid w:val="00104842"/>
    <w:rsid w:val="00105CDF"/>
    <w:rsid w:val="00106B98"/>
    <w:rsid w:val="00107684"/>
    <w:rsid w:val="0011002B"/>
    <w:rsid w:val="00110495"/>
    <w:rsid w:val="00110952"/>
    <w:rsid w:val="00110F4C"/>
    <w:rsid w:val="0011117F"/>
    <w:rsid w:val="00111303"/>
    <w:rsid w:val="001118B1"/>
    <w:rsid w:val="00116F35"/>
    <w:rsid w:val="00120032"/>
    <w:rsid w:val="00121968"/>
    <w:rsid w:val="001223F3"/>
    <w:rsid w:val="00122DA1"/>
    <w:rsid w:val="00123503"/>
    <w:rsid w:val="00123578"/>
    <w:rsid w:val="00124393"/>
    <w:rsid w:val="0012512C"/>
    <w:rsid w:val="00126688"/>
    <w:rsid w:val="00127B0F"/>
    <w:rsid w:val="0013072A"/>
    <w:rsid w:val="00131832"/>
    <w:rsid w:val="0013314D"/>
    <w:rsid w:val="0013341E"/>
    <w:rsid w:val="00133CBE"/>
    <w:rsid w:val="00135A93"/>
    <w:rsid w:val="00136825"/>
    <w:rsid w:val="00136BEB"/>
    <w:rsid w:val="0013734F"/>
    <w:rsid w:val="001373B3"/>
    <w:rsid w:val="001375ED"/>
    <w:rsid w:val="00140224"/>
    <w:rsid w:val="00141E83"/>
    <w:rsid w:val="0014244D"/>
    <w:rsid w:val="00142584"/>
    <w:rsid w:val="00143EC3"/>
    <w:rsid w:val="0014471E"/>
    <w:rsid w:val="00146D9D"/>
    <w:rsid w:val="00146E58"/>
    <w:rsid w:val="00147E75"/>
    <w:rsid w:val="00150FD1"/>
    <w:rsid w:val="001514ED"/>
    <w:rsid w:val="00151E24"/>
    <w:rsid w:val="00152077"/>
    <w:rsid w:val="00152272"/>
    <w:rsid w:val="00154454"/>
    <w:rsid w:val="00154A79"/>
    <w:rsid w:val="0015548B"/>
    <w:rsid w:val="00156442"/>
    <w:rsid w:val="001566D1"/>
    <w:rsid w:val="00156826"/>
    <w:rsid w:val="00156CFF"/>
    <w:rsid w:val="00157078"/>
    <w:rsid w:val="00160231"/>
    <w:rsid w:val="001605FE"/>
    <w:rsid w:val="00160761"/>
    <w:rsid w:val="00162628"/>
    <w:rsid w:val="00162CBC"/>
    <w:rsid w:val="00163714"/>
    <w:rsid w:val="001650E8"/>
    <w:rsid w:val="001651AF"/>
    <w:rsid w:val="0017017D"/>
    <w:rsid w:val="00170C66"/>
    <w:rsid w:val="00171FDA"/>
    <w:rsid w:val="001724E7"/>
    <w:rsid w:val="001733F6"/>
    <w:rsid w:val="00175641"/>
    <w:rsid w:val="001759C2"/>
    <w:rsid w:val="00175D25"/>
    <w:rsid w:val="00177E44"/>
    <w:rsid w:val="0018068C"/>
    <w:rsid w:val="00180983"/>
    <w:rsid w:val="001821C9"/>
    <w:rsid w:val="00182703"/>
    <w:rsid w:val="00183DFE"/>
    <w:rsid w:val="00186B09"/>
    <w:rsid w:val="0019013F"/>
    <w:rsid w:val="00191786"/>
    <w:rsid w:val="00191921"/>
    <w:rsid w:val="001922FC"/>
    <w:rsid w:val="001935A2"/>
    <w:rsid w:val="001937BC"/>
    <w:rsid w:val="00194CF4"/>
    <w:rsid w:val="00194D5D"/>
    <w:rsid w:val="00195736"/>
    <w:rsid w:val="00195C7B"/>
    <w:rsid w:val="00195CE5"/>
    <w:rsid w:val="00196633"/>
    <w:rsid w:val="001973D6"/>
    <w:rsid w:val="001977BC"/>
    <w:rsid w:val="001A1F3C"/>
    <w:rsid w:val="001A2AB5"/>
    <w:rsid w:val="001A3F88"/>
    <w:rsid w:val="001A4145"/>
    <w:rsid w:val="001A7318"/>
    <w:rsid w:val="001B02E0"/>
    <w:rsid w:val="001B0678"/>
    <w:rsid w:val="001B1086"/>
    <w:rsid w:val="001B27E1"/>
    <w:rsid w:val="001B4BC2"/>
    <w:rsid w:val="001B5BEE"/>
    <w:rsid w:val="001C074D"/>
    <w:rsid w:val="001C122D"/>
    <w:rsid w:val="001C1744"/>
    <w:rsid w:val="001C3474"/>
    <w:rsid w:val="001C3DFF"/>
    <w:rsid w:val="001C4750"/>
    <w:rsid w:val="001C4B96"/>
    <w:rsid w:val="001C6CFE"/>
    <w:rsid w:val="001C6FC8"/>
    <w:rsid w:val="001C7067"/>
    <w:rsid w:val="001D0B45"/>
    <w:rsid w:val="001D0BA7"/>
    <w:rsid w:val="001D0CD6"/>
    <w:rsid w:val="001D0E6B"/>
    <w:rsid w:val="001D2595"/>
    <w:rsid w:val="001D294C"/>
    <w:rsid w:val="001D4032"/>
    <w:rsid w:val="001D59F3"/>
    <w:rsid w:val="001D5B74"/>
    <w:rsid w:val="001D6518"/>
    <w:rsid w:val="001D69C8"/>
    <w:rsid w:val="001D6E05"/>
    <w:rsid w:val="001D7279"/>
    <w:rsid w:val="001D7A25"/>
    <w:rsid w:val="001E0489"/>
    <w:rsid w:val="001E074A"/>
    <w:rsid w:val="001E38AA"/>
    <w:rsid w:val="001E42AE"/>
    <w:rsid w:val="001E4374"/>
    <w:rsid w:val="001E54B7"/>
    <w:rsid w:val="001E690B"/>
    <w:rsid w:val="001F01A2"/>
    <w:rsid w:val="001F25E0"/>
    <w:rsid w:val="001F3F1A"/>
    <w:rsid w:val="001F4AB6"/>
    <w:rsid w:val="001F4F66"/>
    <w:rsid w:val="001F5261"/>
    <w:rsid w:val="001F53EB"/>
    <w:rsid w:val="001F6BED"/>
    <w:rsid w:val="001F73F4"/>
    <w:rsid w:val="001F7D64"/>
    <w:rsid w:val="00202204"/>
    <w:rsid w:val="00202730"/>
    <w:rsid w:val="00202F0F"/>
    <w:rsid w:val="00204DE3"/>
    <w:rsid w:val="0020513E"/>
    <w:rsid w:val="002056DB"/>
    <w:rsid w:val="00206961"/>
    <w:rsid w:val="00210EDC"/>
    <w:rsid w:val="00210F79"/>
    <w:rsid w:val="00211BE9"/>
    <w:rsid w:val="002125F0"/>
    <w:rsid w:val="002139C3"/>
    <w:rsid w:val="00215724"/>
    <w:rsid w:val="00215B39"/>
    <w:rsid w:val="00217129"/>
    <w:rsid w:val="00221E71"/>
    <w:rsid w:val="00222303"/>
    <w:rsid w:val="002229DB"/>
    <w:rsid w:val="00222FC8"/>
    <w:rsid w:val="002244CC"/>
    <w:rsid w:val="00224A79"/>
    <w:rsid w:val="002274BC"/>
    <w:rsid w:val="00230CCC"/>
    <w:rsid w:val="002314C6"/>
    <w:rsid w:val="0023175E"/>
    <w:rsid w:val="002342D0"/>
    <w:rsid w:val="00234582"/>
    <w:rsid w:val="00236B2F"/>
    <w:rsid w:val="00236D45"/>
    <w:rsid w:val="002376E5"/>
    <w:rsid w:val="00237FE1"/>
    <w:rsid w:val="002403E6"/>
    <w:rsid w:val="0024183C"/>
    <w:rsid w:val="002433AD"/>
    <w:rsid w:val="00243F82"/>
    <w:rsid w:val="00243FF7"/>
    <w:rsid w:val="002443E8"/>
    <w:rsid w:val="002444EA"/>
    <w:rsid w:val="00244C1A"/>
    <w:rsid w:val="00247F12"/>
    <w:rsid w:val="00250190"/>
    <w:rsid w:val="00250F7E"/>
    <w:rsid w:val="00251EE1"/>
    <w:rsid w:val="0025266E"/>
    <w:rsid w:val="00253D67"/>
    <w:rsid w:val="00254056"/>
    <w:rsid w:val="0025423B"/>
    <w:rsid w:val="00254CC0"/>
    <w:rsid w:val="002567B4"/>
    <w:rsid w:val="002579C9"/>
    <w:rsid w:val="00257AE5"/>
    <w:rsid w:val="00260C8F"/>
    <w:rsid w:val="00261338"/>
    <w:rsid w:val="00261610"/>
    <w:rsid w:val="00261D5E"/>
    <w:rsid w:val="00262274"/>
    <w:rsid w:val="002639E5"/>
    <w:rsid w:val="00263BFC"/>
    <w:rsid w:val="002644E1"/>
    <w:rsid w:val="002648BC"/>
    <w:rsid w:val="0026764B"/>
    <w:rsid w:val="00267B33"/>
    <w:rsid w:val="00270946"/>
    <w:rsid w:val="00270BF4"/>
    <w:rsid w:val="00270C2B"/>
    <w:rsid w:val="0027126F"/>
    <w:rsid w:val="00271A23"/>
    <w:rsid w:val="002729BB"/>
    <w:rsid w:val="00272F2E"/>
    <w:rsid w:val="00276157"/>
    <w:rsid w:val="00276A84"/>
    <w:rsid w:val="00276BBA"/>
    <w:rsid w:val="002771B9"/>
    <w:rsid w:val="00280860"/>
    <w:rsid w:val="002837BE"/>
    <w:rsid w:val="002839AE"/>
    <w:rsid w:val="00283A5F"/>
    <w:rsid w:val="00290F62"/>
    <w:rsid w:val="00291AB2"/>
    <w:rsid w:val="00294017"/>
    <w:rsid w:val="002940B1"/>
    <w:rsid w:val="00294328"/>
    <w:rsid w:val="00295611"/>
    <w:rsid w:val="00296EAF"/>
    <w:rsid w:val="00297DB3"/>
    <w:rsid w:val="002A042A"/>
    <w:rsid w:val="002A2353"/>
    <w:rsid w:val="002A4A93"/>
    <w:rsid w:val="002A669D"/>
    <w:rsid w:val="002A67E3"/>
    <w:rsid w:val="002A70CB"/>
    <w:rsid w:val="002A7176"/>
    <w:rsid w:val="002B1DD8"/>
    <w:rsid w:val="002B5525"/>
    <w:rsid w:val="002B558A"/>
    <w:rsid w:val="002B61E7"/>
    <w:rsid w:val="002B6F10"/>
    <w:rsid w:val="002C0A8A"/>
    <w:rsid w:val="002C177E"/>
    <w:rsid w:val="002C17B9"/>
    <w:rsid w:val="002C1D22"/>
    <w:rsid w:val="002C2124"/>
    <w:rsid w:val="002C2927"/>
    <w:rsid w:val="002C2C2F"/>
    <w:rsid w:val="002C2C60"/>
    <w:rsid w:val="002C5B70"/>
    <w:rsid w:val="002C7254"/>
    <w:rsid w:val="002C7A61"/>
    <w:rsid w:val="002D0725"/>
    <w:rsid w:val="002D27E6"/>
    <w:rsid w:val="002D3C6A"/>
    <w:rsid w:val="002D56EB"/>
    <w:rsid w:val="002D5D1A"/>
    <w:rsid w:val="002E049D"/>
    <w:rsid w:val="002E0B7E"/>
    <w:rsid w:val="002E1441"/>
    <w:rsid w:val="002E2536"/>
    <w:rsid w:val="002E4D80"/>
    <w:rsid w:val="002E53D9"/>
    <w:rsid w:val="002E6B32"/>
    <w:rsid w:val="002E6C3B"/>
    <w:rsid w:val="002E7ED2"/>
    <w:rsid w:val="002F030D"/>
    <w:rsid w:val="002F1944"/>
    <w:rsid w:val="002F2543"/>
    <w:rsid w:val="002F2990"/>
    <w:rsid w:val="002F3639"/>
    <w:rsid w:val="002F384D"/>
    <w:rsid w:val="002F38DF"/>
    <w:rsid w:val="002F542F"/>
    <w:rsid w:val="002F5D11"/>
    <w:rsid w:val="002F5D98"/>
    <w:rsid w:val="002F763F"/>
    <w:rsid w:val="00300840"/>
    <w:rsid w:val="00302DFD"/>
    <w:rsid w:val="0030324D"/>
    <w:rsid w:val="0030380D"/>
    <w:rsid w:val="00303D6E"/>
    <w:rsid w:val="00303D87"/>
    <w:rsid w:val="00304C51"/>
    <w:rsid w:val="00305758"/>
    <w:rsid w:val="00306356"/>
    <w:rsid w:val="00306FE6"/>
    <w:rsid w:val="00307596"/>
    <w:rsid w:val="0030770C"/>
    <w:rsid w:val="0031127F"/>
    <w:rsid w:val="003115F4"/>
    <w:rsid w:val="00312C8A"/>
    <w:rsid w:val="00315BA0"/>
    <w:rsid w:val="00316C07"/>
    <w:rsid w:val="00316F55"/>
    <w:rsid w:val="00317AEE"/>
    <w:rsid w:val="003207AF"/>
    <w:rsid w:val="00323671"/>
    <w:rsid w:val="00323D64"/>
    <w:rsid w:val="00325ACC"/>
    <w:rsid w:val="00325BD4"/>
    <w:rsid w:val="00326B91"/>
    <w:rsid w:val="003279EC"/>
    <w:rsid w:val="00331918"/>
    <w:rsid w:val="00332B33"/>
    <w:rsid w:val="00333189"/>
    <w:rsid w:val="00333DAC"/>
    <w:rsid w:val="0033594C"/>
    <w:rsid w:val="00336BF7"/>
    <w:rsid w:val="003377F0"/>
    <w:rsid w:val="00341003"/>
    <w:rsid w:val="003410A3"/>
    <w:rsid w:val="00341F99"/>
    <w:rsid w:val="00346ED7"/>
    <w:rsid w:val="00350867"/>
    <w:rsid w:val="00350E2E"/>
    <w:rsid w:val="0035215C"/>
    <w:rsid w:val="00353EF8"/>
    <w:rsid w:val="00357FCF"/>
    <w:rsid w:val="003604CD"/>
    <w:rsid w:val="00360C3E"/>
    <w:rsid w:val="00361350"/>
    <w:rsid w:val="00361CC6"/>
    <w:rsid w:val="00363B70"/>
    <w:rsid w:val="0036702D"/>
    <w:rsid w:val="00367DF7"/>
    <w:rsid w:val="0037077F"/>
    <w:rsid w:val="0037289B"/>
    <w:rsid w:val="00372B39"/>
    <w:rsid w:val="0037327B"/>
    <w:rsid w:val="00373E58"/>
    <w:rsid w:val="00374004"/>
    <w:rsid w:val="0037481E"/>
    <w:rsid w:val="00375F30"/>
    <w:rsid w:val="00376A63"/>
    <w:rsid w:val="00380308"/>
    <w:rsid w:val="00380FC3"/>
    <w:rsid w:val="00381F5D"/>
    <w:rsid w:val="00383513"/>
    <w:rsid w:val="00383951"/>
    <w:rsid w:val="0038555D"/>
    <w:rsid w:val="00386B72"/>
    <w:rsid w:val="003875C4"/>
    <w:rsid w:val="00391F20"/>
    <w:rsid w:val="00392982"/>
    <w:rsid w:val="00393378"/>
    <w:rsid w:val="003934BE"/>
    <w:rsid w:val="00393DD8"/>
    <w:rsid w:val="00397BD4"/>
    <w:rsid w:val="003A02F1"/>
    <w:rsid w:val="003A1AFD"/>
    <w:rsid w:val="003A1DBA"/>
    <w:rsid w:val="003A287C"/>
    <w:rsid w:val="003A359C"/>
    <w:rsid w:val="003A658A"/>
    <w:rsid w:val="003A6D01"/>
    <w:rsid w:val="003A74B5"/>
    <w:rsid w:val="003A7B01"/>
    <w:rsid w:val="003B050C"/>
    <w:rsid w:val="003B1324"/>
    <w:rsid w:val="003B1A98"/>
    <w:rsid w:val="003B1FD8"/>
    <w:rsid w:val="003B23E8"/>
    <w:rsid w:val="003B299D"/>
    <w:rsid w:val="003B306F"/>
    <w:rsid w:val="003B3683"/>
    <w:rsid w:val="003B38A6"/>
    <w:rsid w:val="003B5517"/>
    <w:rsid w:val="003B55D0"/>
    <w:rsid w:val="003B595A"/>
    <w:rsid w:val="003B5F51"/>
    <w:rsid w:val="003B7D87"/>
    <w:rsid w:val="003C0AC0"/>
    <w:rsid w:val="003C129B"/>
    <w:rsid w:val="003C1408"/>
    <w:rsid w:val="003C1585"/>
    <w:rsid w:val="003C1DF3"/>
    <w:rsid w:val="003C365C"/>
    <w:rsid w:val="003C3A17"/>
    <w:rsid w:val="003C6A9B"/>
    <w:rsid w:val="003C6DBF"/>
    <w:rsid w:val="003C711B"/>
    <w:rsid w:val="003D1176"/>
    <w:rsid w:val="003D13F7"/>
    <w:rsid w:val="003D1684"/>
    <w:rsid w:val="003D1FBE"/>
    <w:rsid w:val="003D5E9A"/>
    <w:rsid w:val="003D6813"/>
    <w:rsid w:val="003E0479"/>
    <w:rsid w:val="003E07DC"/>
    <w:rsid w:val="003E0C47"/>
    <w:rsid w:val="003E0E35"/>
    <w:rsid w:val="003E1290"/>
    <w:rsid w:val="003E1294"/>
    <w:rsid w:val="003E2345"/>
    <w:rsid w:val="003E2CBE"/>
    <w:rsid w:val="003E307E"/>
    <w:rsid w:val="003E4FA2"/>
    <w:rsid w:val="003E5B1D"/>
    <w:rsid w:val="003E7A67"/>
    <w:rsid w:val="003E7C7B"/>
    <w:rsid w:val="003F1722"/>
    <w:rsid w:val="003F218A"/>
    <w:rsid w:val="003F2893"/>
    <w:rsid w:val="003F57C4"/>
    <w:rsid w:val="003F64DD"/>
    <w:rsid w:val="00400B58"/>
    <w:rsid w:val="00401AF0"/>
    <w:rsid w:val="0040318F"/>
    <w:rsid w:val="0040437E"/>
    <w:rsid w:val="0040775D"/>
    <w:rsid w:val="004111BE"/>
    <w:rsid w:val="0041436F"/>
    <w:rsid w:val="00414CF3"/>
    <w:rsid w:val="004156D9"/>
    <w:rsid w:val="00415E9A"/>
    <w:rsid w:val="0041606C"/>
    <w:rsid w:val="004165C6"/>
    <w:rsid w:val="00420A94"/>
    <w:rsid w:val="00420C19"/>
    <w:rsid w:val="00420C43"/>
    <w:rsid w:val="0042146A"/>
    <w:rsid w:val="004222AA"/>
    <w:rsid w:val="00422657"/>
    <w:rsid w:val="00424BB7"/>
    <w:rsid w:val="00424F68"/>
    <w:rsid w:val="004250B3"/>
    <w:rsid w:val="00427B8F"/>
    <w:rsid w:val="0043050F"/>
    <w:rsid w:val="004370BF"/>
    <w:rsid w:val="004374CF"/>
    <w:rsid w:val="00443323"/>
    <w:rsid w:val="004435D4"/>
    <w:rsid w:val="00443EDB"/>
    <w:rsid w:val="00444E43"/>
    <w:rsid w:val="00445819"/>
    <w:rsid w:val="00447EB0"/>
    <w:rsid w:val="00450243"/>
    <w:rsid w:val="00450B35"/>
    <w:rsid w:val="0045298C"/>
    <w:rsid w:val="00453030"/>
    <w:rsid w:val="00453104"/>
    <w:rsid w:val="004531DB"/>
    <w:rsid w:val="004537FD"/>
    <w:rsid w:val="00453965"/>
    <w:rsid w:val="00453DA1"/>
    <w:rsid w:val="00453E26"/>
    <w:rsid w:val="0045466B"/>
    <w:rsid w:val="0045533B"/>
    <w:rsid w:val="004553D6"/>
    <w:rsid w:val="004555EA"/>
    <w:rsid w:val="004571DC"/>
    <w:rsid w:val="004608C0"/>
    <w:rsid w:val="0046183C"/>
    <w:rsid w:val="004618DD"/>
    <w:rsid w:val="00461E4D"/>
    <w:rsid w:val="00463694"/>
    <w:rsid w:val="00464C6B"/>
    <w:rsid w:val="00464F4D"/>
    <w:rsid w:val="0046534C"/>
    <w:rsid w:val="00467D2E"/>
    <w:rsid w:val="0047331E"/>
    <w:rsid w:val="004734BD"/>
    <w:rsid w:val="00476967"/>
    <w:rsid w:val="00476CDC"/>
    <w:rsid w:val="0047750C"/>
    <w:rsid w:val="00481202"/>
    <w:rsid w:val="00481E00"/>
    <w:rsid w:val="004820DE"/>
    <w:rsid w:val="004825E7"/>
    <w:rsid w:val="004841C5"/>
    <w:rsid w:val="004848AC"/>
    <w:rsid w:val="00484A07"/>
    <w:rsid w:val="004862ED"/>
    <w:rsid w:val="00487DF6"/>
    <w:rsid w:val="00491394"/>
    <w:rsid w:val="00491874"/>
    <w:rsid w:val="00491ED8"/>
    <w:rsid w:val="00491FB0"/>
    <w:rsid w:val="00492EF9"/>
    <w:rsid w:val="004934D5"/>
    <w:rsid w:val="00493E65"/>
    <w:rsid w:val="00494B67"/>
    <w:rsid w:val="00495508"/>
    <w:rsid w:val="0049683F"/>
    <w:rsid w:val="00496B78"/>
    <w:rsid w:val="00496C46"/>
    <w:rsid w:val="00497688"/>
    <w:rsid w:val="004A1C1B"/>
    <w:rsid w:val="004A532B"/>
    <w:rsid w:val="004A577D"/>
    <w:rsid w:val="004A7E44"/>
    <w:rsid w:val="004B082F"/>
    <w:rsid w:val="004B0EDB"/>
    <w:rsid w:val="004B1D02"/>
    <w:rsid w:val="004B22B8"/>
    <w:rsid w:val="004B3BBF"/>
    <w:rsid w:val="004B3EE8"/>
    <w:rsid w:val="004B4748"/>
    <w:rsid w:val="004B4F56"/>
    <w:rsid w:val="004B53A5"/>
    <w:rsid w:val="004B54C0"/>
    <w:rsid w:val="004B57C0"/>
    <w:rsid w:val="004B75C8"/>
    <w:rsid w:val="004C2769"/>
    <w:rsid w:val="004C4481"/>
    <w:rsid w:val="004C4B3A"/>
    <w:rsid w:val="004C5416"/>
    <w:rsid w:val="004C7745"/>
    <w:rsid w:val="004C7AA0"/>
    <w:rsid w:val="004D0E16"/>
    <w:rsid w:val="004D2064"/>
    <w:rsid w:val="004D2F2B"/>
    <w:rsid w:val="004D62A2"/>
    <w:rsid w:val="004D65D7"/>
    <w:rsid w:val="004D6E3F"/>
    <w:rsid w:val="004D6FED"/>
    <w:rsid w:val="004E0A41"/>
    <w:rsid w:val="004E1EE3"/>
    <w:rsid w:val="004E55F9"/>
    <w:rsid w:val="004E6149"/>
    <w:rsid w:val="004E792A"/>
    <w:rsid w:val="004F0401"/>
    <w:rsid w:val="004F042F"/>
    <w:rsid w:val="004F0A0E"/>
    <w:rsid w:val="004F1B55"/>
    <w:rsid w:val="004F2854"/>
    <w:rsid w:val="004F2887"/>
    <w:rsid w:val="004F2F6F"/>
    <w:rsid w:val="004F4601"/>
    <w:rsid w:val="004F50C1"/>
    <w:rsid w:val="004F71CE"/>
    <w:rsid w:val="004F74C7"/>
    <w:rsid w:val="00500455"/>
    <w:rsid w:val="00503FF6"/>
    <w:rsid w:val="00504DCA"/>
    <w:rsid w:val="00505AA3"/>
    <w:rsid w:val="00506370"/>
    <w:rsid w:val="00506ED4"/>
    <w:rsid w:val="00507A4A"/>
    <w:rsid w:val="00507E4F"/>
    <w:rsid w:val="005107AA"/>
    <w:rsid w:val="005109E6"/>
    <w:rsid w:val="00510F65"/>
    <w:rsid w:val="005112FB"/>
    <w:rsid w:val="00512392"/>
    <w:rsid w:val="00512E49"/>
    <w:rsid w:val="0051354C"/>
    <w:rsid w:val="00514950"/>
    <w:rsid w:val="00514AEB"/>
    <w:rsid w:val="00516970"/>
    <w:rsid w:val="00516A1D"/>
    <w:rsid w:val="005170BF"/>
    <w:rsid w:val="00520178"/>
    <w:rsid w:val="00520C6F"/>
    <w:rsid w:val="00521083"/>
    <w:rsid w:val="005224F1"/>
    <w:rsid w:val="005231D9"/>
    <w:rsid w:val="00524685"/>
    <w:rsid w:val="00525C14"/>
    <w:rsid w:val="00526B17"/>
    <w:rsid w:val="00533902"/>
    <w:rsid w:val="00534265"/>
    <w:rsid w:val="00534E99"/>
    <w:rsid w:val="00535C70"/>
    <w:rsid w:val="00536858"/>
    <w:rsid w:val="0054029E"/>
    <w:rsid w:val="0054122A"/>
    <w:rsid w:val="00541376"/>
    <w:rsid w:val="00541415"/>
    <w:rsid w:val="00541D1E"/>
    <w:rsid w:val="0054241A"/>
    <w:rsid w:val="005424DC"/>
    <w:rsid w:val="00547A6F"/>
    <w:rsid w:val="00550C1A"/>
    <w:rsid w:val="0055158C"/>
    <w:rsid w:val="00551D46"/>
    <w:rsid w:val="00552993"/>
    <w:rsid w:val="0055348B"/>
    <w:rsid w:val="0055372B"/>
    <w:rsid w:val="005543D5"/>
    <w:rsid w:val="00555535"/>
    <w:rsid w:val="00555F41"/>
    <w:rsid w:val="005579DF"/>
    <w:rsid w:val="00557ABF"/>
    <w:rsid w:val="005607A0"/>
    <w:rsid w:val="00566451"/>
    <w:rsid w:val="005665A1"/>
    <w:rsid w:val="005666E2"/>
    <w:rsid w:val="00566B14"/>
    <w:rsid w:val="005706DB"/>
    <w:rsid w:val="00570B8B"/>
    <w:rsid w:val="0057110F"/>
    <w:rsid w:val="005721C6"/>
    <w:rsid w:val="0057228F"/>
    <w:rsid w:val="00572338"/>
    <w:rsid w:val="005738B2"/>
    <w:rsid w:val="00573A6E"/>
    <w:rsid w:val="005755C4"/>
    <w:rsid w:val="005762FC"/>
    <w:rsid w:val="005775CB"/>
    <w:rsid w:val="0057785A"/>
    <w:rsid w:val="005779D0"/>
    <w:rsid w:val="00580175"/>
    <w:rsid w:val="0058090B"/>
    <w:rsid w:val="005809D6"/>
    <w:rsid w:val="00580F8E"/>
    <w:rsid w:val="00581061"/>
    <w:rsid w:val="00581332"/>
    <w:rsid w:val="0058202A"/>
    <w:rsid w:val="00585E25"/>
    <w:rsid w:val="00587546"/>
    <w:rsid w:val="00587C02"/>
    <w:rsid w:val="0059030F"/>
    <w:rsid w:val="005904D5"/>
    <w:rsid w:val="00590C3D"/>
    <w:rsid w:val="00592599"/>
    <w:rsid w:val="00592EC6"/>
    <w:rsid w:val="0059545A"/>
    <w:rsid w:val="00596430"/>
    <w:rsid w:val="0059690A"/>
    <w:rsid w:val="005972F7"/>
    <w:rsid w:val="00597961"/>
    <w:rsid w:val="00597BF8"/>
    <w:rsid w:val="00597D05"/>
    <w:rsid w:val="005A0016"/>
    <w:rsid w:val="005A06AF"/>
    <w:rsid w:val="005A20B8"/>
    <w:rsid w:val="005A24A3"/>
    <w:rsid w:val="005A2E71"/>
    <w:rsid w:val="005A3C3E"/>
    <w:rsid w:val="005A4FA9"/>
    <w:rsid w:val="005A5BAC"/>
    <w:rsid w:val="005A5CB1"/>
    <w:rsid w:val="005A7502"/>
    <w:rsid w:val="005B1E66"/>
    <w:rsid w:val="005B3603"/>
    <w:rsid w:val="005B44E8"/>
    <w:rsid w:val="005B5853"/>
    <w:rsid w:val="005B77A0"/>
    <w:rsid w:val="005C0918"/>
    <w:rsid w:val="005C11C3"/>
    <w:rsid w:val="005C13F1"/>
    <w:rsid w:val="005C14CA"/>
    <w:rsid w:val="005C2310"/>
    <w:rsid w:val="005C2355"/>
    <w:rsid w:val="005C4765"/>
    <w:rsid w:val="005C5474"/>
    <w:rsid w:val="005C603E"/>
    <w:rsid w:val="005C69E3"/>
    <w:rsid w:val="005C6B61"/>
    <w:rsid w:val="005C76A1"/>
    <w:rsid w:val="005C7F7A"/>
    <w:rsid w:val="005D03FF"/>
    <w:rsid w:val="005D0E42"/>
    <w:rsid w:val="005D10B1"/>
    <w:rsid w:val="005D1E8E"/>
    <w:rsid w:val="005D378D"/>
    <w:rsid w:val="005D3E26"/>
    <w:rsid w:val="005D54A5"/>
    <w:rsid w:val="005D6342"/>
    <w:rsid w:val="005D69CE"/>
    <w:rsid w:val="005E0842"/>
    <w:rsid w:val="005E0D6B"/>
    <w:rsid w:val="005E18C7"/>
    <w:rsid w:val="005E1994"/>
    <w:rsid w:val="005E2514"/>
    <w:rsid w:val="005E31D0"/>
    <w:rsid w:val="005E37C7"/>
    <w:rsid w:val="005E4A31"/>
    <w:rsid w:val="005E4C6E"/>
    <w:rsid w:val="005E58C3"/>
    <w:rsid w:val="005F0491"/>
    <w:rsid w:val="005F11AF"/>
    <w:rsid w:val="005F1F0B"/>
    <w:rsid w:val="005F3428"/>
    <w:rsid w:val="005F3757"/>
    <w:rsid w:val="005F4689"/>
    <w:rsid w:val="005F511B"/>
    <w:rsid w:val="005F5D02"/>
    <w:rsid w:val="005F6F8E"/>
    <w:rsid w:val="005F76BB"/>
    <w:rsid w:val="0060000A"/>
    <w:rsid w:val="0060255F"/>
    <w:rsid w:val="0060354D"/>
    <w:rsid w:val="00603830"/>
    <w:rsid w:val="0060509F"/>
    <w:rsid w:val="00605BB6"/>
    <w:rsid w:val="006069CE"/>
    <w:rsid w:val="00607297"/>
    <w:rsid w:val="00607F33"/>
    <w:rsid w:val="00610129"/>
    <w:rsid w:val="00611A41"/>
    <w:rsid w:val="00613581"/>
    <w:rsid w:val="00614B5E"/>
    <w:rsid w:val="0061566D"/>
    <w:rsid w:val="00615717"/>
    <w:rsid w:val="00615B0B"/>
    <w:rsid w:val="006176A3"/>
    <w:rsid w:val="0061799C"/>
    <w:rsid w:val="00617D12"/>
    <w:rsid w:val="0062027B"/>
    <w:rsid w:val="0062313E"/>
    <w:rsid w:val="00625169"/>
    <w:rsid w:val="006251F2"/>
    <w:rsid w:val="00625992"/>
    <w:rsid w:val="006278EE"/>
    <w:rsid w:val="006305A7"/>
    <w:rsid w:val="006313A2"/>
    <w:rsid w:val="0063231A"/>
    <w:rsid w:val="00632FE5"/>
    <w:rsid w:val="006349D1"/>
    <w:rsid w:val="00636091"/>
    <w:rsid w:val="0063653E"/>
    <w:rsid w:val="00637A30"/>
    <w:rsid w:val="00640B7C"/>
    <w:rsid w:val="00641DB5"/>
    <w:rsid w:val="00642125"/>
    <w:rsid w:val="00644D22"/>
    <w:rsid w:val="006456F3"/>
    <w:rsid w:val="00645D93"/>
    <w:rsid w:val="00646AD5"/>
    <w:rsid w:val="00647ADE"/>
    <w:rsid w:val="0065099A"/>
    <w:rsid w:val="00650D35"/>
    <w:rsid w:val="00650ECE"/>
    <w:rsid w:val="00650F01"/>
    <w:rsid w:val="0065158B"/>
    <w:rsid w:val="00651D52"/>
    <w:rsid w:val="00653445"/>
    <w:rsid w:val="00653CEF"/>
    <w:rsid w:val="0065656C"/>
    <w:rsid w:val="006572AF"/>
    <w:rsid w:val="00657EC5"/>
    <w:rsid w:val="006605E6"/>
    <w:rsid w:val="006608C9"/>
    <w:rsid w:val="00661A54"/>
    <w:rsid w:val="0066251E"/>
    <w:rsid w:val="00662E1C"/>
    <w:rsid w:val="006631DA"/>
    <w:rsid w:val="00664471"/>
    <w:rsid w:val="006649E8"/>
    <w:rsid w:val="00664FAE"/>
    <w:rsid w:val="00666052"/>
    <w:rsid w:val="0066619D"/>
    <w:rsid w:val="00666A33"/>
    <w:rsid w:val="006672FE"/>
    <w:rsid w:val="00670A1C"/>
    <w:rsid w:val="00671589"/>
    <w:rsid w:val="00671A47"/>
    <w:rsid w:val="00671FF2"/>
    <w:rsid w:val="00672198"/>
    <w:rsid w:val="00674023"/>
    <w:rsid w:val="006766DA"/>
    <w:rsid w:val="006775CE"/>
    <w:rsid w:val="006776E1"/>
    <w:rsid w:val="00682458"/>
    <w:rsid w:val="00682C97"/>
    <w:rsid w:val="00683863"/>
    <w:rsid w:val="00687F1A"/>
    <w:rsid w:val="006916E3"/>
    <w:rsid w:val="00691809"/>
    <w:rsid w:val="00692036"/>
    <w:rsid w:val="006920FA"/>
    <w:rsid w:val="00693489"/>
    <w:rsid w:val="00693C1E"/>
    <w:rsid w:val="0069590A"/>
    <w:rsid w:val="006968F1"/>
    <w:rsid w:val="006A0040"/>
    <w:rsid w:val="006A0B32"/>
    <w:rsid w:val="006A122B"/>
    <w:rsid w:val="006A1ECC"/>
    <w:rsid w:val="006A2213"/>
    <w:rsid w:val="006A3BA4"/>
    <w:rsid w:val="006A436F"/>
    <w:rsid w:val="006A43F3"/>
    <w:rsid w:val="006A5F45"/>
    <w:rsid w:val="006A6759"/>
    <w:rsid w:val="006A6DDD"/>
    <w:rsid w:val="006B0C7D"/>
    <w:rsid w:val="006B15E8"/>
    <w:rsid w:val="006B1ED2"/>
    <w:rsid w:val="006B2B1B"/>
    <w:rsid w:val="006B53AE"/>
    <w:rsid w:val="006B5506"/>
    <w:rsid w:val="006B60D0"/>
    <w:rsid w:val="006B61F5"/>
    <w:rsid w:val="006B7641"/>
    <w:rsid w:val="006C0469"/>
    <w:rsid w:val="006C0DDC"/>
    <w:rsid w:val="006C1D73"/>
    <w:rsid w:val="006C2E8E"/>
    <w:rsid w:val="006C34F2"/>
    <w:rsid w:val="006C4071"/>
    <w:rsid w:val="006C5500"/>
    <w:rsid w:val="006C5619"/>
    <w:rsid w:val="006C6272"/>
    <w:rsid w:val="006C666A"/>
    <w:rsid w:val="006C6F5A"/>
    <w:rsid w:val="006D0CDD"/>
    <w:rsid w:val="006D1910"/>
    <w:rsid w:val="006D1938"/>
    <w:rsid w:val="006D193B"/>
    <w:rsid w:val="006D1E13"/>
    <w:rsid w:val="006D1E77"/>
    <w:rsid w:val="006D203A"/>
    <w:rsid w:val="006D2570"/>
    <w:rsid w:val="006D263A"/>
    <w:rsid w:val="006D2B46"/>
    <w:rsid w:val="006D2FDA"/>
    <w:rsid w:val="006D4514"/>
    <w:rsid w:val="006D5DD2"/>
    <w:rsid w:val="006D63D3"/>
    <w:rsid w:val="006E6853"/>
    <w:rsid w:val="006E6990"/>
    <w:rsid w:val="006E75E6"/>
    <w:rsid w:val="006F005F"/>
    <w:rsid w:val="006F11D3"/>
    <w:rsid w:val="006F13D9"/>
    <w:rsid w:val="006F1DE0"/>
    <w:rsid w:val="006F234C"/>
    <w:rsid w:val="006F337A"/>
    <w:rsid w:val="006F35CA"/>
    <w:rsid w:val="006F53AF"/>
    <w:rsid w:val="006F543C"/>
    <w:rsid w:val="006F6734"/>
    <w:rsid w:val="006F6B41"/>
    <w:rsid w:val="006F6DC6"/>
    <w:rsid w:val="006F7526"/>
    <w:rsid w:val="006F790B"/>
    <w:rsid w:val="00702B06"/>
    <w:rsid w:val="00702E8D"/>
    <w:rsid w:val="00703942"/>
    <w:rsid w:val="00703BD1"/>
    <w:rsid w:val="0070518D"/>
    <w:rsid w:val="00705644"/>
    <w:rsid w:val="007060DC"/>
    <w:rsid w:val="00710A0A"/>
    <w:rsid w:val="00712A2F"/>
    <w:rsid w:val="00712AB0"/>
    <w:rsid w:val="00712CC9"/>
    <w:rsid w:val="00713FE0"/>
    <w:rsid w:val="00716ADA"/>
    <w:rsid w:val="0071742F"/>
    <w:rsid w:val="00717D50"/>
    <w:rsid w:val="00722DCD"/>
    <w:rsid w:val="0072409C"/>
    <w:rsid w:val="00724191"/>
    <w:rsid w:val="0072759E"/>
    <w:rsid w:val="00727826"/>
    <w:rsid w:val="0073091A"/>
    <w:rsid w:val="0073126D"/>
    <w:rsid w:val="007318F7"/>
    <w:rsid w:val="00731D65"/>
    <w:rsid w:val="0073308A"/>
    <w:rsid w:val="00733B52"/>
    <w:rsid w:val="00734A0C"/>
    <w:rsid w:val="00735110"/>
    <w:rsid w:val="0073667C"/>
    <w:rsid w:val="00737326"/>
    <w:rsid w:val="00740BA0"/>
    <w:rsid w:val="00743015"/>
    <w:rsid w:val="00745C63"/>
    <w:rsid w:val="007476D0"/>
    <w:rsid w:val="007505BB"/>
    <w:rsid w:val="007550BB"/>
    <w:rsid w:val="00757190"/>
    <w:rsid w:val="0075743F"/>
    <w:rsid w:val="00760823"/>
    <w:rsid w:val="007616DC"/>
    <w:rsid w:val="007628ED"/>
    <w:rsid w:val="0076576B"/>
    <w:rsid w:val="00766E83"/>
    <w:rsid w:val="007673F8"/>
    <w:rsid w:val="00767E67"/>
    <w:rsid w:val="00771152"/>
    <w:rsid w:val="00772041"/>
    <w:rsid w:val="007724F3"/>
    <w:rsid w:val="00772A1A"/>
    <w:rsid w:val="007733F8"/>
    <w:rsid w:val="00773ED8"/>
    <w:rsid w:val="00774ADF"/>
    <w:rsid w:val="007811D9"/>
    <w:rsid w:val="00781452"/>
    <w:rsid w:val="007826C8"/>
    <w:rsid w:val="00783FE9"/>
    <w:rsid w:val="00785831"/>
    <w:rsid w:val="00786E48"/>
    <w:rsid w:val="007879E1"/>
    <w:rsid w:val="007906B3"/>
    <w:rsid w:val="0079179F"/>
    <w:rsid w:val="00792103"/>
    <w:rsid w:val="00792AD5"/>
    <w:rsid w:val="007942FD"/>
    <w:rsid w:val="00795560"/>
    <w:rsid w:val="0079601A"/>
    <w:rsid w:val="007A0202"/>
    <w:rsid w:val="007A07CF"/>
    <w:rsid w:val="007A1035"/>
    <w:rsid w:val="007A11F7"/>
    <w:rsid w:val="007A24D7"/>
    <w:rsid w:val="007A3BA1"/>
    <w:rsid w:val="007A3D36"/>
    <w:rsid w:val="007A4BEB"/>
    <w:rsid w:val="007A4F4B"/>
    <w:rsid w:val="007A606A"/>
    <w:rsid w:val="007A6A12"/>
    <w:rsid w:val="007A77BC"/>
    <w:rsid w:val="007B27F2"/>
    <w:rsid w:val="007B31D9"/>
    <w:rsid w:val="007B3451"/>
    <w:rsid w:val="007B51C5"/>
    <w:rsid w:val="007B53A3"/>
    <w:rsid w:val="007B67EB"/>
    <w:rsid w:val="007B70A5"/>
    <w:rsid w:val="007B71BF"/>
    <w:rsid w:val="007B72B6"/>
    <w:rsid w:val="007C0630"/>
    <w:rsid w:val="007C0C03"/>
    <w:rsid w:val="007C12F9"/>
    <w:rsid w:val="007C3203"/>
    <w:rsid w:val="007C3D5D"/>
    <w:rsid w:val="007C4B71"/>
    <w:rsid w:val="007C5C18"/>
    <w:rsid w:val="007C61F6"/>
    <w:rsid w:val="007C6295"/>
    <w:rsid w:val="007C6ABD"/>
    <w:rsid w:val="007C6AE1"/>
    <w:rsid w:val="007D040C"/>
    <w:rsid w:val="007D074B"/>
    <w:rsid w:val="007D2C70"/>
    <w:rsid w:val="007D3096"/>
    <w:rsid w:val="007D30CF"/>
    <w:rsid w:val="007D343E"/>
    <w:rsid w:val="007D3ECB"/>
    <w:rsid w:val="007D4801"/>
    <w:rsid w:val="007D6703"/>
    <w:rsid w:val="007D6CA5"/>
    <w:rsid w:val="007D7ABC"/>
    <w:rsid w:val="007E0628"/>
    <w:rsid w:val="007E183C"/>
    <w:rsid w:val="007E3715"/>
    <w:rsid w:val="007E3DE1"/>
    <w:rsid w:val="007E4549"/>
    <w:rsid w:val="007E47F6"/>
    <w:rsid w:val="007E4CF6"/>
    <w:rsid w:val="007E7D16"/>
    <w:rsid w:val="007F1C38"/>
    <w:rsid w:val="007F202E"/>
    <w:rsid w:val="007F466C"/>
    <w:rsid w:val="007F5748"/>
    <w:rsid w:val="007F60D9"/>
    <w:rsid w:val="007F6411"/>
    <w:rsid w:val="007F75F1"/>
    <w:rsid w:val="00800297"/>
    <w:rsid w:val="0080034E"/>
    <w:rsid w:val="00800F12"/>
    <w:rsid w:val="008029D8"/>
    <w:rsid w:val="00803368"/>
    <w:rsid w:val="008034FE"/>
    <w:rsid w:val="00803F86"/>
    <w:rsid w:val="00804414"/>
    <w:rsid w:val="00804BD8"/>
    <w:rsid w:val="008051DB"/>
    <w:rsid w:val="00805443"/>
    <w:rsid w:val="0080570E"/>
    <w:rsid w:val="008058C9"/>
    <w:rsid w:val="00805D08"/>
    <w:rsid w:val="0080781B"/>
    <w:rsid w:val="00807A86"/>
    <w:rsid w:val="00807F89"/>
    <w:rsid w:val="00810038"/>
    <w:rsid w:val="0081017A"/>
    <w:rsid w:val="008126B0"/>
    <w:rsid w:val="008138B9"/>
    <w:rsid w:val="00813D9D"/>
    <w:rsid w:val="008145E7"/>
    <w:rsid w:val="0081484E"/>
    <w:rsid w:val="0081538D"/>
    <w:rsid w:val="00815E54"/>
    <w:rsid w:val="00816211"/>
    <w:rsid w:val="00817229"/>
    <w:rsid w:val="00817F3F"/>
    <w:rsid w:val="00821E55"/>
    <w:rsid w:val="00822478"/>
    <w:rsid w:val="0082277C"/>
    <w:rsid w:val="00822DAB"/>
    <w:rsid w:val="008230BD"/>
    <w:rsid w:val="00823C70"/>
    <w:rsid w:val="0082517F"/>
    <w:rsid w:val="008255D6"/>
    <w:rsid w:val="00826259"/>
    <w:rsid w:val="00826AE5"/>
    <w:rsid w:val="008319C6"/>
    <w:rsid w:val="00833745"/>
    <w:rsid w:val="008346CC"/>
    <w:rsid w:val="008358E6"/>
    <w:rsid w:val="008371A6"/>
    <w:rsid w:val="00837DF3"/>
    <w:rsid w:val="008406A2"/>
    <w:rsid w:val="00841947"/>
    <w:rsid w:val="00842047"/>
    <w:rsid w:val="0084222C"/>
    <w:rsid w:val="008427D5"/>
    <w:rsid w:val="00842BCA"/>
    <w:rsid w:val="00847ACD"/>
    <w:rsid w:val="008500B3"/>
    <w:rsid w:val="00850A8F"/>
    <w:rsid w:val="0085110B"/>
    <w:rsid w:val="00851AFE"/>
    <w:rsid w:val="00851FAA"/>
    <w:rsid w:val="00852F16"/>
    <w:rsid w:val="00852F4D"/>
    <w:rsid w:val="008534A7"/>
    <w:rsid w:val="0085395C"/>
    <w:rsid w:val="00854071"/>
    <w:rsid w:val="00856B0F"/>
    <w:rsid w:val="0086020C"/>
    <w:rsid w:val="00860478"/>
    <w:rsid w:val="008624DD"/>
    <w:rsid w:val="0086478F"/>
    <w:rsid w:val="008664B5"/>
    <w:rsid w:val="00866744"/>
    <w:rsid w:val="00867552"/>
    <w:rsid w:val="00870168"/>
    <w:rsid w:val="008701FC"/>
    <w:rsid w:val="008712C2"/>
    <w:rsid w:val="00872F09"/>
    <w:rsid w:val="0087311E"/>
    <w:rsid w:val="00874490"/>
    <w:rsid w:val="00875BD3"/>
    <w:rsid w:val="00876DE9"/>
    <w:rsid w:val="008803B9"/>
    <w:rsid w:val="008808B2"/>
    <w:rsid w:val="00880C10"/>
    <w:rsid w:val="00880E1B"/>
    <w:rsid w:val="00881F4C"/>
    <w:rsid w:val="00882122"/>
    <w:rsid w:val="00885FEB"/>
    <w:rsid w:val="008861A9"/>
    <w:rsid w:val="008872DE"/>
    <w:rsid w:val="00890960"/>
    <w:rsid w:val="00891843"/>
    <w:rsid w:val="00891EB9"/>
    <w:rsid w:val="00892D08"/>
    <w:rsid w:val="00892E8E"/>
    <w:rsid w:val="0089311A"/>
    <w:rsid w:val="008937D8"/>
    <w:rsid w:val="00893F75"/>
    <w:rsid w:val="00894BFD"/>
    <w:rsid w:val="00894F84"/>
    <w:rsid w:val="008953BF"/>
    <w:rsid w:val="008956B4"/>
    <w:rsid w:val="00895A5D"/>
    <w:rsid w:val="00896C8C"/>
    <w:rsid w:val="00897697"/>
    <w:rsid w:val="00897A7A"/>
    <w:rsid w:val="008A1AFB"/>
    <w:rsid w:val="008A26C5"/>
    <w:rsid w:val="008A35A4"/>
    <w:rsid w:val="008A4F6D"/>
    <w:rsid w:val="008A5925"/>
    <w:rsid w:val="008B067E"/>
    <w:rsid w:val="008B0C50"/>
    <w:rsid w:val="008B17E5"/>
    <w:rsid w:val="008B1A1F"/>
    <w:rsid w:val="008B5659"/>
    <w:rsid w:val="008B7EE3"/>
    <w:rsid w:val="008C0F9A"/>
    <w:rsid w:val="008C2724"/>
    <w:rsid w:val="008C28E9"/>
    <w:rsid w:val="008C2E2B"/>
    <w:rsid w:val="008C45AA"/>
    <w:rsid w:val="008C45E2"/>
    <w:rsid w:val="008C4B67"/>
    <w:rsid w:val="008C5C70"/>
    <w:rsid w:val="008C6DEC"/>
    <w:rsid w:val="008C6EDB"/>
    <w:rsid w:val="008C7576"/>
    <w:rsid w:val="008D3076"/>
    <w:rsid w:val="008D3E6C"/>
    <w:rsid w:val="008D4D22"/>
    <w:rsid w:val="008D553D"/>
    <w:rsid w:val="008D5DBD"/>
    <w:rsid w:val="008D6D5C"/>
    <w:rsid w:val="008D76B6"/>
    <w:rsid w:val="008D7857"/>
    <w:rsid w:val="008E032E"/>
    <w:rsid w:val="008E0530"/>
    <w:rsid w:val="008E0E15"/>
    <w:rsid w:val="008E1236"/>
    <w:rsid w:val="008E1647"/>
    <w:rsid w:val="008E343D"/>
    <w:rsid w:val="008E4798"/>
    <w:rsid w:val="008E4FBA"/>
    <w:rsid w:val="008E5A5E"/>
    <w:rsid w:val="008E6A3D"/>
    <w:rsid w:val="008E6E3D"/>
    <w:rsid w:val="008E77A1"/>
    <w:rsid w:val="008F1F0C"/>
    <w:rsid w:val="008F38F0"/>
    <w:rsid w:val="008F3A4E"/>
    <w:rsid w:val="008F4148"/>
    <w:rsid w:val="008F4FE2"/>
    <w:rsid w:val="008F5CD9"/>
    <w:rsid w:val="008F657E"/>
    <w:rsid w:val="00900E46"/>
    <w:rsid w:val="009017AA"/>
    <w:rsid w:val="00902E92"/>
    <w:rsid w:val="0090426C"/>
    <w:rsid w:val="009057A6"/>
    <w:rsid w:val="00905862"/>
    <w:rsid w:val="00906F16"/>
    <w:rsid w:val="00907BFC"/>
    <w:rsid w:val="00910930"/>
    <w:rsid w:val="00910ACC"/>
    <w:rsid w:val="00915AAB"/>
    <w:rsid w:val="009161A9"/>
    <w:rsid w:val="00916272"/>
    <w:rsid w:val="00916AA5"/>
    <w:rsid w:val="00917449"/>
    <w:rsid w:val="009176EB"/>
    <w:rsid w:val="009202B1"/>
    <w:rsid w:val="00921EFF"/>
    <w:rsid w:val="009231E5"/>
    <w:rsid w:val="0092455E"/>
    <w:rsid w:val="00924815"/>
    <w:rsid w:val="00924BE4"/>
    <w:rsid w:val="00924EA5"/>
    <w:rsid w:val="00924FA2"/>
    <w:rsid w:val="00924FB3"/>
    <w:rsid w:val="00927137"/>
    <w:rsid w:val="009277A2"/>
    <w:rsid w:val="0092789E"/>
    <w:rsid w:val="0093042F"/>
    <w:rsid w:val="009308D0"/>
    <w:rsid w:val="00930F24"/>
    <w:rsid w:val="00931293"/>
    <w:rsid w:val="009317F7"/>
    <w:rsid w:val="00931E7B"/>
    <w:rsid w:val="00932AF7"/>
    <w:rsid w:val="00932B6E"/>
    <w:rsid w:val="009331C2"/>
    <w:rsid w:val="00933C0B"/>
    <w:rsid w:val="00933FF8"/>
    <w:rsid w:val="009345CC"/>
    <w:rsid w:val="009346F3"/>
    <w:rsid w:val="009363BD"/>
    <w:rsid w:val="00940059"/>
    <w:rsid w:val="00942008"/>
    <w:rsid w:val="0094243E"/>
    <w:rsid w:val="0094362F"/>
    <w:rsid w:val="00946734"/>
    <w:rsid w:val="0094690B"/>
    <w:rsid w:val="00946962"/>
    <w:rsid w:val="0094786C"/>
    <w:rsid w:val="00951428"/>
    <w:rsid w:val="0095252A"/>
    <w:rsid w:val="009525F3"/>
    <w:rsid w:val="00953177"/>
    <w:rsid w:val="0095574A"/>
    <w:rsid w:val="00955A7E"/>
    <w:rsid w:val="00955EED"/>
    <w:rsid w:val="0095629D"/>
    <w:rsid w:val="00956C22"/>
    <w:rsid w:val="009579B1"/>
    <w:rsid w:val="009603AA"/>
    <w:rsid w:val="0096115B"/>
    <w:rsid w:val="009611E4"/>
    <w:rsid w:val="00962686"/>
    <w:rsid w:val="00965148"/>
    <w:rsid w:val="0096582A"/>
    <w:rsid w:val="00965CE2"/>
    <w:rsid w:val="0096681B"/>
    <w:rsid w:val="0097008B"/>
    <w:rsid w:val="00970145"/>
    <w:rsid w:val="009731DC"/>
    <w:rsid w:val="00973BEA"/>
    <w:rsid w:val="0097428E"/>
    <w:rsid w:val="00975346"/>
    <w:rsid w:val="009754C6"/>
    <w:rsid w:val="009761F9"/>
    <w:rsid w:val="00980037"/>
    <w:rsid w:val="009803F9"/>
    <w:rsid w:val="0098254C"/>
    <w:rsid w:val="00982D6A"/>
    <w:rsid w:val="009835F8"/>
    <w:rsid w:val="00983F41"/>
    <w:rsid w:val="0098415A"/>
    <w:rsid w:val="009845A3"/>
    <w:rsid w:val="00987AEE"/>
    <w:rsid w:val="00987BCF"/>
    <w:rsid w:val="00990457"/>
    <w:rsid w:val="00991476"/>
    <w:rsid w:val="00992DAE"/>
    <w:rsid w:val="00992E47"/>
    <w:rsid w:val="00993397"/>
    <w:rsid w:val="009933E8"/>
    <w:rsid w:val="009938CE"/>
    <w:rsid w:val="00993F83"/>
    <w:rsid w:val="00995AA3"/>
    <w:rsid w:val="00995EE6"/>
    <w:rsid w:val="00996164"/>
    <w:rsid w:val="00996BF1"/>
    <w:rsid w:val="009A0D53"/>
    <w:rsid w:val="009A14CF"/>
    <w:rsid w:val="009A5766"/>
    <w:rsid w:val="009A5B49"/>
    <w:rsid w:val="009A5E5E"/>
    <w:rsid w:val="009A68E9"/>
    <w:rsid w:val="009A6F63"/>
    <w:rsid w:val="009B0BFD"/>
    <w:rsid w:val="009B243D"/>
    <w:rsid w:val="009B40F9"/>
    <w:rsid w:val="009B493D"/>
    <w:rsid w:val="009B4CBA"/>
    <w:rsid w:val="009B530D"/>
    <w:rsid w:val="009B58D4"/>
    <w:rsid w:val="009B7CC2"/>
    <w:rsid w:val="009B7ECC"/>
    <w:rsid w:val="009C0CA9"/>
    <w:rsid w:val="009C204F"/>
    <w:rsid w:val="009C356F"/>
    <w:rsid w:val="009C52B6"/>
    <w:rsid w:val="009C6DD7"/>
    <w:rsid w:val="009C7CFD"/>
    <w:rsid w:val="009D1694"/>
    <w:rsid w:val="009D1890"/>
    <w:rsid w:val="009D245C"/>
    <w:rsid w:val="009D2D4B"/>
    <w:rsid w:val="009D3850"/>
    <w:rsid w:val="009D415D"/>
    <w:rsid w:val="009D4903"/>
    <w:rsid w:val="009D492F"/>
    <w:rsid w:val="009D4935"/>
    <w:rsid w:val="009D4FE6"/>
    <w:rsid w:val="009D597A"/>
    <w:rsid w:val="009D6A88"/>
    <w:rsid w:val="009D73D2"/>
    <w:rsid w:val="009E0D10"/>
    <w:rsid w:val="009E1061"/>
    <w:rsid w:val="009E19B1"/>
    <w:rsid w:val="009E1C14"/>
    <w:rsid w:val="009E280F"/>
    <w:rsid w:val="009E4565"/>
    <w:rsid w:val="009E4DF7"/>
    <w:rsid w:val="009E5577"/>
    <w:rsid w:val="009E6CB5"/>
    <w:rsid w:val="009E719F"/>
    <w:rsid w:val="009F1075"/>
    <w:rsid w:val="009F1354"/>
    <w:rsid w:val="009F1CA8"/>
    <w:rsid w:val="009F2211"/>
    <w:rsid w:val="009F388D"/>
    <w:rsid w:val="009F424A"/>
    <w:rsid w:val="009F4C33"/>
    <w:rsid w:val="009F50F1"/>
    <w:rsid w:val="009F5417"/>
    <w:rsid w:val="009F5E3E"/>
    <w:rsid w:val="009F661C"/>
    <w:rsid w:val="009F6645"/>
    <w:rsid w:val="009F6DD7"/>
    <w:rsid w:val="009F7883"/>
    <w:rsid w:val="00A003BD"/>
    <w:rsid w:val="00A00B0C"/>
    <w:rsid w:val="00A02013"/>
    <w:rsid w:val="00A026C5"/>
    <w:rsid w:val="00A02F97"/>
    <w:rsid w:val="00A05320"/>
    <w:rsid w:val="00A05C35"/>
    <w:rsid w:val="00A05E27"/>
    <w:rsid w:val="00A060FF"/>
    <w:rsid w:val="00A063C7"/>
    <w:rsid w:val="00A06567"/>
    <w:rsid w:val="00A06F3C"/>
    <w:rsid w:val="00A106A7"/>
    <w:rsid w:val="00A11255"/>
    <w:rsid w:val="00A12311"/>
    <w:rsid w:val="00A125DF"/>
    <w:rsid w:val="00A127B4"/>
    <w:rsid w:val="00A137DC"/>
    <w:rsid w:val="00A1381D"/>
    <w:rsid w:val="00A1623B"/>
    <w:rsid w:val="00A16A32"/>
    <w:rsid w:val="00A17092"/>
    <w:rsid w:val="00A17181"/>
    <w:rsid w:val="00A2128F"/>
    <w:rsid w:val="00A2232A"/>
    <w:rsid w:val="00A23BAD"/>
    <w:rsid w:val="00A23FA0"/>
    <w:rsid w:val="00A24A91"/>
    <w:rsid w:val="00A26481"/>
    <w:rsid w:val="00A27321"/>
    <w:rsid w:val="00A303E4"/>
    <w:rsid w:val="00A30818"/>
    <w:rsid w:val="00A30B3A"/>
    <w:rsid w:val="00A30BF9"/>
    <w:rsid w:val="00A30D5D"/>
    <w:rsid w:val="00A3270F"/>
    <w:rsid w:val="00A32A9D"/>
    <w:rsid w:val="00A348C3"/>
    <w:rsid w:val="00A3613E"/>
    <w:rsid w:val="00A36178"/>
    <w:rsid w:val="00A36B96"/>
    <w:rsid w:val="00A4016E"/>
    <w:rsid w:val="00A40A4F"/>
    <w:rsid w:val="00A4138B"/>
    <w:rsid w:val="00A42D93"/>
    <w:rsid w:val="00A43943"/>
    <w:rsid w:val="00A43F6D"/>
    <w:rsid w:val="00A44980"/>
    <w:rsid w:val="00A44CCC"/>
    <w:rsid w:val="00A46AE3"/>
    <w:rsid w:val="00A46C82"/>
    <w:rsid w:val="00A47226"/>
    <w:rsid w:val="00A47DB3"/>
    <w:rsid w:val="00A50461"/>
    <w:rsid w:val="00A5081A"/>
    <w:rsid w:val="00A50B7D"/>
    <w:rsid w:val="00A520D5"/>
    <w:rsid w:val="00A523E9"/>
    <w:rsid w:val="00A52F02"/>
    <w:rsid w:val="00A56246"/>
    <w:rsid w:val="00A56A3B"/>
    <w:rsid w:val="00A56B12"/>
    <w:rsid w:val="00A56FA4"/>
    <w:rsid w:val="00A56FE3"/>
    <w:rsid w:val="00A57597"/>
    <w:rsid w:val="00A5785F"/>
    <w:rsid w:val="00A57923"/>
    <w:rsid w:val="00A57950"/>
    <w:rsid w:val="00A57F04"/>
    <w:rsid w:val="00A60506"/>
    <w:rsid w:val="00A60D4C"/>
    <w:rsid w:val="00A61055"/>
    <w:rsid w:val="00A6157D"/>
    <w:rsid w:val="00A61EBC"/>
    <w:rsid w:val="00A643E0"/>
    <w:rsid w:val="00A644EC"/>
    <w:rsid w:val="00A661C6"/>
    <w:rsid w:val="00A67478"/>
    <w:rsid w:val="00A67548"/>
    <w:rsid w:val="00A67B53"/>
    <w:rsid w:val="00A67FEB"/>
    <w:rsid w:val="00A7006C"/>
    <w:rsid w:val="00A7336B"/>
    <w:rsid w:val="00A7469E"/>
    <w:rsid w:val="00A7784F"/>
    <w:rsid w:val="00A77D9C"/>
    <w:rsid w:val="00A811D1"/>
    <w:rsid w:val="00A83271"/>
    <w:rsid w:val="00A833C5"/>
    <w:rsid w:val="00A834A9"/>
    <w:rsid w:val="00A84CB5"/>
    <w:rsid w:val="00A863CF"/>
    <w:rsid w:val="00A8689E"/>
    <w:rsid w:val="00A869EF"/>
    <w:rsid w:val="00A87D5B"/>
    <w:rsid w:val="00A90268"/>
    <w:rsid w:val="00A91744"/>
    <w:rsid w:val="00A924B7"/>
    <w:rsid w:val="00A92C56"/>
    <w:rsid w:val="00A936E3"/>
    <w:rsid w:val="00A94031"/>
    <w:rsid w:val="00A9556E"/>
    <w:rsid w:val="00A96416"/>
    <w:rsid w:val="00A965A9"/>
    <w:rsid w:val="00A967B9"/>
    <w:rsid w:val="00A97006"/>
    <w:rsid w:val="00A9708F"/>
    <w:rsid w:val="00A9788B"/>
    <w:rsid w:val="00AA1349"/>
    <w:rsid w:val="00AA1A68"/>
    <w:rsid w:val="00AA22A7"/>
    <w:rsid w:val="00AA2EAA"/>
    <w:rsid w:val="00AA35AD"/>
    <w:rsid w:val="00AA3E2C"/>
    <w:rsid w:val="00AA5459"/>
    <w:rsid w:val="00AA5704"/>
    <w:rsid w:val="00AA5D1E"/>
    <w:rsid w:val="00AA64E5"/>
    <w:rsid w:val="00AA7240"/>
    <w:rsid w:val="00AA72F5"/>
    <w:rsid w:val="00AA7413"/>
    <w:rsid w:val="00AB009B"/>
    <w:rsid w:val="00AB0513"/>
    <w:rsid w:val="00AB052F"/>
    <w:rsid w:val="00AB1C10"/>
    <w:rsid w:val="00AB3B36"/>
    <w:rsid w:val="00AB50E7"/>
    <w:rsid w:val="00AB5160"/>
    <w:rsid w:val="00AB55DE"/>
    <w:rsid w:val="00AB5905"/>
    <w:rsid w:val="00AB606B"/>
    <w:rsid w:val="00AC0615"/>
    <w:rsid w:val="00AC19C6"/>
    <w:rsid w:val="00AC3C65"/>
    <w:rsid w:val="00AC5023"/>
    <w:rsid w:val="00AC565D"/>
    <w:rsid w:val="00AC5F63"/>
    <w:rsid w:val="00AC6BB7"/>
    <w:rsid w:val="00AC6C20"/>
    <w:rsid w:val="00AC792C"/>
    <w:rsid w:val="00AC792D"/>
    <w:rsid w:val="00AD05CA"/>
    <w:rsid w:val="00AD12EB"/>
    <w:rsid w:val="00AD1DB8"/>
    <w:rsid w:val="00AD28B5"/>
    <w:rsid w:val="00AD31BD"/>
    <w:rsid w:val="00AD3869"/>
    <w:rsid w:val="00AD4121"/>
    <w:rsid w:val="00AD5BEE"/>
    <w:rsid w:val="00AE0604"/>
    <w:rsid w:val="00AE178A"/>
    <w:rsid w:val="00AE37AE"/>
    <w:rsid w:val="00AE3C6B"/>
    <w:rsid w:val="00AE4B00"/>
    <w:rsid w:val="00AE526F"/>
    <w:rsid w:val="00AE53AB"/>
    <w:rsid w:val="00AE6BB8"/>
    <w:rsid w:val="00AF0630"/>
    <w:rsid w:val="00AF2378"/>
    <w:rsid w:val="00AF28E0"/>
    <w:rsid w:val="00AF3534"/>
    <w:rsid w:val="00AF6AE5"/>
    <w:rsid w:val="00AF78F7"/>
    <w:rsid w:val="00AF7A45"/>
    <w:rsid w:val="00B01B18"/>
    <w:rsid w:val="00B02546"/>
    <w:rsid w:val="00B0385E"/>
    <w:rsid w:val="00B03EA8"/>
    <w:rsid w:val="00B06C2D"/>
    <w:rsid w:val="00B078EC"/>
    <w:rsid w:val="00B11CB2"/>
    <w:rsid w:val="00B133FC"/>
    <w:rsid w:val="00B14A67"/>
    <w:rsid w:val="00B153BC"/>
    <w:rsid w:val="00B15C6A"/>
    <w:rsid w:val="00B16E20"/>
    <w:rsid w:val="00B21103"/>
    <w:rsid w:val="00B216E0"/>
    <w:rsid w:val="00B21D96"/>
    <w:rsid w:val="00B2289E"/>
    <w:rsid w:val="00B22EC3"/>
    <w:rsid w:val="00B25ADE"/>
    <w:rsid w:val="00B25E43"/>
    <w:rsid w:val="00B265AC"/>
    <w:rsid w:val="00B27A0A"/>
    <w:rsid w:val="00B30287"/>
    <w:rsid w:val="00B30B6F"/>
    <w:rsid w:val="00B3485B"/>
    <w:rsid w:val="00B366C6"/>
    <w:rsid w:val="00B412BC"/>
    <w:rsid w:val="00B430EB"/>
    <w:rsid w:val="00B4478E"/>
    <w:rsid w:val="00B46458"/>
    <w:rsid w:val="00B46878"/>
    <w:rsid w:val="00B47611"/>
    <w:rsid w:val="00B50152"/>
    <w:rsid w:val="00B50C9E"/>
    <w:rsid w:val="00B519EC"/>
    <w:rsid w:val="00B5571F"/>
    <w:rsid w:val="00B55D59"/>
    <w:rsid w:val="00B6158B"/>
    <w:rsid w:val="00B62B67"/>
    <w:rsid w:val="00B62D8D"/>
    <w:rsid w:val="00B62E6F"/>
    <w:rsid w:val="00B63B39"/>
    <w:rsid w:val="00B643D6"/>
    <w:rsid w:val="00B64AAC"/>
    <w:rsid w:val="00B65F0E"/>
    <w:rsid w:val="00B66E67"/>
    <w:rsid w:val="00B70540"/>
    <w:rsid w:val="00B71119"/>
    <w:rsid w:val="00B719B5"/>
    <w:rsid w:val="00B71BE2"/>
    <w:rsid w:val="00B730D6"/>
    <w:rsid w:val="00B746E7"/>
    <w:rsid w:val="00B74EAF"/>
    <w:rsid w:val="00B77120"/>
    <w:rsid w:val="00B776CD"/>
    <w:rsid w:val="00B805B8"/>
    <w:rsid w:val="00B81B24"/>
    <w:rsid w:val="00B81F50"/>
    <w:rsid w:val="00B83D3A"/>
    <w:rsid w:val="00B842A8"/>
    <w:rsid w:val="00B84379"/>
    <w:rsid w:val="00B85F53"/>
    <w:rsid w:val="00B863A3"/>
    <w:rsid w:val="00B90C02"/>
    <w:rsid w:val="00B90F21"/>
    <w:rsid w:val="00B90F9F"/>
    <w:rsid w:val="00B91543"/>
    <w:rsid w:val="00B91635"/>
    <w:rsid w:val="00B92A3A"/>
    <w:rsid w:val="00B92C80"/>
    <w:rsid w:val="00B97C76"/>
    <w:rsid w:val="00BA0810"/>
    <w:rsid w:val="00BA08EE"/>
    <w:rsid w:val="00BA5E70"/>
    <w:rsid w:val="00BA6C1C"/>
    <w:rsid w:val="00BB10EA"/>
    <w:rsid w:val="00BB3A3A"/>
    <w:rsid w:val="00BB3FF5"/>
    <w:rsid w:val="00BB644B"/>
    <w:rsid w:val="00BC1080"/>
    <w:rsid w:val="00BC1634"/>
    <w:rsid w:val="00BC2FD7"/>
    <w:rsid w:val="00BC30FC"/>
    <w:rsid w:val="00BC56D4"/>
    <w:rsid w:val="00BC5E9B"/>
    <w:rsid w:val="00BD0373"/>
    <w:rsid w:val="00BD16FB"/>
    <w:rsid w:val="00BD4211"/>
    <w:rsid w:val="00BD64A2"/>
    <w:rsid w:val="00BD67C5"/>
    <w:rsid w:val="00BE1124"/>
    <w:rsid w:val="00BE19FE"/>
    <w:rsid w:val="00BE2EEB"/>
    <w:rsid w:val="00BE38A9"/>
    <w:rsid w:val="00BE4747"/>
    <w:rsid w:val="00BE60C9"/>
    <w:rsid w:val="00BF0A5E"/>
    <w:rsid w:val="00BF26F6"/>
    <w:rsid w:val="00BF2C12"/>
    <w:rsid w:val="00BF3413"/>
    <w:rsid w:val="00BF383F"/>
    <w:rsid w:val="00BF7A05"/>
    <w:rsid w:val="00C01627"/>
    <w:rsid w:val="00C01FCA"/>
    <w:rsid w:val="00C021D6"/>
    <w:rsid w:val="00C02AF1"/>
    <w:rsid w:val="00C069BE"/>
    <w:rsid w:val="00C07F45"/>
    <w:rsid w:val="00C1009F"/>
    <w:rsid w:val="00C10390"/>
    <w:rsid w:val="00C10684"/>
    <w:rsid w:val="00C107D0"/>
    <w:rsid w:val="00C10C1B"/>
    <w:rsid w:val="00C11507"/>
    <w:rsid w:val="00C12651"/>
    <w:rsid w:val="00C12D29"/>
    <w:rsid w:val="00C13029"/>
    <w:rsid w:val="00C16202"/>
    <w:rsid w:val="00C163BF"/>
    <w:rsid w:val="00C17784"/>
    <w:rsid w:val="00C17D5A"/>
    <w:rsid w:val="00C216E0"/>
    <w:rsid w:val="00C2201D"/>
    <w:rsid w:val="00C22CDA"/>
    <w:rsid w:val="00C22EF4"/>
    <w:rsid w:val="00C23607"/>
    <w:rsid w:val="00C2491C"/>
    <w:rsid w:val="00C25ED9"/>
    <w:rsid w:val="00C25EFB"/>
    <w:rsid w:val="00C26CE9"/>
    <w:rsid w:val="00C31934"/>
    <w:rsid w:val="00C31C23"/>
    <w:rsid w:val="00C329C7"/>
    <w:rsid w:val="00C3329D"/>
    <w:rsid w:val="00C345CD"/>
    <w:rsid w:val="00C3531E"/>
    <w:rsid w:val="00C37665"/>
    <w:rsid w:val="00C37E0B"/>
    <w:rsid w:val="00C41589"/>
    <w:rsid w:val="00C41B01"/>
    <w:rsid w:val="00C428D1"/>
    <w:rsid w:val="00C42EF6"/>
    <w:rsid w:val="00C46059"/>
    <w:rsid w:val="00C461D6"/>
    <w:rsid w:val="00C46422"/>
    <w:rsid w:val="00C5016E"/>
    <w:rsid w:val="00C53E6C"/>
    <w:rsid w:val="00C54B4D"/>
    <w:rsid w:val="00C60022"/>
    <w:rsid w:val="00C62C20"/>
    <w:rsid w:val="00C62C4D"/>
    <w:rsid w:val="00C646DA"/>
    <w:rsid w:val="00C67670"/>
    <w:rsid w:val="00C703D1"/>
    <w:rsid w:val="00C70AB4"/>
    <w:rsid w:val="00C70DC9"/>
    <w:rsid w:val="00C733F8"/>
    <w:rsid w:val="00C7411D"/>
    <w:rsid w:val="00C74181"/>
    <w:rsid w:val="00C75EF5"/>
    <w:rsid w:val="00C76C2E"/>
    <w:rsid w:val="00C80CF5"/>
    <w:rsid w:val="00C81B99"/>
    <w:rsid w:val="00C82DB6"/>
    <w:rsid w:val="00C8365D"/>
    <w:rsid w:val="00C85EF1"/>
    <w:rsid w:val="00C867BA"/>
    <w:rsid w:val="00C91024"/>
    <w:rsid w:val="00C91866"/>
    <w:rsid w:val="00C92BCF"/>
    <w:rsid w:val="00C948B1"/>
    <w:rsid w:val="00C94ADE"/>
    <w:rsid w:val="00CA0148"/>
    <w:rsid w:val="00CA0DFC"/>
    <w:rsid w:val="00CA2E9F"/>
    <w:rsid w:val="00CA3C47"/>
    <w:rsid w:val="00CA3C88"/>
    <w:rsid w:val="00CA3E77"/>
    <w:rsid w:val="00CA3FF1"/>
    <w:rsid w:val="00CA49C5"/>
    <w:rsid w:val="00CA575E"/>
    <w:rsid w:val="00CB068F"/>
    <w:rsid w:val="00CB14C4"/>
    <w:rsid w:val="00CB1CD7"/>
    <w:rsid w:val="00CB286F"/>
    <w:rsid w:val="00CB2877"/>
    <w:rsid w:val="00CB53D6"/>
    <w:rsid w:val="00CB5A6A"/>
    <w:rsid w:val="00CB5E6A"/>
    <w:rsid w:val="00CB7604"/>
    <w:rsid w:val="00CC0C03"/>
    <w:rsid w:val="00CC26DC"/>
    <w:rsid w:val="00CC31C1"/>
    <w:rsid w:val="00CC3EDC"/>
    <w:rsid w:val="00CC4BEB"/>
    <w:rsid w:val="00CC7570"/>
    <w:rsid w:val="00CD0A40"/>
    <w:rsid w:val="00CD0FD4"/>
    <w:rsid w:val="00CD1BC7"/>
    <w:rsid w:val="00CD1E9A"/>
    <w:rsid w:val="00CD30B6"/>
    <w:rsid w:val="00CD3E59"/>
    <w:rsid w:val="00CD543F"/>
    <w:rsid w:val="00CD5646"/>
    <w:rsid w:val="00CD56B2"/>
    <w:rsid w:val="00CD7754"/>
    <w:rsid w:val="00CE01A0"/>
    <w:rsid w:val="00CE0393"/>
    <w:rsid w:val="00CE1F53"/>
    <w:rsid w:val="00CE33FC"/>
    <w:rsid w:val="00CE34D0"/>
    <w:rsid w:val="00CE3D31"/>
    <w:rsid w:val="00CE46B4"/>
    <w:rsid w:val="00CE5422"/>
    <w:rsid w:val="00CE5470"/>
    <w:rsid w:val="00CE5778"/>
    <w:rsid w:val="00CE5B47"/>
    <w:rsid w:val="00CE6499"/>
    <w:rsid w:val="00CE717A"/>
    <w:rsid w:val="00CE7D3F"/>
    <w:rsid w:val="00CE7E8A"/>
    <w:rsid w:val="00CE7FE7"/>
    <w:rsid w:val="00CF0C2A"/>
    <w:rsid w:val="00CF2B5D"/>
    <w:rsid w:val="00CF31AA"/>
    <w:rsid w:val="00CF34B6"/>
    <w:rsid w:val="00CF5C1E"/>
    <w:rsid w:val="00CF6669"/>
    <w:rsid w:val="00CF6993"/>
    <w:rsid w:val="00D03206"/>
    <w:rsid w:val="00D05E01"/>
    <w:rsid w:val="00D07BFA"/>
    <w:rsid w:val="00D11A2A"/>
    <w:rsid w:val="00D11F34"/>
    <w:rsid w:val="00D14B54"/>
    <w:rsid w:val="00D16422"/>
    <w:rsid w:val="00D16FD3"/>
    <w:rsid w:val="00D173ED"/>
    <w:rsid w:val="00D179C1"/>
    <w:rsid w:val="00D205E6"/>
    <w:rsid w:val="00D20A1B"/>
    <w:rsid w:val="00D20ABA"/>
    <w:rsid w:val="00D21456"/>
    <w:rsid w:val="00D21FC8"/>
    <w:rsid w:val="00D23A36"/>
    <w:rsid w:val="00D241AD"/>
    <w:rsid w:val="00D24277"/>
    <w:rsid w:val="00D25015"/>
    <w:rsid w:val="00D2538B"/>
    <w:rsid w:val="00D2690E"/>
    <w:rsid w:val="00D26E61"/>
    <w:rsid w:val="00D27141"/>
    <w:rsid w:val="00D274FA"/>
    <w:rsid w:val="00D314BD"/>
    <w:rsid w:val="00D3168D"/>
    <w:rsid w:val="00D327E1"/>
    <w:rsid w:val="00D33CB3"/>
    <w:rsid w:val="00D36413"/>
    <w:rsid w:val="00D36DDD"/>
    <w:rsid w:val="00D37054"/>
    <w:rsid w:val="00D370A0"/>
    <w:rsid w:val="00D37B76"/>
    <w:rsid w:val="00D403C6"/>
    <w:rsid w:val="00D41DE8"/>
    <w:rsid w:val="00D432C5"/>
    <w:rsid w:val="00D44D09"/>
    <w:rsid w:val="00D45521"/>
    <w:rsid w:val="00D50278"/>
    <w:rsid w:val="00D50B10"/>
    <w:rsid w:val="00D5237A"/>
    <w:rsid w:val="00D548E6"/>
    <w:rsid w:val="00D55992"/>
    <w:rsid w:val="00D56400"/>
    <w:rsid w:val="00D57284"/>
    <w:rsid w:val="00D60E48"/>
    <w:rsid w:val="00D60E90"/>
    <w:rsid w:val="00D6213C"/>
    <w:rsid w:val="00D62198"/>
    <w:rsid w:val="00D62208"/>
    <w:rsid w:val="00D6233D"/>
    <w:rsid w:val="00D632EA"/>
    <w:rsid w:val="00D63698"/>
    <w:rsid w:val="00D656C9"/>
    <w:rsid w:val="00D65866"/>
    <w:rsid w:val="00D663CA"/>
    <w:rsid w:val="00D67A2B"/>
    <w:rsid w:val="00D70C5C"/>
    <w:rsid w:val="00D717B8"/>
    <w:rsid w:val="00D7312E"/>
    <w:rsid w:val="00D7340B"/>
    <w:rsid w:val="00D74BC8"/>
    <w:rsid w:val="00D757B4"/>
    <w:rsid w:val="00D7625F"/>
    <w:rsid w:val="00D762D4"/>
    <w:rsid w:val="00D76B5E"/>
    <w:rsid w:val="00D76D4F"/>
    <w:rsid w:val="00D82C35"/>
    <w:rsid w:val="00D82DE4"/>
    <w:rsid w:val="00D85947"/>
    <w:rsid w:val="00D90C11"/>
    <w:rsid w:val="00D90E6B"/>
    <w:rsid w:val="00D934B3"/>
    <w:rsid w:val="00D9358A"/>
    <w:rsid w:val="00D93C5A"/>
    <w:rsid w:val="00D95361"/>
    <w:rsid w:val="00D973F4"/>
    <w:rsid w:val="00DA0C81"/>
    <w:rsid w:val="00DA1AA6"/>
    <w:rsid w:val="00DA217A"/>
    <w:rsid w:val="00DA2987"/>
    <w:rsid w:val="00DA39B9"/>
    <w:rsid w:val="00DA472B"/>
    <w:rsid w:val="00DA531F"/>
    <w:rsid w:val="00DA6105"/>
    <w:rsid w:val="00DB0E0F"/>
    <w:rsid w:val="00DB1FB4"/>
    <w:rsid w:val="00DB36FB"/>
    <w:rsid w:val="00DB3799"/>
    <w:rsid w:val="00DB4B21"/>
    <w:rsid w:val="00DB6780"/>
    <w:rsid w:val="00DC01FF"/>
    <w:rsid w:val="00DC0B4D"/>
    <w:rsid w:val="00DC0D57"/>
    <w:rsid w:val="00DC17EA"/>
    <w:rsid w:val="00DC1A4B"/>
    <w:rsid w:val="00DC2D83"/>
    <w:rsid w:val="00DC505C"/>
    <w:rsid w:val="00DC5BAB"/>
    <w:rsid w:val="00DC72FD"/>
    <w:rsid w:val="00DD045F"/>
    <w:rsid w:val="00DD064E"/>
    <w:rsid w:val="00DD2A8E"/>
    <w:rsid w:val="00DD3265"/>
    <w:rsid w:val="00DD352B"/>
    <w:rsid w:val="00DD3AA0"/>
    <w:rsid w:val="00DD3F6B"/>
    <w:rsid w:val="00DD5A21"/>
    <w:rsid w:val="00DD63F8"/>
    <w:rsid w:val="00DD672B"/>
    <w:rsid w:val="00DE0D77"/>
    <w:rsid w:val="00DE1A9B"/>
    <w:rsid w:val="00DE1EFA"/>
    <w:rsid w:val="00DE1FF5"/>
    <w:rsid w:val="00DE4A46"/>
    <w:rsid w:val="00DE7A55"/>
    <w:rsid w:val="00DF01DA"/>
    <w:rsid w:val="00DF13B7"/>
    <w:rsid w:val="00DF23B7"/>
    <w:rsid w:val="00DF4F3C"/>
    <w:rsid w:val="00DF5BBE"/>
    <w:rsid w:val="00DF5CC5"/>
    <w:rsid w:val="00DF69D8"/>
    <w:rsid w:val="00DF6EBD"/>
    <w:rsid w:val="00E01068"/>
    <w:rsid w:val="00E013F0"/>
    <w:rsid w:val="00E01850"/>
    <w:rsid w:val="00E023C9"/>
    <w:rsid w:val="00E03DBC"/>
    <w:rsid w:val="00E050D4"/>
    <w:rsid w:val="00E06CF0"/>
    <w:rsid w:val="00E1001D"/>
    <w:rsid w:val="00E10597"/>
    <w:rsid w:val="00E13AF7"/>
    <w:rsid w:val="00E1447D"/>
    <w:rsid w:val="00E152FB"/>
    <w:rsid w:val="00E15B98"/>
    <w:rsid w:val="00E15C0B"/>
    <w:rsid w:val="00E177D3"/>
    <w:rsid w:val="00E2021A"/>
    <w:rsid w:val="00E224B6"/>
    <w:rsid w:val="00E23669"/>
    <w:rsid w:val="00E236F2"/>
    <w:rsid w:val="00E238DB"/>
    <w:rsid w:val="00E23D8A"/>
    <w:rsid w:val="00E24E64"/>
    <w:rsid w:val="00E261BC"/>
    <w:rsid w:val="00E31FE6"/>
    <w:rsid w:val="00E325CB"/>
    <w:rsid w:val="00E32649"/>
    <w:rsid w:val="00E34110"/>
    <w:rsid w:val="00E343B4"/>
    <w:rsid w:val="00E3538E"/>
    <w:rsid w:val="00E35840"/>
    <w:rsid w:val="00E35925"/>
    <w:rsid w:val="00E41424"/>
    <w:rsid w:val="00E424F0"/>
    <w:rsid w:val="00E42B49"/>
    <w:rsid w:val="00E43649"/>
    <w:rsid w:val="00E43B1F"/>
    <w:rsid w:val="00E44686"/>
    <w:rsid w:val="00E45A58"/>
    <w:rsid w:val="00E47C66"/>
    <w:rsid w:val="00E50A22"/>
    <w:rsid w:val="00E50DAC"/>
    <w:rsid w:val="00E51083"/>
    <w:rsid w:val="00E52885"/>
    <w:rsid w:val="00E54F9C"/>
    <w:rsid w:val="00E5564E"/>
    <w:rsid w:val="00E57A85"/>
    <w:rsid w:val="00E628E5"/>
    <w:rsid w:val="00E6379B"/>
    <w:rsid w:val="00E643B7"/>
    <w:rsid w:val="00E64B33"/>
    <w:rsid w:val="00E64E26"/>
    <w:rsid w:val="00E65418"/>
    <w:rsid w:val="00E65AB9"/>
    <w:rsid w:val="00E67803"/>
    <w:rsid w:val="00E7141B"/>
    <w:rsid w:val="00E715FA"/>
    <w:rsid w:val="00E719C0"/>
    <w:rsid w:val="00E71B84"/>
    <w:rsid w:val="00E7327B"/>
    <w:rsid w:val="00E7350F"/>
    <w:rsid w:val="00E73F87"/>
    <w:rsid w:val="00E7437C"/>
    <w:rsid w:val="00E74A72"/>
    <w:rsid w:val="00E76227"/>
    <w:rsid w:val="00E765E1"/>
    <w:rsid w:val="00E76AB4"/>
    <w:rsid w:val="00E7701D"/>
    <w:rsid w:val="00E7740F"/>
    <w:rsid w:val="00E8067A"/>
    <w:rsid w:val="00E813AE"/>
    <w:rsid w:val="00E82513"/>
    <w:rsid w:val="00E83827"/>
    <w:rsid w:val="00E83D6E"/>
    <w:rsid w:val="00E83EE6"/>
    <w:rsid w:val="00E84130"/>
    <w:rsid w:val="00E84D6E"/>
    <w:rsid w:val="00E8685E"/>
    <w:rsid w:val="00E87478"/>
    <w:rsid w:val="00E8786B"/>
    <w:rsid w:val="00E87D04"/>
    <w:rsid w:val="00E92813"/>
    <w:rsid w:val="00E92F8B"/>
    <w:rsid w:val="00E95369"/>
    <w:rsid w:val="00E95F7E"/>
    <w:rsid w:val="00EA08AB"/>
    <w:rsid w:val="00EA4B16"/>
    <w:rsid w:val="00EA5577"/>
    <w:rsid w:val="00EA61C1"/>
    <w:rsid w:val="00EA768B"/>
    <w:rsid w:val="00EA7E7B"/>
    <w:rsid w:val="00EB1ABE"/>
    <w:rsid w:val="00EB33BE"/>
    <w:rsid w:val="00EB4B3B"/>
    <w:rsid w:val="00EB5446"/>
    <w:rsid w:val="00EB6351"/>
    <w:rsid w:val="00EB6593"/>
    <w:rsid w:val="00EC07FB"/>
    <w:rsid w:val="00EC0DDB"/>
    <w:rsid w:val="00EC1D43"/>
    <w:rsid w:val="00EC1DBA"/>
    <w:rsid w:val="00EC485C"/>
    <w:rsid w:val="00EC5979"/>
    <w:rsid w:val="00EC6ABD"/>
    <w:rsid w:val="00ED00A5"/>
    <w:rsid w:val="00ED051D"/>
    <w:rsid w:val="00ED4CBD"/>
    <w:rsid w:val="00ED52DC"/>
    <w:rsid w:val="00EE0193"/>
    <w:rsid w:val="00EE377B"/>
    <w:rsid w:val="00EE4130"/>
    <w:rsid w:val="00EE43CA"/>
    <w:rsid w:val="00EE67B0"/>
    <w:rsid w:val="00EE7BD7"/>
    <w:rsid w:val="00EF10E2"/>
    <w:rsid w:val="00EF18A7"/>
    <w:rsid w:val="00EF2751"/>
    <w:rsid w:val="00EF316E"/>
    <w:rsid w:val="00EF317A"/>
    <w:rsid w:val="00EF39F7"/>
    <w:rsid w:val="00EF50F4"/>
    <w:rsid w:val="00EF56CD"/>
    <w:rsid w:val="00F00888"/>
    <w:rsid w:val="00F046A3"/>
    <w:rsid w:val="00F04EAE"/>
    <w:rsid w:val="00F0721F"/>
    <w:rsid w:val="00F076E3"/>
    <w:rsid w:val="00F07822"/>
    <w:rsid w:val="00F10E36"/>
    <w:rsid w:val="00F10F49"/>
    <w:rsid w:val="00F11BC5"/>
    <w:rsid w:val="00F12416"/>
    <w:rsid w:val="00F12853"/>
    <w:rsid w:val="00F1330F"/>
    <w:rsid w:val="00F1336F"/>
    <w:rsid w:val="00F136AB"/>
    <w:rsid w:val="00F13D27"/>
    <w:rsid w:val="00F13D35"/>
    <w:rsid w:val="00F14552"/>
    <w:rsid w:val="00F14CBF"/>
    <w:rsid w:val="00F155EB"/>
    <w:rsid w:val="00F15C9B"/>
    <w:rsid w:val="00F15ED8"/>
    <w:rsid w:val="00F1628E"/>
    <w:rsid w:val="00F17215"/>
    <w:rsid w:val="00F17412"/>
    <w:rsid w:val="00F253CB"/>
    <w:rsid w:val="00F2601E"/>
    <w:rsid w:val="00F27DF1"/>
    <w:rsid w:val="00F27E7C"/>
    <w:rsid w:val="00F30240"/>
    <w:rsid w:val="00F31A55"/>
    <w:rsid w:val="00F323E5"/>
    <w:rsid w:val="00F3375E"/>
    <w:rsid w:val="00F3531D"/>
    <w:rsid w:val="00F353B7"/>
    <w:rsid w:val="00F364B3"/>
    <w:rsid w:val="00F36A68"/>
    <w:rsid w:val="00F4016F"/>
    <w:rsid w:val="00F418C8"/>
    <w:rsid w:val="00F432F4"/>
    <w:rsid w:val="00F437DA"/>
    <w:rsid w:val="00F43ECD"/>
    <w:rsid w:val="00F44A49"/>
    <w:rsid w:val="00F44E85"/>
    <w:rsid w:val="00F4511F"/>
    <w:rsid w:val="00F4569C"/>
    <w:rsid w:val="00F45CD9"/>
    <w:rsid w:val="00F46A99"/>
    <w:rsid w:val="00F46B1A"/>
    <w:rsid w:val="00F47AB7"/>
    <w:rsid w:val="00F500FF"/>
    <w:rsid w:val="00F50EE9"/>
    <w:rsid w:val="00F514F9"/>
    <w:rsid w:val="00F520AD"/>
    <w:rsid w:val="00F5256D"/>
    <w:rsid w:val="00F52D34"/>
    <w:rsid w:val="00F53102"/>
    <w:rsid w:val="00F535D8"/>
    <w:rsid w:val="00F53BA7"/>
    <w:rsid w:val="00F55301"/>
    <w:rsid w:val="00F55757"/>
    <w:rsid w:val="00F557F5"/>
    <w:rsid w:val="00F562A2"/>
    <w:rsid w:val="00F56633"/>
    <w:rsid w:val="00F568E5"/>
    <w:rsid w:val="00F57244"/>
    <w:rsid w:val="00F579F0"/>
    <w:rsid w:val="00F6034A"/>
    <w:rsid w:val="00F608EB"/>
    <w:rsid w:val="00F60E5A"/>
    <w:rsid w:val="00F61234"/>
    <w:rsid w:val="00F62917"/>
    <w:rsid w:val="00F6298A"/>
    <w:rsid w:val="00F63070"/>
    <w:rsid w:val="00F637D4"/>
    <w:rsid w:val="00F648A7"/>
    <w:rsid w:val="00F64BE4"/>
    <w:rsid w:val="00F65488"/>
    <w:rsid w:val="00F65E8D"/>
    <w:rsid w:val="00F665BC"/>
    <w:rsid w:val="00F6680A"/>
    <w:rsid w:val="00F67247"/>
    <w:rsid w:val="00F673BC"/>
    <w:rsid w:val="00F70623"/>
    <w:rsid w:val="00F70E49"/>
    <w:rsid w:val="00F71D25"/>
    <w:rsid w:val="00F757A5"/>
    <w:rsid w:val="00F763F1"/>
    <w:rsid w:val="00F76494"/>
    <w:rsid w:val="00F76714"/>
    <w:rsid w:val="00F770DC"/>
    <w:rsid w:val="00F8073F"/>
    <w:rsid w:val="00F8087D"/>
    <w:rsid w:val="00F80946"/>
    <w:rsid w:val="00F81041"/>
    <w:rsid w:val="00F8472A"/>
    <w:rsid w:val="00F8532D"/>
    <w:rsid w:val="00F8725D"/>
    <w:rsid w:val="00F8776A"/>
    <w:rsid w:val="00F905B0"/>
    <w:rsid w:val="00F9084B"/>
    <w:rsid w:val="00F91B82"/>
    <w:rsid w:val="00F9515B"/>
    <w:rsid w:val="00F95324"/>
    <w:rsid w:val="00F9536C"/>
    <w:rsid w:val="00F95CE0"/>
    <w:rsid w:val="00F96499"/>
    <w:rsid w:val="00F96F19"/>
    <w:rsid w:val="00FA15C6"/>
    <w:rsid w:val="00FA2B44"/>
    <w:rsid w:val="00FA4ABF"/>
    <w:rsid w:val="00FA5CF4"/>
    <w:rsid w:val="00FA65D6"/>
    <w:rsid w:val="00FA6ECC"/>
    <w:rsid w:val="00FB0FDE"/>
    <w:rsid w:val="00FB241D"/>
    <w:rsid w:val="00FB30A0"/>
    <w:rsid w:val="00FB3484"/>
    <w:rsid w:val="00FB40C6"/>
    <w:rsid w:val="00FB456A"/>
    <w:rsid w:val="00FB54ED"/>
    <w:rsid w:val="00FB555B"/>
    <w:rsid w:val="00FB582A"/>
    <w:rsid w:val="00FB6569"/>
    <w:rsid w:val="00FB6A14"/>
    <w:rsid w:val="00FB7040"/>
    <w:rsid w:val="00FB77D1"/>
    <w:rsid w:val="00FC0CFF"/>
    <w:rsid w:val="00FC140D"/>
    <w:rsid w:val="00FC158A"/>
    <w:rsid w:val="00FC2468"/>
    <w:rsid w:val="00FC2783"/>
    <w:rsid w:val="00FC2ECC"/>
    <w:rsid w:val="00FC3099"/>
    <w:rsid w:val="00FC3897"/>
    <w:rsid w:val="00FC3D46"/>
    <w:rsid w:val="00FC41C2"/>
    <w:rsid w:val="00FC4642"/>
    <w:rsid w:val="00FC5C03"/>
    <w:rsid w:val="00FD0115"/>
    <w:rsid w:val="00FD0DAF"/>
    <w:rsid w:val="00FD0F48"/>
    <w:rsid w:val="00FD2789"/>
    <w:rsid w:val="00FD3930"/>
    <w:rsid w:val="00FD3C34"/>
    <w:rsid w:val="00FD43E2"/>
    <w:rsid w:val="00FD4E16"/>
    <w:rsid w:val="00FD65FE"/>
    <w:rsid w:val="00FD6C9F"/>
    <w:rsid w:val="00FD713F"/>
    <w:rsid w:val="00FD7201"/>
    <w:rsid w:val="00FE04D3"/>
    <w:rsid w:val="00FE066E"/>
    <w:rsid w:val="00FE08FE"/>
    <w:rsid w:val="00FE0923"/>
    <w:rsid w:val="00FE40A1"/>
    <w:rsid w:val="00FE4686"/>
    <w:rsid w:val="00FE4B25"/>
    <w:rsid w:val="00FE56B4"/>
    <w:rsid w:val="00FE5A5B"/>
    <w:rsid w:val="00FE5E80"/>
    <w:rsid w:val="00FE604A"/>
    <w:rsid w:val="00FF2219"/>
    <w:rsid w:val="00FF52C7"/>
    <w:rsid w:val="00FF6BA1"/>
    <w:rsid w:val="00FF7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Dat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lang w:eastAsia="en-US"/>
    </w:rPr>
  </w:style>
  <w:style w:type="paragraph" w:styleId="Heading1">
    <w:name w:val="heading 1"/>
    <w:basedOn w:val="Normal"/>
    <w:next w:val="Normal"/>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link w:val="Heading3Char"/>
    <w:qFormat/>
    <w:rsid w:val="00A643E0"/>
    <w:pPr>
      <w:keepNext/>
      <w:spacing w:before="120" w:after="240"/>
      <w:outlineLvl w:val="2"/>
    </w:pPr>
    <w:rPr>
      <w:rFonts w:ascii="Arial" w:hAnsi="Arial" w:cs="Arial"/>
      <w:b/>
      <w:bCs/>
      <w:sz w:val="30"/>
      <w:szCs w:val="30"/>
    </w:rPr>
  </w:style>
  <w:style w:type="paragraph" w:styleId="Heading4">
    <w:name w:val="heading 4"/>
    <w:basedOn w:val="Normal"/>
    <w:next w:val="Normal"/>
    <w:link w:val="Heading4Char"/>
    <w:unhideWhenUsed/>
    <w:qFormat/>
    <w:rsid w:val="00FD2789"/>
    <w:pPr>
      <w:keepNext/>
      <w:spacing w:before="240" w:after="60"/>
      <w:outlineLvl w:val="3"/>
    </w:pPr>
    <w:rPr>
      <w:rFonts w:ascii="Arial" w:hAnsi="Arial"/>
      <w:bCs/>
      <w:sz w:val="26"/>
      <w:szCs w:val="26"/>
      <w:lang w:eastAsia="en-AU"/>
    </w:rPr>
  </w:style>
  <w:style w:type="paragraph" w:styleId="Heading5">
    <w:name w:val="heading 5"/>
    <w:basedOn w:val="Normal"/>
    <w:next w:val="Normal"/>
    <w:link w:val="Heading5Char"/>
    <w:unhideWhenUsed/>
    <w:qFormat/>
    <w:rsid w:val="00B15C6A"/>
    <w:pPr>
      <w:spacing w:before="240" w:after="60"/>
      <w:outlineLvl w:val="4"/>
    </w:pPr>
    <w:rPr>
      <w:rFonts w:ascii="Arial" w:eastAsiaTheme="minorEastAsia" w:hAnsi="Arial" w:cs="Arial"/>
      <w:bCs/>
      <w:i/>
      <w:i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autoRedefine/>
    <w:rsid w:val="00743015"/>
    <w:pPr>
      <w:numPr>
        <w:numId w:val="2"/>
      </w:numPr>
      <w:spacing w:before="240" w:after="240"/>
    </w:pPr>
    <w:rPr>
      <w:rFonts w:ascii="Arial" w:hAnsi="Arial" w:cs="Arial"/>
      <w:sz w:val="22"/>
      <w:szCs w:val="22"/>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4Char">
    <w:name w:val="Heading 4 Char"/>
    <w:link w:val="Heading4"/>
    <w:rsid w:val="00FD2789"/>
    <w:rPr>
      <w:rFonts w:ascii="Arial" w:hAnsi="Arial"/>
      <w:bCs/>
      <w:sz w:val="26"/>
      <w:szCs w:val="26"/>
    </w:rPr>
  </w:style>
  <w:style w:type="paragraph" w:customStyle="1" w:styleId="NormalParagraph">
    <w:name w:val="Normal Paragraph"/>
    <w:basedOn w:val="Numbered"/>
    <w:link w:val="NormalParagraphChar"/>
    <w:qFormat/>
    <w:rsid w:val="00987BCF"/>
    <w:pPr>
      <w:spacing w:before="120" w:after="120"/>
    </w:pPr>
  </w:style>
  <w:style w:type="paragraph" w:styleId="ListParagraph">
    <w:name w:val="List Paragraph"/>
    <w:basedOn w:val="ListBullet"/>
    <w:uiPriority w:val="34"/>
    <w:qFormat/>
    <w:rsid w:val="00A42D93"/>
    <w:pPr>
      <w:numPr>
        <w:numId w:val="3"/>
      </w:numPr>
      <w:tabs>
        <w:tab w:val="left" w:pos="993"/>
        <w:tab w:val="left" w:pos="1134"/>
      </w:tabs>
      <w:spacing w:before="120" w:after="120" w:line="360" w:lineRule="auto"/>
      <w:ind w:left="992" w:hanging="425"/>
    </w:pPr>
    <w:rPr>
      <w:rFonts w:ascii="Arial" w:hAnsi="Arial"/>
      <w:sz w:val="22"/>
    </w:rPr>
  </w:style>
  <w:style w:type="character" w:customStyle="1" w:styleId="FooterChar">
    <w:name w:val="Footer Char"/>
    <w:link w:val="Footer"/>
    <w:uiPriority w:val="99"/>
    <w:rsid w:val="00497688"/>
    <w:rPr>
      <w:sz w:val="24"/>
      <w:szCs w:val="24"/>
      <w:lang w:eastAsia="en-US"/>
    </w:rPr>
  </w:style>
  <w:style w:type="paragraph" w:styleId="ListBullet">
    <w:name w:val="List Bullet"/>
    <w:basedOn w:val="Normal"/>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link w:val="Date"/>
    <w:rsid w:val="00E23669"/>
    <w:rPr>
      <w:rFonts w:ascii="Arial" w:hAnsi="Arial" w:cs="Arial"/>
      <w:b/>
      <w:sz w:val="28"/>
      <w:szCs w:val="28"/>
      <w:lang w:eastAsia="en-US"/>
    </w:rPr>
  </w:style>
  <w:style w:type="paragraph" w:styleId="BalloonText">
    <w:name w:val="Balloon Text"/>
    <w:basedOn w:val="Normal"/>
    <w:link w:val="BalloonTextChar"/>
    <w:rsid w:val="002B61E7"/>
    <w:rPr>
      <w:rFonts w:ascii="Tahoma" w:hAnsi="Tahoma" w:cs="Tahoma"/>
      <w:sz w:val="16"/>
      <w:szCs w:val="16"/>
    </w:rPr>
  </w:style>
  <w:style w:type="character" w:customStyle="1" w:styleId="BalloonTextChar">
    <w:name w:val="Balloon Text Char"/>
    <w:link w:val="BalloonText"/>
    <w:rsid w:val="002B61E7"/>
    <w:rPr>
      <w:rFonts w:ascii="Tahoma" w:hAnsi="Tahoma" w:cs="Tahoma"/>
      <w:sz w:val="16"/>
      <w:szCs w:val="16"/>
      <w:lang w:eastAsia="en-US"/>
    </w:rPr>
  </w:style>
  <w:style w:type="paragraph" w:customStyle="1" w:styleId="commentbox">
    <w:name w:val="comment box"/>
    <w:basedOn w:val="NormalParagraph"/>
    <w:link w:val="commentboxChar"/>
    <w:qFormat/>
    <w:rsid w:val="00E813AE"/>
    <w:pPr>
      <w:numPr>
        <w:numId w:val="0"/>
      </w:numPr>
      <w:shd w:val="clear" w:color="auto" w:fill="D9D9D9"/>
      <w:spacing w:before="240" w:after="240"/>
    </w:pPr>
  </w:style>
  <w:style w:type="paragraph" w:customStyle="1" w:styleId="ABCList">
    <w:name w:val="ABC List"/>
    <w:qFormat/>
    <w:rsid w:val="002314C6"/>
    <w:pPr>
      <w:numPr>
        <w:numId w:val="4"/>
      </w:numPr>
      <w:spacing w:after="120"/>
      <w:ind w:left="992" w:hanging="425"/>
    </w:pPr>
    <w:rPr>
      <w:rFonts w:ascii="Arial" w:hAnsi="Arial"/>
      <w:sz w:val="22"/>
      <w:szCs w:val="24"/>
      <w:lang w:eastAsia="en-US"/>
    </w:rPr>
  </w:style>
  <w:style w:type="paragraph" w:styleId="FootnoteText">
    <w:name w:val="footnote text"/>
    <w:basedOn w:val="Normal"/>
    <w:link w:val="FootnoteTextChar"/>
    <w:uiPriority w:val="99"/>
    <w:rsid w:val="006E75E6"/>
    <w:pPr>
      <w:jc w:val="both"/>
    </w:pPr>
    <w:rPr>
      <w:sz w:val="20"/>
      <w:szCs w:val="20"/>
      <w:lang w:eastAsia="en-AU"/>
    </w:rPr>
  </w:style>
  <w:style w:type="character" w:customStyle="1" w:styleId="FootnoteTextChar">
    <w:name w:val="Footnote Text Char"/>
    <w:basedOn w:val="DefaultParagraphFont"/>
    <w:link w:val="FootnoteText"/>
    <w:uiPriority w:val="99"/>
    <w:rsid w:val="006E75E6"/>
  </w:style>
  <w:style w:type="character" w:styleId="FootnoteReference">
    <w:name w:val="footnote reference"/>
    <w:uiPriority w:val="99"/>
    <w:rsid w:val="006E75E6"/>
    <w:rPr>
      <w:position w:val="6"/>
      <w:sz w:val="16"/>
      <w:szCs w:val="16"/>
    </w:rPr>
  </w:style>
  <w:style w:type="paragraph" w:customStyle="1" w:styleId="123">
    <w:name w:val="1. 2. 3."/>
    <w:basedOn w:val="Normal"/>
    <w:link w:val="123Char"/>
    <w:qFormat/>
    <w:rsid w:val="006E75E6"/>
    <w:pPr>
      <w:spacing w:after="120"/>
    </w:pPr>
    <w:rPr>
      <w:rFonts w:ascii="Arial" w:hAnsi="Arial" w:cs="Arial"/>
      <w:sz w:val="22"/>
      <w:szCs w:val="22"/>
      <w:lang w:eastAsia="en-AU"/>
    </w:rPr>
  </w:style>
  <w:style w:type="character" w:customStyle="1" w:styleId="123Char">
    <w:name w:val="1. 2. 3. Char"/>
    <w:link w:val="123"/>
    <w:rsid w:val="006E75E6"/>
    <w:rPr>
      <w:rFonts w:ascii="Arial" w:hAnsi="Arial" w:cs="Arial"/>
      <w:sz w:val="22"/>
      <w:szCs w:val="22"/>
    </w:rPr>
  </w:style>
  <w:style w:type="character" w:styleId="SubtleEmphasis">
    <w:name w:val="Subtle Emphasis"/>
    <w:aliases w:val="N2"/>
    <w:uiPriority w:val="19"/>
    <w:qFormat/>
    <w:rsid w:val="006E75E6"/>
  </w:style>
  <w:style w:type="table" w:styleId="TableGrid">
    <w:name w:val="Table Grid"/>
    <w:basedOn w:val="TableNormal"/>
    <w:uiPriority w:val="59"/>
    <w:rsid w:val="004D6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1"/>
    <w:basedOn w:val="123"/>
    <w:uiPriority w:val="1"/>
    <w:qFormat/>
    <w:rsid w:val="003604CD"/>
    <w:pPr>
      <w:numPr>
        <w:numId w:val="7"/>
      </w:numPr>
    </w:pPr>
  </w:style>
  <w:style w:type="paragraph" w:styleId="CommentText">
    <w:name w:val="annotation text"/>
    <w:basedOn w:val="Normal"/>
    <w:link w:val="CommentTextChar"/>
    <w:uiPriority w:val="99"/>
    <w:rsid w:val="000E296B"/>
    <w:rPr>
      <w:sz w:val="20"/>
      <w:szCs w:val="20"/>
      <w:lang w:eastAsia="en-AU"/>
    </w:rPr>
  </w:style>
  <w:style w:type="character" w:customStyle="1" w:styleId="CommentTextChar">
    <w:name w:val="Comment Text Char"/>
    <w:basedOn w:val="DefaultParagraphFont"/>
    <w:link w:val="CommentText"/>
    <w:uiPriority w:val="99"/>
    <w:rsid w:val="000E296B"/>
  </w:style>
  <w:style w:type="character" w:styleId="FollowedHyperlink">
    <w:name w:val="FollowedHyperlink"/>
    <w:rsid w:val="00D717B8"/>
    <w:rPr>
      <w:color w:val="800080"/>
      <w:u w:val="single"/>
    </w:rPr>
  </w:style>
  <w:style w:type="paragraph" w:customStyle="1" w:styleId="abc">
    <w:name w:val="a. b. c."/>
    <w:basedOn w:val="Normal"/>
    <w:link w:val="abcChar"/>
    <w:qFormat/>
    <w:rsid w:val="000B5086"/>
    <w:pPr>
      <w:numPr>
        <w:numId w:val="10"/>
      </w:numPr>
      <w:spacing w:before="120" w:after="200"/>
    </w:pPr>
    <w:rPr>
      <w:rFonts w:ascii="Arial" w:hAnsi="Arial" w:cs="Arial"/>
      <w:sz w:val="22"/>
      <w:szCs w:val="22"/>
      <w:lang w:eastAsia="en-AU"/>
    </w:rPr>
  </w:style>
  <w:style w:type="character" w:customStyle="1" w:styleId="abcChar">
    <w:name w:val="a. b. c. Char"/>
    <w:link w:val="abc"/>
    <w:rsid w:val="00CF2B5D"/>
    <w:rPr>
      <w:rFonts w:ascii="Arial" w:hAnsi="Arial" w:cs="Arial"/>
      <w:sz w:val="22"/>
      <w:szCs w:val="22"/>
    </w:rPr>
  </w:style>
  <w:style w:type="character" w:styleId="CommentReference">
    <w:name w:val="annotation reference"/>
    <w:rsid w:val="00E8067A"/>
    <w:rPr>
      <w:sz w:val="16"/>
      <w:szCs w:val="16"/>
    </w:rPr>
  </w:style>
  <w:style w:type="paragraph" w:styleId="CommentSubject">
    <w:name w:val="annotation subject"/>
    <w:basedOn w:val="CommentText"/>
    <w:next w:val="CommentText"/>
    <w:link w:val="CommentSubjectChar"/>
    <w:rsid w:val="00E8067A"/>
    <w:rPr>
      <w:b/>
      <w:bCs/>
      <w:lang w:eastAsia="en-US"/>
    </w:rPr>
  </w:style>
  <w:style w:type="character" w:customStyle="1" w:styleId="CommentSubjectChar">
    <w:name w:val="Comment Subject Char"/>
    <w:link w:val="CommentSubject"/>
    <w:rsid w:val="00E8067A"/>
    <w:rPr>
      <w:b/>
      <w:bCs/>
      <w:lang w:eastAsia="en-US"/>
    </w:rPr>
  </w:style>
  <w:style w:type="paragraph" w:styleId="Revision">
    <w:name w:val="Revision"/>
    <w:hidden/>
    <w:uiPriority w:val="99"/>
    <w:semiHidden/>
    <w:rsid w:val="00C8365D"/>
    <w:rPr>
      <w:sz w:val="24"/>
      <w:szCs w:val="24"/>
      <w:lang w:eastAsia="en-US"/>
    </w:rPr>
  </w:style>
  <w:style w:type="paragraph" w:styleId="Caption">
    <w:name w:val="caption"/>
    <w:basedOn w:val="Normal"/>
    <w:next w:val="Normal"/>
    <w:uiPriority w:val="35"/>
    <w:unhideWhenUsed/>
    <w:qFormat/>
    <w:rsid w:val="00DD672B"/>
    <w:pPr>
      <w:keepNext/>
      <w:spacing w:after="120"/>
      <w:ind w:left="284"/>
    </w:pPr>
    <w:rPr>
      <w:rFonts w:ascii="Arial" w:hAnsi="Arial" w:cs="Arial"/>
      <w:b/>
      <w:bCs/>
      <w:sz w:val="22"/>
      <w:szCs w:val="22"/>
      <w:lang w:eastAsia="en-AU"/>
    </w:rPr>
  </w:style>
  <w:style w:type="character" w:customStyle="1" w:styleId="Heading5Char">
    <w:name w:val="Heading 5 Char"/>
    <w:basedOn w:val="DefaultParagraphFont"/>
    <w:link w:val="Heading5"/>
    <w:rsid w:val="00B15C6A"/>
    <w:rPr>
      <w:rFonts w:ascii="Arial" w:eastAsiaTheme="minorEastAsia" w:hAnsi="Arial" w:cs="Arial"/>
      <w:bCs/>
      <w:i/>
      <w:iCs/>
      <w:sz w:val="22"/>
      <w:szCs w:val="22"/>
    </w:rPr>
  </w:style>
  <w:style w:type="paragraph" w:customStyle="1" w:styleId="Commentbox-question">
    <w:name w:val="Comment box - question"/>
    <w:basedOn w:val="commentbox"/>
    <w:link w:val="Commentbox-questionChar"/>
    <w:rsid w:val="00F535D8"/>
    <w:pPr>
      <w:numPr>
        <w:numId w:val="29"/>
      </w:numPr>
    </w:pPr>
  </w:style>
  <w:style w:type="character" w:customStyle="1" w:styleId="NumberedChar">
    <w:name w:val="Numbered Char"/>
    <w:basedOn w:val="DefaultParagraphFont"/>
    <w:link w:val="Numbered"/>
    <w:rsid w:val="00F535D8"/>
    <w:rPr>
      <w:rFonts w:ascii="Arial" w:hAnsi="Arial" w:cs="Arial"/>
      <w:sz w:val="22"/>
      <w:szCs w:val="22"/>
      <w:lang w:eastAsia="en-US"/>
    </w:rPr>
  </w:style>
  <w:style w:type="character" w:customStyle="1" w:styleId="NormalParagraphChar">
    <w:name w:val="Normal Paragraph Char"/>
    <w:basedOn w:val="NumberedChar"/>
    <w:link w:val="NormalParagraph"/>
    <w:rsid w:val="00F535D8"/>
    <w:rPr>
      <w:rFonts w:ascii="Arial" w:hAnsi="Arial" w:cs="Arial"/>
      <w:sz w:val="22"/>
      <w:szCs w:val="22"/>
      <w:lang w:eastAsia="en-US"/>
    </w:rPr>
  </w:style>
  <w:style w:type="character" w:customStyle="1" w:styleId="commentboxChar">
    <w:name w:val="comment box Char"/>
    <w:basedOn w:val="NormalParagraphChar"/>
    <w:link w:val="commentbox"/>
    <w:rsid w:val="00F535D8"/>
    <w:rPr>
      <w:rFonts w:ascii="Arial" w:hAnsi="Arial" w:cs="Arial"/>
      <w:sz w:val="22"/>
      <w:szCs w:val="22"/>
      <w:shd w:val="clear" w:color="auto" w:fill="D9D9D9"/>
      <w:lang w:eastAsia="en-US"/>
    </w:rPr>
  </w:style>
  <w:style w:type="character" w:customStyle="1" w:styleId="Commentbox-questionChar">
    <w:name w:val="Comment box - question Char"/>
    <w:basedOn w:val="commentboxChar"/>
    <w:link w:val="Commentbox-question"/>
    <w:rsid w:val="00F535D8"/>
    <w:rPr>
      <w:rFonts w:ascii="Arial" w:hAnsi="Arial" w:cs="Arial"/>
      <w:sz w:val="22"/>
      <w:szCs w:val="22"/>
      <w:shd w:val="clear" w:color="auto" w:fill="D9D9D9"/>
      <w:lang w:eastAsia="en-US"/>
    </w:rPr>
  </w:style>
  <w:style w:type="character" w:customStyle="1" w:styleId="Heading3Char">
    <w:name w:val="Heading 3 Char"/>
    <w:link w:val="Heading3"/>
    <w:rsid w:val="00927137"/>
    <w:rPr>
      <w:rFonts w:ascii="Arial" w:hAnsi="Arial" w:cs="Arial"/>
      <w:b/>
      <w:bCs/>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Dat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lang w:eastAsia="en-US"/>
    </w:rPr>
  </w:style>
  <w:style w:type="paragraph" w:styleId="Heading1">
    <w:name w:val="heading 1"/>
    <w:basedOn w:val="Normal"/>
    <w:next w:val="Normal"/>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link w:val="Heading3Char"/>
    <w:qFormat/>
    <w:rsid w:val="00A643E0"/>
    <w:pPr>
      <w:keepNext/>
      <w:spacing w:before="120" w:after="240"/>
      <w:outlineLvl w:val="2"/>
    </w:pPr>
    <w:rPr>
      <w:rFonts w:ascii="Arial" w:hAnsi="Arial" w:cs="Arial"/>
      <w:b/>
      <w:bCs/>
      <w:sz w:val="30"/>
      <w:szCs w:val="30"/>
    </w:rPr>
  </w:style>
  <w:style w:type="paragraph" w:styleId="Heading4">
    <w:name w:val="heading 4"/>
    <w:basedOn w:val="Normal"/>
    <w:next w:val="Normal"/>
    <w:link w:val="Heading4Char"/>
    <w:unhideWhenUsed/>
    <w:qFormat/>
    <w:rsid w:val="00FD2789"/>
    <w:pPr>
      <w:keepNext/>
      <w:spacing w:before="240" w:after="60"/>
      <w:outlineLvl w:val="3"/>
    </w:pPr>
    <w:rPr>
      <w:rFonts w:ascii="Arial" w:hAnsi="Arial"/>
      <w:bCs/>
      <w:sz w:val="26"/>
      <w:szCs w:val="26"/>
      <w:lang w:eastAsia="en-AU"/>
    </w:rPr>
  </w:style>
  <w:style w:type="paragraph" w:styleId="Heading5">
    <w:name w:val="heading 5"/>
    <w:basedOn w:val="Normal"/>
    <w:next w:val="Normal"/>
    <w:link w:val="Heading5Char"/>
    <w:unhideWhenUsed/>
    <w:qFormat/>
    <w:rsid w:val="00B15C6A"/>
    <w:pPr>
      <w:spacing w:before="240" w:after="60"/>
      <w:outlineLvl w:val="4"/>
    </w:pPr>
    <w:rPr>
      <w:rFonts w:ascii="Arial" w:eastAsiaTheme="minorEastAsia" w:hAnsi="Arial" w:cs="Arial"/>
      <w:bCs/>
      <w:i/>
      <w:i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autoRedefine/>
    <w:rsid w:val="00743015"/>
    <w:pPr>
      <w:numPr>
        <w:numId w:val="2"/>
      </w:numPr>
      <w:spacing w:before="240" w:after="240"/>
    </w:pPr>
    <w:rPr>
      <w:rFonts w:ascii="Arial" w:hAnsi="Arial" w:cs="Arial"/>
      <w:sz w:val="22"/>
      <w:szCs w:val="22"/>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4Char">
    <w:name w:val="Heading 4 Char"/>
    <w:link w:val="Heading4"/>
    <w:rsid w:val="00FD2789"/>
    <w:rPr>
      <w:rFonts w:ascii="Arial" w:hAnsi="Arial"/>
      <w:bCs/>
      <w:sz w:val="26"/>
      <w:szCs w:val="26"/>
    </w:rPr>
  </w:style>
  <w:style w:type="paragraph" w:customStyle="1" w:styleId="NormalParagraph">
    <w:name w:val="Normal Paragraph"/>
    <w:basedOn w:val="Numbered"/>
    <w:link w:val="NormalParagraphChar"/>
    <w:qFormat/>
    <w:rsid w:val="00987BCF"/>
    <w:pPr>
      <w:spacing w:before="120" w:after="120"/>
    </w:pPr>
  </w:style>
  <w:style w:type="paragraph" w:styleId="ListParagraph">
    <w:name w:val="List Paragraph"/>
    <w:basedOn w:val="ListBullet"/>
    <w:uiPriority w:val="34"/>
    <w:qFormat/>
    <w:rsid w:val="00A42D93"/>
    <w:pPr>
      <w:numPr>
        <w:numId w:val="3"/>
      </w:numPr>
      <w:tabs>
        <w:tab w:val="left" w:pos="993"/>
        <w:tab w:val="left" w:pos="1134"/>
      </w:tabs>
      <w:spacing w:before="120" w:after="120" w:line="360" w:lineRule="auto"/>
      <w:ind w:left="992" w:hanging="425"/>
    </w:pPr>
    <w:rPr>
      <w:rFonts w:ascii="Arial" w:hAnsi="Arial"/>
      <w:sz w:val="22"/>
    </w:rPr>
  </w:style>
  <w:style w:type="character" w:customStyle="1" w:styleId="FooterChar">
    <w:name w:val="Footer Char"/>
    <w:link w:val="Footer"/>
    <w:uiPriority w:val="99"/>
    <w:rsid w:val="00497688"/>
    <w:rPr>
      <w:sz w:val="24"/>
      <w:szCs w:val="24"/>
      <w:lang w:eastAsia="en-US"/>
    </w:rPr>
  </w:style>
  <w:style w:type="paragraph" w:styleId="ListBullet">
    <w:name w:val="List Bullet"/>
    <w:basedOn w:val="Normal"/>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link w:val="Date"/>
    <w:rsid w:val="00E23669"/>
    <w:rPr>
      <w:rFonts w:ascii="Arial" w:hAnsi="Arial" w:cs="Arial"/>
      <w:b/>
      <w:sz w:val="28"/>
      <w:szCs w:val="28"/>
      <w:lang w:eastAsia="en-US"/>
    </w:rPr>
  </w:style>
  <w:style w:type="paragraph" w:styleId="BalloonText">
    <w:name w:val="Balloon Text"/>
    <w:basedOn w:val="Normal"/>
    <w:link w:val="BalloonTextChar"/>
    <w:rsid w:val="002B61E7"/>
    <w:rPr>
      <w:rFonts w:ascii="Tahoma" w:hAnsi="Tahoma" w:cs="Tahoma"/>
      <w:sz w:val="16"/>
      <w:szCs w:val="16"/>
    </w:rPr>
  </w:style>
  <w:style w:type="character" w:customStyle="1" w:styleId="BalloonTextChar">
    <w:name w:val="Balloon Text Char"/>
    <w:link w:val="BalloonText"/>
    <w:rsid w:val="002B61E7"/>
    <w:rPr>
      <w:rFonts w:ascii="Tahoma" w:hAnsi="Tahoma" w:cs="Tahoma"/>
      <w:sz w:val="16"/>
      <w:szCs w:val="16"/>
      <w:lang w:eastAsia="en-US"/>
    </w:rPr>
  </w:style>
  <w:style w:type="paragraph" w:customStyle="1" w:styleId="commentbox">
    <w:name w:val="comment box"/>
    <w:basedOn w:val="NormalParagraph"/>
    <w:link w:val="commentboxChar"/>
    <w:qFormat/>
    <w:rsid w:val="00E813AE"/>
    <w:pPr>
      <w:numPr>
        <w:numId w:val="0"/>
      </w:numPr>
      <w:shd w:val="clear" w:color="auto" w:fill="D9D9D9"/>
      <w:spacing w:before="240" w:after="240"/>
    </w:pPr>
  </w:style>
  <w:style w:type="paragraph" w:customStyle="1" w:styleId="ABCList">
    <w:name w:val="ABC List"/>
    <w:qFormat/>
    <w:rsid w:val="002314C6"/>
    <w:pPr>
      <w:numPr>
        <w:numId w:val="4"/>
      </w:numPr>
      <w:spacing w:after="120"/>
      <w:ind w:left="992" w:hanging="425"/>
    </w:pPr>
    <w:rPr>
      <w:rFonts w:ascii="Arial" w:hAnsi="Arial"/>
      <w:sz w:val="22"/>
      <w:szCs w:val="24"/>
      <w:lang w:eastAsia="en-US"/>
    </w:rPr>
  </w:style>
  <w:style w:type="paragraph" w:styleId="FootnoteText">
    <w:name w:val="footnote text"/>
    <w:basedOn w:val="Normal"/>
    <w:link w:val="FootnoteTextChar"/>
    <w:uiPriority w:val="99"/>
    <w:rsid w:val="006E75E6"/>
    <w:pPr>
      <w:jc w:val="both"/>
    </w:pPr>
    <w:rPr>
      <w:sz w:val="20"/>
      <w:szCs w:val="20"/>
      <w:lang w:eastAsia="en-AU"/>
    </w:rPr>
  </w:style>
  <w:style w:type="character" w:customStyle="1" w:styleId="FootnoteTextChar">
    <w:name w:val="Footnote Text Char"/>
    <w:basedOn w:val="DefaultParagraphFont"/>
    <w:link w:val="FootnoteText"/>
    <w:uiPriority w:val="99"/>
    <w:rsid w:val="006E75E6"/>
  </w:style>
  <w:style w:type="character" w:styleId="FootnoteReference">
    <w:name w:val="footnote reference"/>
    <w:uiPriority w:val="99"/>
    <w:rsid w:val="006E75E6"/>
    <w:rPr>
      <w:position w:val="6"/>
      <w:sz w:val="16"/>
      <w:szCs w:val="16"/>
    </w:rPr>
  </w:style>
  <w:style w:type="paragraph" w:customStyle="1" w:styleId="123">
    <w:name w:val="1. 2. 3."/>
    <w:basedOn w:val="Normal"/>
    <w:link w:val="123Char"/>
    <w:qFormat/>
    <w:rsid w:val="006E75E6"/>
    <w:pPr>
      <w:spacing w:after="120"/>
    </w:pPr>
    <w:rPr>
      <w:rFonts w:ascii="Arial" w:hAnsi="Arial" w:cs="Arial"/>
      <w:sz w:val="22"/>
      <w:szCs w:val="22"/>
      <w:lang w:eastAsia="en-AU"/>
    </w:rPr>
  </w:style>
  <w:style w:type="character" w:customStyle="1" w:styleId="123Char">
    <w:name w:val="1. 2. 3. Char"/>
    <w:link w:val="123"/>
    <w:rsid w:val="006E75E6"/>
    <w:rPr>
      <w:rFonts w:ascii="Arial" w:hAnsi="Arial" w:cs="Arial"/>
      <w:sz w:val="22"/>
      <w:szCs w:val="22"/>
    </w:rPr>
  </w:style>
  <w:style w:type="character" w:styleId="SubtleEmphasis">
    <w:name w:val="Subtle Emphasis"/>
    <w:aliases w:val="N2"/>
    <w:uiPriority w:val="19"/>
    <w:qFormat/>
    <w:rsid w:val="006E75E6"/>
  </w:style>
  <w:style w:type="table" w:styleId="TableGrid">
    <w:name w:val="Table Grid"/>
    <w:basedOn w:val="TableNormal"/>
    <w:uiPriority w:val="59"/>
    <w:rsid w:val="004D6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1"/>
    <w:basedOn w:val="123"/>
    <w:uiPriority w:val="1"/>
    <w:qFormat/>
    <w:rsid w:val="003604CD"/>
    <w:pPr>
      <w:numPr>
        <w:numId w:val="7"/>
      </w:numPr>
    </w:pPr>
  </w:style>
  <w:style w:type="paragraph" w:styleId="CommentText">
    <w:name w:val="annotation text"/>
    <w:basedOn w:val="Normal"/>
    <w:link w:val="CommentTextChar"/>
    <w:uiPriority w:val="99"/>
    <w:rsid w:val="000E296B"/>
    <w:rPr>
      <w:sz w:val="20"/>
      <w:szCs w:val="20"/>
      <w:lang w:eastAsia="en-AU"/>
    </w:rPr>
  </w:style>
  <w:style w:type="character" w:customStyle="1" w:styleId="CommentTextChar">
    <w:name w:val="Comment Text Char"/>
    <w:basedOn w:val="DefaultParagraphFont"/>
    <w:link w:val="CommentText"/>
    <w:uiPriority w:val="99"/>
    <w:rsid w:val="000E296B"/>
  </w:style>
  <w:style w:type="character" w:styleId="FollowedHyperlink">
    <w:name w:val="FollowedHyperlink"/>
    <w:rsid w:val="00D717B8"/>
    <w:rPr>
      <w:color w:val="800080"/>
      <w:u w:val="single"/>
    </w:rPr>
  </w:style>
  <w:style w:type="paragraph" w:customStyle="1" w:styleId="abc">
    <w:name w:val="a. b. c."/>
    <w:basedOn w:val="Normal"/>
    <w:link w:val="abcChar"/>
    <w:qFormat/>
    <w:rsid w:val="000B5086"/>
    <w:pPr>
      <w:numPr>
        <w:numId w:val="10"/>
      </w:numPr>
      <w:spacing w:before="120" w:after="200"/>
    </w:pPr>
    <w:rPr>
      <w:rFonts w:ascii="Arial" w:hAnsi="Arial" w:cs="Arial"/>
      <w:sz w:val="22"/>
      <w:szCs w:val="22"/>
      <w:lang w:eastAsia="en-AU"/>
    </w:rPr>
  </w:style>
  <w:style w:type="character" w:customStyle="1" w:styleId="abcChar">
    <w:name w:val="a. b. c. Char"/>
    <w:link w:val="abc"/>
    <w:rsid w:val="00CF2B5D"/>
    <w:rPr>
      <w:rFonts w:ascii="Arial" w:hAnsi="Arial" w:cs="Arial"/>
      <w:sz w:val="22"/>
      <w:szCs w:val="22"/>
    </w:rPr>
  </w:style>
  <w:style w:type="character" w:styleId="CommentReference">
    <w:name w:val="annotation reference"/>
    <w:rsid w:val="00E8067A"/>
    <w:rPr>
      <w:sz w:val="16"/>
      <w:szCs w:val="16"/>
    </w:rPr>
  </w:style>
  <w:style w:type="paragraph" w:styleId="CommentSubject">
    <w:name w:val="annotation subject"/>
    <w:basedOn w:val="CommentText"/>
    <w:next w:val="CommentText"/>
    <w:link w:val="CommentSubjectChar"/>
    <w:rsid w:val="00E8067A"/>
    <w:rPr>
      <w:b/>
      <w:bCs/>
      <w:lang w:eastAsia="en-US"/>
    </w:rPr>
  </w:style>
  <w:style w:type="character" w:customStyle="1" w:styleId="CommentSubjectChar">
    <w:name w:val="Comment Subject Char"/>
    <w:link w:val="CommentSubject"/>
    <w:rsid w:val="00E8067A"/>
    <w:rPr>
      <w:b/>
      <w:bCs/>
      <w:lang w:eastAsia="en-US"/>
    </w:rPr>
  </w:style>
  <w:style w:type="paragraph" w:styleId="Revision">
    <w:name w:val="Revision"/>
    <w:hidden/>
    <w:uiPriority w:val="99"/>
    <w:semiHidden/>
    <w:rsid w:val="00C8365D"/>
    <w:rPr>
      <w:sz w:val="24"/>
      <w:szCs w:val="24"/>
      <w:lang w:eastAsia="en-US"/>
    </w:rPr>
  </w:style>
  <w:style w:type="paragraph" w:styleId="Caption">
    <w:name w:val="caption"/>
    <w:basedOn w:val="Normal"/>
    <w:next w:val="Normal"/>
    <w:uiPriority w:val="35"/>
    <w:unhideWhenUsed/>
    <w:qFormat/>
    <w:rsid w:val="00DD672B"/>
    <w:pPr>
      <w:keepNext/>
      <w:spacing w:after="120"/>
      <w:ind w:left="284"/>
    </w:pPr>
    <w:rPr>
      <w:rFonts w:ascii="Arial" w:hAnsi="Arial" w:cs="Arial"/>
      <w:b/>
      <w:bCs/>
      <w:sz w:val="22"/>
      <w:szCs w:val="22"/>
      <w:lang w:eastAsia="en-AU"/>
    </w:rPr>
  </w:style>
  <w:style w:type="character" w:customStyle="1" w:styleId="Heading5Char">
    <w:name w:val="Heading 5 Char"/>
    <w:basedOn w:val="DefaultParagraphFont"/>
    <w:link w:val="Heading5"/>
    <w:rsid w:val="00B15C6A"/>
    <w:rPr>
      <w:rFonts w:ascii="Arial" w:eastAsiaTheme="minorEastAsia" w:hAnsi="Arial" w:cs="Arial"/>
      <w:bCs/>
      <w:i/>
      <w:iCs/>
      <w:sz w:val="22"/>
      <w:szCs w:val="22"/>
    </w:rPr>
  </w:style>
  <w:style w:type="paragraph" w:customStyle="1" w:styleId="Commentbox-question">
    <w:name w:val="Comment box - question"/>
    <w:basedOn w:val="commentbox"/>
    <w:link w:val="Commentbox-questionChar"/>
    <w:rsid w:val="00F535D8"/>
    <w:pPr>
      <w:numPr>
        <w:numId w:val="29"/>
      </w:numPr>
    </w:pPr>
  </w:style>
  <w:style w:type="character" w:customStyle="1" w:styleId="NumberedChar">
    <w:name w:val="Numbered Char"/>
    <w:basedOn w:val="DefaultParagraphFont"/>
    <w:link w:val="Numbered"/>
    <w:rsid w:val="00F535D8"/>
    <w:rPr>
      <w:rFonts w:ascii="Arial" w:hAnsi="Arial" w:cs="Arial"/>
      <w:sz w:val="22"/>
      <w:szCs w:val="22"/>
      <w:lang w:eastAsia="en-US"/>
    </w:rPr>
  </w:style>
  <w:style w:type="character" w:customStyle="1" w:styleId="NormalParagraphChar">
    <w:name w:val="Normal Paragraph Char"/>
    <w:basedOn w:val="NumberedChar"/>
    <w:link w:val="NormalParagraph"/>
    <w:rsid w:val="00F535D8"/>
    <w:rPr>
      <w:rFonts w:ascii="Arial" w:hAnsi="Arial" w:cs="Arial"/>
      <w:sz w:val="22"/>
      <w:szCs w:val="22"/>
      <w:lang w:eastAsia="en-US"/>
    </w:rPr>
  </w:style>
  <w:style w:type="character" w:customStyle="1" w:styleId="commentboxChar">
    <w:name w:val="comment box Char"/>
    <w:basedOn w:val="NormalParagraphChar"/>
    <w:link w:val="commentbox"/>
    <w:rsid w:val="00F535D8"/>
    <w:rPr>
      <w:rFonts w:ascii="Arial" w:hAnsi="Arial" w:cs="Arial"/>
      <w:sz w:val="22"/>
      <w:szCs w:val="22"/>
      <w:shd w:val="clear" w:color="auto" w:fill="D9D9D9"/>
      <w:lang w:eastAsia="en-US"/>
    </w:rPr>
  </w:style>
  <w:style w:type="character" w:customStyle="1" w:styleId="Commentbox-questionChar">
    <w:name w:val="Comment box - question Char"/>
    <w:basedOn w:val="commentboxChar"/>
    <w:link w:val="Commentbox-question"/>
    <w:rsid w:val="00F535D8"/>
    <w:rPr>
      <w:rFonts w:ascii="Arial" w:hAnsi="Arial" w:cs="Arial"/>
      <w:sz w:val="22"/>
      <w:szCs w:val="22"/>
      <w:shd w:val="clear" w:color="auto" w:fill="D9D9D9"/>
      <w:lang w:eastAsia="en-US"/>
    </w:rPr>
  </w:style>
  <w:style w:type="character" w:customStyle="1" w:styleId="Heading3Char">
    <w:name w:val="Heading 3 Char"/>
    <w:link w:val="Heading3"/>
    <w:rsid w:val="00927137"/>
    <w:rPr>
      <w:rFonts w:ascii="Arial" w:hAnsi="Arial" w:cs="Arial"/>
      <w:b/>
      <w:bCs/>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cc.gov.au/processguidelin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ecure.olgr.qld.gov.au/dcm/Gaming" TargetMode="External"/><Relationship Id="rId3" Type="http://schemas.openxmlformats.org/officeDocument/2006/relationships/hyperlink" Target="http://media.reefcasino.com.au/d/reefcasino/media/Pdfs/Targets_Statement_ASX_lodgement.pdf" TargetMode="External"/><Relationship Id="rId7" Type="http://schemas.openxmlformats.org/officeDocument/2006/relationships/hyperlink" Target="http://aquisgreatbarrierreefresort.com/wp-content/uploads/2013/08/130801-Aquis-GBR-Resort-Submission-Overview.pdf" TargetMode="External"/><Relationship Id="rId2" Type="http://schemas.openxmlformats.org/officeDocument/2006/relationships/hyperlink" Target="http://eisdocs.dsdip.qld.gov.au/Active%20Projects/Aquis%20Resort%20at%20the%20Great%20Barrier%20Reef/EIS/Aquis%20EIS_DIGITAL_Chapter%204.pdf" TargetMode="External"/><Relationship Id="rId1" Type="http://schemas.openxmlformats.org/officeDocument/2006/relationships/hyperlink" Target="http://statements.qld.gov.au/Statement/2014/5/27/aquis-and-asf-shortlisted-to-develop-integrated-resorts" TargetMode="External"/><Relationship Id="rId6" Type="http://schemas.openxmlformats.org/officeDocument/2006/relationships/hyperlink" Target="http://eisdocs.dsdip.qld.gov.au/Active%20Projects/Aquis%20Resort%20at%20the%20Great%20Barrier%20Reef/EIS/Aquis%20EIS_DIGITAL_Chapter%2013.pdf" TargetMode="External"/><Relationship Id="rId5" Type="http://schemas.openxmlformats.org/officeDocument/2006/relationships/hyperlink" Target="http://www.olgr.qld.gov.au/__data/assets/pdf_file/0017/250370/AustralianNewZealandGamingMachineNationalStandard.pdf" TargetMode="External"/><Relationship Id="rId4" Type="http://schemas.openxmlformats.org/officeDocument/2006/relationships/hyperlink" Target="http://www.dsdip.qld.gov.au/assessments-and-approvals/projects-environmental-impact-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CFCAB-918A-4104-9CC2-C9D22D16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C87E2EA4.dotm</Template>
  <TotalTime>0</TotalTime>
  <Pages>20</Pages>
  <Words>7186</Words>
  <Characters>37679</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44776</CharactersWithSpaces>
  <SharedDoc>false</SharedDoc>
  <HLinks>
    <vt:vector size="6" baseType="variant">
      <vt:variant>
        <vt:i4>5898250</vt:i4>
      </vt:variant>
      <vt:variant>
        <vt:i4>0</vt:i4>
      </vt:variant>
      <vt:variant>
        <vt:i4>0</vt:i4>
      </vt:variant>
      <vt:variant>
        <vt:i4>5</vt:i4>
      </vt:variant>
      <vt:variant>
        <vt:lpwstr>http://www.accc.gov.au/processguidelines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2014-07-02T08:26:00Z</dcterms:created>
  <dcterms:modified xsi:type="dcterms:W3CDTF">2014-07-02T08:35:00Z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8216107</vt:lpwstr>
  </property>
</Properties>
</file>