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BD" w:rsidRDefault="00334C05" w:rsidP="007C75BD">
      <w:pPr>
        <w:pStyle w:val="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45pt;height:78.1pt">
            <v:imagedata r:id="rId8" o:title="ACCC%20logo%20for%20Word%20documents%20(purple)"/>
          </v:shape>
        </w:pict>
      </w:r>
    </w:p>
    <w:p w:rsidR="007C75BD" w:rsidRPr="000F1353" w:rsidRDefault="007C75BD" w:rsidP="007C75BD">
      <w:pPr>
        <w:pStyle w:val="Heading1"/>
      </w:pPr>
      <w:r w:rsidRPr="000F1353">
        <w:t>Statement of Issues</w:t>
      </w:r>
    </w:p>
    <w:p w:rsidR="007C75BD" w:rsidRPr="00E23669" w:rsidRDefault="007C75BD" w:rsidP="007C75BD">
      <w:pPr>
        <w:pStyle w:val="Date"/>
      </w:pPr>
      <w:r w:rsidRPr="007A0CB7">
        <w:t>10 August 2017</w:t>
      </w:r>
    </w:p>
    <w:p w:rsidR="007C75BD" w:rsidRDefault="007C75BD" w:rsidP="007C75BD">
      <w:pPr>
        <w:pStyle w:val="Heading2"/>
      </w:pPr>
      <w:bookmarkStart w:id="0" w:name="Title"/>
      <w:bookmarkEnd w:id="0"/>
      <w:r>
        <w:t>Camp Australia – proposed merger with Junior Adventures Group</w:t>
      </w:r>
    </w:p>
    <w:p w:rsidR="004C2233" w:rsidRDefault="004C2233" w:rsidP="004C2233">
      <w:pPr>
        <w:pStyle w:val="Heading3"/>
        <w:keepNext w:val="0"/>
      </w:pPr>
      <w:r>
        <w:t>Purpose</w:t>
      </w:r>
    </w:p>
    <w:p w:rsidR="004C2233" w:rsidRPr="0087447A" w:rsidRDefault="004C2233">
      <w:pPr>
        <w:pStyle w:val="Numbered"/>
      </w:pPr>
      <w:r w:rsidRPr="0087447A">
        <w:t>Bain Capital, LP (</w:t>
      </w:r>
      <w:r w:rsidRPr="00B94C0F">
        <w:rPr>
          <w:b/>
        </w:rPr>
        <w:t>Bain</w:t>
      </w:r>
      <w:r w:rsidRPr="006E2500">
        <w:t>), the owner of Camp Australia Pty Ltd (</w:t>
      </w:r>
      <w:r w:rsidRPr="00B94C0F">
        <w:rPr>
          <w:b/>
        </w:rPr>
        <w:t>Camp Australia</w:t>
      </w:r>
      <w:r w:rsidRPr="006E2500">
        <w:t>), is proposing to acquire a part of Advent Private Capital’s (</w:t>
      </w:r>
      <w:r w:rsidRPr="00B94C0F">
        <w:rPr>
          <w:b/>
        </w:rPr>
        <w:t>Advent</w:t>
      </w:r>
      <w:r w:rsidRPr="006E2500">
        <w:t>) shareholding in Junior Adventures Group Pty Ltd (</w:t>
      </w:r>
      <w:r w:rsidRPr="006E2500">
        <w:rPr>
          <w:b/>
        </w:rPr>
        <w:t>JAG</w:t>
      </w:r>
      <w:r w:rsidRPr="006E2500">
        <w:t xml:space="preserve">). The effect of the proposed transaction would be to merge Camp Australia and JAG (with Bain being a majority shareholder in the combined business). </w:t>
      </w:r>
    </w:p>
    <w:p w:rsidR="004C2233" w:rsidRPr="006F5F49" w:rsidRDefault="004C2233">
      <w:pPr>
        <w:pStyle w:val="Numbered"/>
      </w:pPr>
      <w:r>
        <w:t>Camp Australia and JAG supply Out of School Hours Care, which is principally before and after-school care, generally for primary-school children.</w:t>
      </w:r>
    </w:p>
    <w:p w:rsidR="004C2233" w:rsidRPr="006F5F49" w:rsidRDefault="004C2233">
      <w:pPr>
        <w:pStyle w:val="Numbered"/>
      </w:pPr>
      <w:r w:rsidRPr="006F5F49">
        <w:t>This Statement of Issues:</w:t>
      </w:r>
    </w:p>
    <w:p w:rsidR="004C2233" w:rsidRDefault="004C2233" w:rsidP="00226A10">
      <w:pPr>
        <w:pStyle w:val="Bulletpoint"/>
        <w:tabs>
          <w:tab w:val="num" w:pos="1418"/>
        </w:tabs>
        <w:ind w:left="1418" w:hanging="567"/>
      </w:pPr>
      <w:r w:rsidRPr="006F5F49">
        <w:t>gives the Australian Competition and Consumer Commission’s (</w:t>
      </w:r>
      <w:r w:rsidRPr="00A3242A">
        <w:rPr>
          <w:b/>
        </w:rPr>
        <w:t>ACCC</w:t>
      </w:r>
      <w:r w:rsidRPr="006F5F49">
        <w:t>’s) preliminary views on competition issues arising fr</w:t>
      </w:r>
      <w:r w:rsidR="00011B2B">
        <w:t>om the proposed acquisition</w:t>
      </w:r>
    </w:p>
    <w:p w:rsidR="004C2233" w:rsidRDefault="004C2233" w:rsidP="00226A10">
      <w:pPr>
        <w:pStyle w:val="Bulletpoint"/>
        <w:tabs>
          <w:tab w:val="num" w:pos="1418"/>
        </w:tabs>
        <w:ind w:left="1418" w:hanging="567"/>
      </w:pPr>
      <w:r>
        <w:t>identifies areas of further inquiry</w:t>
      </w:r>
    </w:p>
    <w:p w:rsidR="004C2233" w:rsidRDefault="004C2233" w:rsidP="00226A10">
      <w:pPr>
        <w:pStyle w:val="Bulletpoint"/>
        <w:tabs>
          <w:tab w:val="num" w:pos="1418"/>
        </w:tabs>
        <w:ind w:left="1418" w:hanging="567"/>
      </w:pPr>
      <w:proofErr w:type="gramStart"/>
      <w:r>
        <w:t>invites</w:t>
      </w:r>
      <w:proofErr w:type="gramEnd"/>
      <w:r>
        <w:t xml:space="preserve"> interested parties to submit comments and information to assist our assessment of the issues.</w:t>
      </w:r>
    </w:p>
    <w:p w:rsidR="004C2233" w:rsidRDefault="004C2233" w:rsidP="004C2233">
      <w:pPr>
        <w:pStyle w:val="Heading3"/>
        <w:keepNext w:val="0"/>
      </w:pPr>
      <w:r>
        <w:t>Overview of ACCC’s preliminary views</w:t>
      </w:r>
    </w:p>
    <w:p w:rsidR="004C2233" w:rsidRDefault="004C2233">
      <w:pPr>
        <w:pStyle w:val="Numbered"/>
      </w:pPr>
      <w:r w:rsidRPr="00A0349E">
        <w:t xml:space="preserve">The </w:t>
      </w:r>
      <w:r>
        <w:t xml:space="preserve">legal test which the ACCC applies in </w:t>
      </w:r>
      <w:r w:rsidRPr="00A0349E">
        <w:t xml:space="preserve">considering the </w:t>
      </w:r>
      <w:r>
        <w:t xml:space="preserve">proposed </w:t>
      </w:r>
      <w:r w:rsidRPr="00A0349E">
        <w:t xml:space="preserve">acquisition </w:t>
      </w:r>
      <w:r>
        <w:t xml:space="preserve">is in </w:t>
      </w:r>
      <w:r w:rsidRPr="00A0349E">
        <w:t xml:space="preserve">section 50 of the </w:t>
      </w:r>
      <w:r w:rsidRPr="00A0349E">
        <w:rPr>
          <w:i/>
        </w:rPr>
        <w:t>Competition and Consumer Act 2010</w:t>
      </w:r>
      <w:r w:rsidRPr="00A0349E">
        <w:t xml:space="preserve">. </w:t>
      </w:r>
      <w:r>
        <w:t>Section 50 prohibits acquisitions that would have the effect, or be likely to have the effect, of substantially lessening competition in any market.</w:t>
      </w:r>
    </w:p>
    <w:p w:rsidR="004C2233" w:rsidRDefault="004C2233">
      <w:pPr>
        <w:pStyle w:val="Numbered"/>
      </w:pPr>
      <w:r>
        <w:t xml:space="preserve">The ACCC divides its preliminary views into three categories, 'issues of concern', 'issues that may </w:t>
      </w:r>
      <w:proofErr w:type="gramStart"/>
      <w:r>
        <w:t>raise</w:t>
      </w:r>
      <w:proofErr w:type="gramEnd"/>
      <w:r>
        <w:t xml:space="preserve"> concerns' and ‘issues unlikely to raise concerns’. </w:t>
      </w:r>
    </w:p>
    <w:p w:rsidR="004C2233" w:rsidRPr="00B9286A" w:rsidRDefault="004C2233" w:rsidP="00767663">
      <w:pPr>
        <w:pStyle w:val="Heading3"/>
        <w:rPr>
          <w:i/>
          <w:sz w:val="24"/>
          <w:szCs w:val="24"/>
        </w:rPr>
      </w:pPr>
      <w:r w:rsidRPr="00B9286A">
        <w:rPr>
          <w:b w:val="0"/>
          <w:i/>
          <w:sz w:val="24"/>
          <w:szCs w:val="24"/>
        </w:rPr>
        <w:t>Issues of concern</w:t>
      </w:r>
    </w:p>
    <w:p w:rsidR="004C2233" w:rsidRDefault="004C2233">
      <w:pPr>
        <w:pStyle w:val="Numbered"/>
      </w:pPr>
      <w:r>
        <w:t>The ACCC’s primary concern is that the proposed merger is likely to substantially lessen competition for the supply of before and after-school care in New South Wales (</w:t>
      </w:r>
      <w:r w:rsidRPr="00A3242A">
        <w:rPr>
          <w:b/>
        </w:rPr>
        <w:t>NSW</w:t>
      </w:r>
      <w:r>
        <w:t>), Victoria, Queensland and Western Australia (</w:t>
      </w:r>
      <w:r w:rsidRPr="00A3242A">
        <w:rPr>
          <w:b/>
        </w:rPr>
        <w:t>WA</w:t>
      </w:r>
      <w:r>
        <w:t xml:space="preserve">). </w:t>
      </w:r>
    </w:p>
    <w:p w:rsidR="004C2233" w:rsidRDefault="004C2233">
      <w:pPr>
        <w:pStyle w:val="Numbered"/>
      </w:pPr>
      <w:r>
        <w:lastRenderedPageBreak/>
        <w:t>The ACCC’s preliminary view is that:</w:t>
      </w:r>
    </w:p>
    <w:p w:rsidR="004C2233" w:rsidRDefault="004C2233" w:rsidP="00626538">
      <w:pPr>
        <w:pStyle w:val="Bulletpoint"/>
        <w:tabs>
          <w:tab w:val="num" w:pos="1418"/>
        </w:tabs>
        <w:ind w:left="1418" w:hanging="567"/>
      </w:pPr>
      <w:r>
        <w:t xml:space="preserve">The proposed merger involves the consolidation of the two largest providers of </w:t>
      </w:r>
      <w:r w:rsidR="00B879B3">
        <w:t>before and after-school care</w:t>
      </w:r>
      <w:r>
        <w:t xml:space="preserve">, eliminating the competitive tension between them. </w:t>
      </w:r>
    </w:p>
    <w:p w:rsidR="004C2233" w:rsidRDefault="004C2233" w:rsidP="00626538">
      <w:pPr>
        <w:pStyle w:val="Bulletpoint"/>
        <w:tabs>
          <w:tab w:val="num" w:pos="1418"/>
        </w:tabs>
        <w:ind w:left="1418" w:hanging="567"/>
      </w:pPr>
      <w:r>
        <w:t xml:space="preserve">A merged Camp Australia-JAG would not be as effectively constrained by other existing competitors, the threat of entry or by the threat of schools supplying </w:t>
      </w:r>
      <w:r w:rsidR="00B879B3">
        <w:t>before and after-school care</w:t>
      </w:r>
      <w:r w:rsidR="00B879B3" w:rsidDel="00B879B3">
        <w:t xml:space="preserve"> </w:t>
      </w:r>
      <w:r>
        <w:t>themselves.</w:t>
      </w:r>
    </w:p>
    <w:p w:rsidR="004C2233" w:rsidRDefault="004C2233">
      <w:pPr>
        <w:pStyle w:val="Numbered"/>
      </w:pPr>
      <w:r>
        <w:t xml:space="preserve">This lessening of competition may result in increased fees for parents, lower payments to primary schools and lower quality of </w:t>
      </w:r>
      <w:r w:rsidR="00B879B3">
        <w:t>before and after-school care</w:t>
      </w:r>
      <w:r w:rsidR="00B879B3" w:rsidDel="00B879B3">
        <w:t xml:space="preserve"> </w:t>
      </w:r>
      <w:r>
        <w:t xml:space="preserve">services. </w:t>
      </w:r>
    </w:p>
    <w:p w:rsidR="004C2233" w:rsidRPr="00B9286A" w:rsidRDefault="004C2233" w:rsidP="00B9286A">
      <w:pPr>
        <w:pStyle w:val="Heading3"/>
        <w:keepNext w:val="0"/>
        <w:rPr>
          <w:i/>
          <w:sz w:val="24"/>
          <w:szCs w:val="24"/>
        </w:rPr>
      </w:pPr>
      <w:r>
        <w:rPr>
          <w:b w:val="0"/>
          <w:i/>
          <w:sz w:val="24"/>
          <w:szCs w:val="24"/>
        </w:rPr>
        <w:t>Issues that may raise concerns</w:t>
      </w:r>
    </w:p>
    <w:p w:rsidR="004C2233" w:rsidRDefault="004C2233">
      <w:pPr>
        <w:pStyle w:val="Numbered"/>
      </w:pPr>
      <w:r>
        <w:t>The ACCC’s preliminary view is that the acquisition may raise concerns in South Australia (</w:t>
      </w:r>
      <w:r w:rsidRPr="00A3242A">
        <w:rPr>
          <w:b/>
        </w:rPr>
        <w:t>SA</w:t>
      </w:r>
      <w:r>
        <w:t>) and the Australian Capital Territory (</w:t>
      </w:r>
      <w:r w:rsidRPr="00A3242A">
        <w:rPr>
          <w:b/>
        </w:rPr>
        <w:t>ACT</w:t>
      </w:r>
      <w:r>
        <w:t xml:space="preserve">). In SA and ACT Camp Australia and JAG appear to be less strong, compared to the other main states. The ACCC will continue to investigate the potential loss of competition between Camp Australia and JAG in SA and ACT. </w:t>
      </w:r>
    </w:p>
    <w:p w:rsidR="004C2233" w:rsidRPr="00B9286A" w:rsidRDefault="004C2233" w:rsidP="00B9286A">
      <w:pPr>
        <w:pStyle w:val="Heading3"/>
        <w:keepNext w:val="0"/>
        <w:rPr>
          <w:i/>
          <w:sz w:val="24"/>
          <w:szCs w:val="24"/>
        </w:rPr>
      </w:pPr>
      <w:r w:rsidRPr="00B9286A">
        <w:rPr>
          <w:b w:val="0"/>
          <w:i/>
          <w:sz w:val="24"/>
          <w:szCs w:val="24"/>
        </w:rPr>
        <w:t>Issues unlikely to raise concerns</w:t>
      </w:r>
    </w:p>
    <w:p w:rsidR="004C2233" w:rsidRDefault="004C2233">
      <w:pPr>
        <w:pStyle w:val="Numbered"/>
      </w:pPr>
      <w:r>
        <w:t xml:space="preserve">The ACCC’s preliminary view is that </w:t>
      </w:r>
      <w:r w:rsidR="00B879B3">
        <w:t>the</w:t>
      </w:r>
      <w:r>
        <w:t xml:space="preserve"> consolidation of Camp Australia and JAG is unlikely to raise concerns in the N</w:t>
      </w:r>
      <w:r w:rsidR="00097843">
        <w:t xml:space="preserve">orthern </w:t>
      </w:r>
      <w:r>
        <w:t>T</w:t>
      </w:r>
      <w:r w:rsidR="00097843">
        <w:t>erritory (</w:t>
      </w:r>
      <w:r w:rsidR="00097843" w:rsidRPr="00A3242A">
        <w:rPr>
          <w:b/>
        </w:rPr>
        <w:t>NT</w:t>
      </w:r>
      <w:r w:rsidR="00097843">
        <w:t>)</w:t>
      </w:r>
      <w:r>
        <w:t xml:space="preserve"> and Tasmania</w:t>
      </w:r>
      <w:r w:rsidR="00DD48E6">
        <w:t>. This is because</w:t>
      </w:r>
      <w:r>
        <w:t xml:space="preserve"> JAG </w:t>
      </w:r>
      <w:r w:rsidR="00DD48E6">
        <w:t>does not presently</w:t>
      </w:r>
      <w:r w:rsidR="00BD2BD5">
        <w:t xml:space="preserve"> operate in Tasmania or the NT.</w:t>
      </w:r>
    </w:p>
    <w:p w:rsidR="004C2233" w:rsidRPr="009B4954" w:rsidRDefault="004C2233">
      <w:pPr>
        <w:pStyle w:val="Numbered"/>
      </w:pPr>
      <w:r w:rsidRPr="009B4954">
        <w:t>The ACCC’s preliminary view is that the acquisition is unlikely to raise competition concerns in relation to vacation care (</w:t>
      </w:r>
      <w:r>
        <w:t>that is,</w:t>
      </w:r>
      <w:r w:rsidRPr="009B4954">
        <w:t xml:space="preserve"> holiday programs for children)</w:t>
      </w:r>
      <w:r>
        <w:t>,</w:t>
      </w:r>
      <w:r w:rsidRPr="009B4954">
        <w:t xml:space="preserve"> as there </w:t>
      </w:r>
      <w:r w:rsidR="00EA728A">
        <w:t>is</w:t>
      </w:r>
      <w:r w:rsidRPr="009B4954">
        <w:t xml:space="preserve"> a variety of options for holiday care</w:t>
      </w:r>
      <w:r>
        <w:t xml:space="preserve"> </w:t>
      </w:r>
      <w:r w:rsidRPr="009B4954">
        <w:t xml:space="preserve">which are likely to be substitutable with the services </w:t>
      </w:r>
      <w:r>
        <w:t xml:space="preserve">Camp Australia and JAG </w:t>
      </w:r>
      <w:r w:rsidRPr="009B4954">
        <w:t>offer</w:t>
      </w:r>
      <w:r>
        <w:t>.</w:t>
      </w:r>
      <w:r w:rsidRPr="009B4954">
        <w:t xml:space="preserve"> </w:t>
      </w:r>
      <w:r>
        <w:t>These options range from</w:t>
      </w:r>
      <w:r w:rsidRPr="009B4954">
        <w:t xml:space="preserve"> </w:t>
      </w:r>
      <w:r>
        <w:t xml:space="preserve">close substitutes such as other vacation services in the local area to more removed but still viable alternatives such as recreation and sport facilities and </w:t>
      </w:r>
      <w:r w:rsidRPr="009B4954">
        <w:t>camps</w:t>
      </w:r>
      <w:r>
        <w:t>.</w:t>
      </w:r>
    </w:p>
    <w:p w:rsidR="007C75BD" w:rsidRDefault="007C75BD" w:rsidP="007C75BD">
      <w:pPr>
        <w:pStyle w:val="Heading3"/>
        <w:keepNext w:val="0"/>
      </w:pPr>
      <w:r>
        <w:t>Making a submission</w:t>
      </w:r>
    </w:p>
    <w:p w:rsidR="007C75BD" w:rsidRDefault="007C75BD">
      <w:pPr>
        <w:pStyle w:val="Numbered"/>
      </w:pPr>
      <w:r>
        <w:t>The ACCC is seeking submissions from interested parties, particularly on the following key issues:</w:t>
      </w:r>
    </w:p>
    <w:p w:rsidR="007C75BD" w:rsidRPr="00F8478D" w:rsidRDefault="007C75BD" w:rsidP="006E47AA">
      <w:pPr>
        <w:pStyle w:val="ABCList"/>
        <w:ind w:left="1418" w:hanging="425"/>
      </w:pPr>
      <w:r w:rsidRPr="00F8478D">
        <w:t xml:space="preserve">the nature and extent of competition between </w:t>
      </w:r>
      <w:r>
        <w:t>Camp Australia and JAG</w:t>
      </w:r>
    </w:p>
    <w:p w:rsidR="007C75BD" w:rsidRDefault="007C75BD" w:rsidP="006E47AA">
      <w:pPr>
        <w:pStyle w:val="ABCList"/>
        <w:ind w:left="1418" w:hanging="425"/>
      </w:pPr>
      <w:r>
        <w:t>the degree to which Camp Australia and JAG are competitive</w:t>
      </w:r>
      <w:r w:rsidR="009B4954">
        <w:t>ly</w:t>
      </w:r>
      <w:r w:rsidR="003F4114">
        <w:t xml:space="preserve"> constrained by:</w:t>
      </w:r>
    </w:p>
    <w:p w:rsidR="007C75BD" w:rsidRPr="003F4114" w:rsidRDefault="007C75BD" w:rsidP="00DA65FA">
      <w:pPr>
        <w:numPr>
          <w:ilvl w:val="0"/>
          <w:numId w:val="30"/>
        </w:numPr>
        <w:spacing w:before="240" w:after="120"/>
        <w:ind w:left="2001" w:hanging="357"/>
        <w:rPr>
          <w:rFonts w:ascii="Arial" w:hAnsi="Arial" w:cs="Arial"/>
          <w:sz w:val="22"/>
          <w:szCs w:val="22"/>
        </w:rPr>
      </w:pPr>
      <w:r w:rsidRPr="003F4114">
        <w:rPr>
          <w:rFonts w:ascii="Arial" w:hAnsi="Arial" w:cs="Arial"/>
          <w:sz w:val="22"/>
          <w:szCs w:val="22"/>
        </w:rPr>
        <w:t>the expansion or the threat of expansion by other existing competitors</w:t>
      </w:r>
    </w:p>
    <w:p w:rsidR="007C75BD" w:rsidRPr="003F4114" w:rsidRDefault="007C75BD" w:rsidP="00DA65FA">
      <w:pPr>
        <w:numPr>
          <w:ilvl w:val="0"/>
          <w:numId w:val="30"/>
        </w:numPr>
        <w:spacing w:before="240" w:after="120"/>
        <w:ind w:left="2001" w:hanging="357"/>
        <w:rPr>
          <w:rFonts w:ascii="Arial" w:hAnsi="Arial" w:cs="Arial"/>
          <w:sz w:val="22"/>
          <w:szCs w:val="22"/>
        </w:rPr>
      </w:pPr>
      <w:r w:rsidRPr="003F4114">
        <w:rPr>
          <w:rFonts w:ascii="Arial" w:hAnsi="Arial" w:cs="Arial"/>
          <w:sz w:val="22"/>
          <w:szCs w:val="22"/>
        </w:rPr>
        <w:t xml:space="preserve">the ‘entry’ or threat of entry, by new </w:t>
      </w:r>
      <w:r w:rsidR="00201075">
        <w:rPr>
          <w:rFonts w:ascii="Arial" w:hAnsi="Arial" w:cs="Arial"/>
          <w:sz w:val="22"/>
          <w:szCs w:val="22"/>
        </w:rPr>
        <w:t>out of school hours care (</w:t>
      </w:r>
      <w:r w:rsidR="00201075" w:rsidRPr="00A3242A">
        <w:rPr>
          <w:rFonts w:ascii="Arial" w:hAnsi="Arial" w:cs="Arial"/>
          <w:b/>
          <w:sz w:val="22"/>
          <w:szCs w:val="22"/>
        </w:rPr>
        <w:t>OSHC</w:t>
      </w:r>
      <w:r w:rsidR="00201075">
        <w:rPr>
          <w:rFonts w:ascii="Arial" w:hAnsi="Arial" w:cs="Arial"/>
          <w:sz w:val="22"/>
          <w:szCs w:val="22"/>
        </w:rPr>
        <w:t>)</w:t>
      </w:r>
      <w:r w:rsidR="00201075" w:rsidRPr="003F4114">
        <w:rPr>
          <w:rFonts w:ascii="Arial" w:hAnsi="Arial" w:cs="Arial"/>
          <w:sz w:val="22"/>
          <w:szCs w:val="22"/>
        </w:rPr>
        <w:t xml:space="preserve"> </w:t>
      </w:r>
      <w:r w:rsidRPr="003F4114">
        <w:rPr>
          <w:rFonts w:ascii="Arial" w:hAnsi="Arial" w:cs="Arial"/>
          <w:sz w:val="22"/>
          <w:szCs w:val="22"/>
        </w:rPr>
        <w:t>providers</w:t>
      </w:r>
    </w:p>
    <w:p w:rsidR="007C75BD" w:rsidRPr="003F4114" w:rsidRDefault="007C75BD" w:rsidP="00DA65FA">
      <w:pPr>
        <w:numPr>
          <w:ilvl w:val="0"/>
          <w:numId w:val="30"/>
        </w:numPr>
        <w:spacing w:before="240" w:after="120"/>
        <w:ind w:left="2001" w:hanging="357"/>
        <w:rPr>
          <w:rFonts w:ascii="Arial" w:hAnsi="Arial" w:cs="Arial"/>
          <w:sz w:val="22"/>
          <w:szCs w:val="22"/>
        </w:rPr>
      </w:pPr>
      <w:proofErr w:type="gramStart"/>
      <w:r w:rsidRPr="003F4114">
        <w:rPr>
          <w:rFonts w:ascii="Arial" w:hAnsi="Arial" w:cs="Arial"/>
          <w:sz w:val="22"/>
          <w:szCs w:val="22"/>
        </w:rPr>
        <w:t>schools</w:t>
      </w:r>
      <w:proofErr w:type="gramEnd"/>
      <w:r w:rsidRPr="003F4114">
        <w:rPr>
          <w:rFonts w:ascii="Arial" w:hAnsi="Arial" w:cs="Arial"/>
          <w:sz w:val="22"/>
          <w:szCs w:val="22"/>
        </w:rPr>
        <w:t xml:space="preserve"> </w:t>
      </w:r>
      <w:r w:rsidRPr="00201075">
        <w:rPr>
          <w:rFonts w:ascii="Arial" w:hAnsi="Arial" w:cs="Arial"/>
          <w:sz w:val="22"/>
          <w:szCs w:val="22"/>
        </w:rPr>
        <w:t xml:space="preserve">supplying </w:t>
      </w:r>
      <w:r w:rsidR="00201075" w:rsidRPr="00A3242A">
        <w:rPr>
          <w:rFonts w:ascii="Arial" w:hAnsi="Arial" w:cs="Arial"/>
          <w:sz w:val="22"/>
          <w:szCs w:val="22"/>
        </w:rPr>
        <w:t>before and after-school care</w:t>
      </w:r>
      <w:r w:rsidR="00201075" w:rsidDel="00B879B3">
        <w:t xml:space="preserve"> </w:t>
      </w:r>
      <w:r w:rsidRPr="003F4114">
        <w:rPr>
          <w:rFonts w:ascii="Arial" w:hAnsi="Arial" w:cs="Arial"/>
          <w:sz w:val="22"/>
          <w:szCs w:val="22"/>
        </w:rPr>
        <w:t>themselves.</w:t>
      </w:r>
    </w:p>
    <w:p w:rsidR="007C75BD" w:rsidRPr="00EB40D7" w:rsidRDefault="007C75BD">
      <w:pPr>
        <w:pStyle w:val="Numbered"/>
      </w:pPr>
      <w:r>
        <w:lastRenderedPageBreak/>
        <w:t xml:space="preserve">Interested parties should provide </w:t>
      </w:r>
      <w:r w:rsidRPr="00657282">
        <w:t xml:space="preserve">submissions by no later than 5pm on </w:t>
      </w:r>
      <w:r w:rsidRPr="00657282">
        <w:rPr>
          <w:b/>
        </w:rPr>
        <w:t>25 August 2017</w:t>
      </w:r>
      <w:r w:rsidRPr="00657282">
        <w:t>. Responses may be emailed to mergers@accc.gov.au with the title: Submission re: Camp Australia-JAG</w:t>
      </w:r>
      <w:r w:rsidRPr="00EB40D7">
        <w:t xml:space="preserve"> </w:t>
      </w:r>
      <w:r w:rsidR="009B4954">
        <w:t>–</w:t>
      </w:r>
      <w:r w:rsidRPr="00EB40D7">
        <w:t xml:space="preserve"> attention</w:t>
      </w:r>
      <w:r w:rsidR="009B4954">
        <w:t xml:space="preserve"> Tessa </w:t>
      </w:r>
      <w:proofErr w:type="spellStart"/>
      <w:r w:rsidR="009B4954">
        <w:t>Cramond</w:t>
      </w:r>
      <w:proofErr w:type="spellEnd"/>
      <w:r w:rsidR="009B4954">
        <w:t xml:space="preserve"> / John Rouw</w:t>
      </w:r>
      <w:r w:rsidRPr="00EB40D7">
        <w:t>. If you would like to</w:t>
      </w:r>
      <w:r>
        <w:t xml:space="preserve"> discuss the matter with ACCC officers over the telephone or in person, or </w:t>
      </w:r>
      <w:r w:rsidRPr="00EB40D7">
        <w:t>have any questions about this</w:t>
      </w:r>
      <w:r w:rsidRPr="00EB40D7">
        <w:rPr>
          <w:color w:val="1F497D"/>
        </w:rPr>
        <w:t xml:space="preserve"> </w:t>
      </w:r>
      <w:r w:rsidRPr="0039035E">
        <w:rPr>
          <w:color w:val="000000"/>
        </w:rPr>
        <w:t>Statement of Issues,</w:t>
      </w:r>
      <w:r w:rsidRPr="00EB40D7">
        <w:t xml:space="preserve"> please contact Tessa </w:t>
      </w:r>
      <w:proofErr w:type="spellStart"/>
      <w:r w:rsidRPr="00EB40D7">
        <w:t>Cramond</w:t>
      </w:r>
      <w:proofErr w:type="spellEnd"/>
      <w:r w:rsidRPr="00EB40D7">
        <w:t xml:space="preserve"> on </w:t>
      </w:r>
      <w:r w:rsidR="00550EED">
        <w:t xml:space="preserve">(03) </w:t>
      </w:r>
      <w:r w:rsidRPr="00EB40D7">
        <w:t xml:space="preserve">9658 6516 or </w:t>
      </w:r>
      <w:r w:rsidR="00550EED">
        <w:t xml:space="preserve">John Rouw </w:t>
      </w:r>
      <w:r w:rsidRPr="00EB40D7">
        <w:t xml:space="preserve">on </w:t>
      </w:r>
      <w:r w:rsidR="00550EED">
        <w:t>(03) 9290 1402</w:t>
      </w:r>
      <w:r w:rsidRPr="00EB40D7">
        <w:t xml:space="preserve">. </w:t>
      </w:r>
    </w:p>
    <w:p w:rsidR="007C75BD" w:rsidRPr="00251D63" w:rsidRDefault="007C75BD" w:rsidP="007C75BD">
      <w:pPr>
        <w:pStyle w:val="Heading3"/>
        <w:keepNext w:val="0"/>
        <w:rPr>
          <w:b w:val="0"/>
          <w:i/>
          <w:sz w:val="24"/>
          <w:szCs w:val="24"/>
        </w:rPr>
      </w:pPr>
      <w:r w:rsidRPr="00251D63">
        <w:rPr>
          <w:b w:val="0"/>
          <w:i/>
          <w:sz w:val="24"/>
          <w:szCs w:val="24"/>
        </w:rPr>
        <w:t>Confidentiality of submissions</w:t>
      </w:r>
    </w:p>
    <w:p w:rsidR="007C75BD" w:rsidRDefault="007C75BD">
      <w:pPr>
        <w:pStyle w:val="Numbered"/>
      </w:pPr>
      <w:r w:rsidRPr="00041F71">
        <w:t xml:space="preserve">The ACCC will not publish submissions </w:t>
      </w:r>
      <w:r>
        <w:t>regarding the</w:t>
      </w:r>
      <w:r w:rsidRPr="00041F71">
        <w:t xml:space="preserve"> proposed acquisition. We will not disclose submissions to third </w:t>
      </w:r>
      <w:proofErr w:type="gramStart"/>
      <w:r w:rsidRPr="00041F71">
        <w:t>parties</w:t>
      </w:r>
      <w:proofErr w:type="gramEnd"/>
      <w:r w:rsidRPr="00E44A40">
        <w:rPr>
          <w:rStyle w:val="FootnoteReference"/>
          <w:color w:val="000000"/>
        </w:rPr>
        <w:t xml:space="preserve"> </w:t>
      </w:r>
      <w:r>
        <w:t>(except our advisors / consultants)</w:t>
      </w:r>
      <w:r w:rsidRPr="00041F71">
        <w:t xml:space="preserve"> unless compelled by law (for example, under freedom of information legislation or during court proceedings) or in accordance with s155AAA of the </w:t>
      </w:r>
      <w:r w:rsidRPr="00E44A40">
        <w:rPr>
          <w:i/>
        </w:rPr>
        <w:t>Competition and Consumer Act 2010</w:t>
      </w:r>
      <w:r w:rsidRPr="00041F71">
        <w:t xml:space="preserve">. Where the ACCC is required to disclose confidential information, the ACCC will notify you in advance where possible so that you may have an opportunity to be heard. </w:t>
      </w:r>
      <w:r>
        <w:t>Therefore, i</w:t>
      </w:r>
      <w:r w:rsidRPr="008F6743">
        <w:t xml:space="preserve">f the information provided to the ACCC is of a confidential nature, please indicate as such. </w:t>
      </w:r>
      <w:r w:rsidRPr="00041F71">
        <w:t xml:space="preserve">Our </w:t>
      </w:r>
      <w:hyperlink r:id="rId9" w:history="1">
        <w:r w:rsidRPr="00E44A40">
          <w:rPr>
            <w:rStyle w:val="Hyperlink"/>
            <w:i/>
          </w:rPr>
          <w:t>Informal Merger Review Process Guidelines</w:t>
        </w:r>
      </w:hyperlink>
      <w:r w:rsidRPr="00E44A40">
        <w:rPr>
          <w:i/>
        </w:rPr>
        <w:t xml:space="preserve"> </w:t>
      </w:r>
      <w:r w:rsidRPr="00041F71">
        <w:t>contain more information</w:t>
      </w:r>
      <w:r>
        <w:t xml:space="preserve"> on confidentiality.</w:t>
      </w:r>
    </w:p>
    <w:p w:rsidR="007C75BD" w:rsidRPr="00AD05CA" w:rsidRDefault="007C75BD" w:rsidP="0022317B">
      <w:pPr>
        <w:pStyle w:val="Heading3"/>
      </w:pPr>
      <w:r>
        <w:t>About ACCC ‘Statements of Issues’</w:t>
      </w:r>
    </w:p>
    <w:p w:rsidR="007C75BD" w:rsidRDefault="007C75BD">
      <w:pPr>
        <w:pStyle w:val="Numbered"/>
      </w:pPr>
      <w:r>
        <w:t>A Statement of Issues published by the ACCC is not a final decision about a proposed acquisition, but provides the ACCC’s preliminary views, drawing attention to particular issues of varying degrees of competition concern, as well as identifying the lines of further inquiry that the ACCC wishes to undertake.</w:t>
      </w:r>
    </w:p>
    <w:p w:rsidR="007C75BD" w:rsidRDefault="007C75BD">
      <w:pPr>
        <w:pStyle w:val="Numbered"/>
      </w:pPr>
      <w:r>
        <w:t>A Statement of Issues provides an opportunity for all interested parties</w:t>
      </w:r>
      <w:r w:rsidR="003216D2">
        <w:t>,</w:t>
      </w:r>
      <w:r>
        <w:t xml:space="preserve"> including customers, competitors, shareholders and other stakeholders</w:t>
      </w:r>
      <w:r w:rsidR="003216D2">
        <w:t>,</w:t>
      </w:r>
      <w:r>
        <w:t xml:space="preserve"> to ascertain and consider the primary issues identified by the ACCC. It is also intended to provide the merger parties and other interested parties with the basis for making further submissions should they consider it necessary.</w:t>
      </w:r>
    </w:p>
    <w:p w:rsidR="007C75BD" w:rsidRDefault="007C75BD" w:rsidP="007C75BD">
      <w:pPr>
        <w:pStyle w:val="Heading3"/>
        <w:keepNext w:val="0"/>
      </w:pPr>
      <w:r>
        <w:t xml:space="preserve">The </w:t>
      </w:r>
      <w:r w:rsidRPr="000F1353">
        <w:t>parties</w:t>
      </w:r>
    </w:p>
    <w:p w:rsidR="007C75BD" w:rsidRPr="006B22DB" w:rsidRDefault="007C75BD">
      <w:pPr>
        <w:pStyle w:val="Numbered"/>
      </w:pPr>
      <w:bookmarkStart w:id="1" w:name="Acquirer3"/>
      <w:bookmarkEnd w:id="1"/>
      <w:r>
        <w:rPr>
          <w:spacing w:val="-1"/>
        </w:rPr>
        <w:t>C</w:t>
      </w:r>
      <w:r>
        <w:t>amp</w:t>
      </w:r>
      <w:r>
        <w:rPr>
          <w:spacing w:val="1"/>
        </w:rPr>
        <w:t xml:space="preserve"> </w:t>
      </w:r>
      <w:r>
        <w:rPr>
          <w:spacing w:val="-1"/>
        </w:rPr>
        <w:t>A</w:t>
      </w:r>
      <w:r>
        <w:t>u</w:t>
      </w:r>
      <w:r>
        <w:rPr>
          <w:spacing w:val="-3"/>
        </w:rPr>
        <w:t>s</w:t>
      </w:r>
      <w:r>
        <w:rPr>
          <w:spacing w:val="1"/>
        </w:rPr>
        <w:t>tr</w:t>
      </w:r>
      <w:r>
        <w:t>a</w:t>
      </w:r>
      <w:r>
        <w:rPr>
          <w:spacing w:val="-1"/>
        </w:rPr>
        <w:t>li</w:t>
      </w:r>
      <w:r>
        <w:t>a and</w:t>
      </w:r>
      <w:r>
        <w:rPr>
          <w:spacing w:val="-2"/>
        </w:rPr>
        <w:t xml:space="preserve"> </w:t>
      </w:r>
      <w:r w:rsidRPr="00BF4454">
        <w:t>J</w:t>
      </w:r>
      <w:r w:rsidRPr="00BF4454">
        <w:rPr>
          <w:spacing w:val="-3"/>
        </w:rPr>
        <w:t>A</w:t>
      </w:r>
      <w:r w:rsidRPr="00BF4454">
        <w:rPr>
          <w:spacing w:val="1"/>
        </w:rPr>
        <w:t>G</w:t>
      </w:r>
      <w:r>
        <w:t xml:space="preserve"> b</w:t>
      </w:r>
      <w:r>
        <w:rPr>
          <w:spacing w:val="-1"/>
        </w:rPr>
        <w:t>o</w:t>
      </w:r>
      <w:r>
        <w:rPr>
          <w:spacing w:val="1"/>
        </w:rPr>
        <w:t>t</w:t>
      </w:r>
      <w:r>
        <w:t>h</w:t>
      </w:r>
      <w:r>
        <w:rPr>
          <w:spacing w:val="-2"/>
        </w:rPr>
        <w:t xml:space="preserve"> </w:t>
      </w:r>
      <w:r>
        <w:t>o</w:t>
      </w:r>
      <w:r>
        <w:rPr>
          <w:spacing w:val="-1"/>
        </w:rPr>
        <w:t>p</w:t>
      </w:r>
      <w:r>
        <w:t>er</w:t>
      </w:r>
      <w:r>
        <w:rPr>
          <w:spacing w:val="-2"/>
        </w:rPr>
        <w:t>a</w:t>
      </w:r>
      <w:r>
        <w:rPr>
          <w:spacing w:val="1"/>
        </w:rPr>
        <w:t>t</w:t>
      </w:r>
      <w:r>
        <w:t>e:</w:t>
      </w:r>
    </w:p>
    <w:p w:rsidR="007C75BD" w:rsidRPr="006B22DB" w:rsidRDefault="007C75BD" w:rsidP="00626538">
      <w:pPr>
        <w:pStyle w:val="Bulletpoint"/>
        <w:tabs>
          <w:tab w:val="num" w:pos="1418"/>
        </w:tabs>
        <w:ind w:left="1418" w:hanging="567"/>
      </w:pPr>
      <w:r>
        <w:t>b</w:t>
      </w:r>
      <w:r w:rsidRPr="002C49EF">
        <w:t>efore and after-school care</w:t>
      </w:r>
      <w:r>
        <w:t>,</w:t>
      </w:r>
      <w:r w:rsidRPr="002C49EF">
        <w:t xml:space="preserve"> w</w:t>
      </w:r>
      <w:r>
        <w:t>h</w:t>
      </w:r>
      <w:r w:rsidRPr="002C49EF">
        <w:t>i</w:t>
      </w:r>
      <w:r>
        <w:t>ch is ca</w:t>
      </w:r>
      <w:r w:rsidRPr="002C49EF">
        <w:t>r</w:t>
      </w:r>
      <w:r>
        <w:t>e</w:t>
      </w:r>
      <w:r w:rsidRPr="002C49EF">
        <w:t xml:space="preserve"> fo</w:t>
      </w:r>
      <w:r>
        <w:t>r prima</w:t>
      </w:r>
      <w:r w:rsidRPr="002C49EF">
        <w:t>r</w:t>
      </w:r>
      <w:r>
        <w:t>y</w:t>
      </w:r>
      <w:r w:rsidRPr="002C49EF">
        <w:t>-</w:t>
      </w:r>
      <w:r>
        <w:t>sch</w:t>
      </w:r>
      <w:r w:rsidRPr="002C49EF">
        <w:t>o</w:t>
      </w:r>
      <w:r w:rsidR="00A0547D">
        <w:t>ol-</w:t>
      </w:r>
      <w:r w:rsidRPr="002C49EF">
        <w:t>ag</w:t>
      </w:r>
      <w:r>
        <w:t>ed</w:t>
      </w:r>
      <w:r w:rsidRPr="002C49EF">
        <w:t xml:space="preserve"> stu</w:t>
      </w:r>
      <w:r>
        <w:t>d</w:t>
      </w:r>
      <w:r w:rsidRPr="002C49EF">
        <w:t>e</w:t>
      </w:r>
      <w:r>
        <w:t>nts</w:t>
      </w:r>
      <w:r w:rsidRPr="002C49EF">
        <w:t xml:space="preserve"> </w:t>
      </w:r>
      <w:r>
        <w:t>b</w:t>
      </w:r>
      <w:r w:rsidRPr="002C49EF">
        <w:t>ef</w:t>
      </w:r>
      <w:r>
        <w:t>ore</w:t>
      </w:r>
      <w:r w:rsidRPr="002C49EF">
        <w:t xml:space="preserve"> </w:t>
      </w:r>
      <w:r>
        <w:t>a</w:t>
      </w:r>
      <w:r w:rsidRPr="002C49EF">
        <w:t>n</w:t>
      </w:r>
      <w:r>
        <w:t xml:space="preserve">d </w:t>
      </w:r>
      <w:r w:rsidRPr="002C49EF">
        <w:t>aft</w:t>
      </w:r>
      <w:r>
        <w:t>er</w:t>
      </w:r>
      <w:r w:rsidRPr="002C49EF">
        <w:t xml:space="preserve"> </w:t>
      </w:r>
      <w:r>
        <w:t>s</w:t>
      </w:r>
      <w:r w:rsidRPr="002C49EF">
        <w:t>c</w:t>
      </w:r>
      <w:r>
        <w:t>h</w:t>
      </w:r>
      <w:r w:rsidRPr="002C49EF">
        <w:t>o</w:t>
      </w:r>
      <w:r>
        <w:t>ol d</w:t>
      </w:r>
      <w:r w:rsidRPr="002C49EF">
        <w:t>uri</w:t>
      </w:r>
      <w:r>
        <w:t>ng sch</w:t>
      </w:r>
      <w:r w:rsidRPr="002C49EF">
        <w:t>o</w:t>
      </w:r>
      <w:r>
        <w:t>ol</w:t>
      </w:r>
      <w:r w:rsidRPr="002C49EF">
        <w:t xml:space="preserve"> t</w:t>
      </w:r>
      <w:r>
        <w:t>e</w:t>
      </w:r>
      <w:r w:rsidRPr="002C49EF">
        <w:t>rms</w:t>
      </w:r>
      <w:r>
        <w:t>,</w:t>
      </w:r>
      <w:r w:rsidRPr="002C49EF">
        <w:t xml:space="preserve"> </w:t>
      </w:r>
      <w:r>
        <w:t>a</w:t>
      </w:r>
      <w:r w:rsidRPr="002C49EF">
        <w:t>n</w:t>
      </w:r>
      <w:r>
        <w:t>d</w:t>
      </w:r>
    </w:p>
    <w:p w:rsidR="007C75BD" w:rsidRDefault="007C75BD" w:rsidP="00626538">
      <w:pPr>
        <w:pStyle w:val="Bulletpoint"/>
        <w:tabs>
          <w:tab w:val="num" w:pos="1418"/>
        </w:tabs>
        <w:ind w:left="1418" w:hanging="567"/>
      </w:pPr>
      <w:r w:rsidRPr="002C49EF">
        <w:t>v</w:t>
      </w:r>
      <w:r>
        <w:t>ac</w:t>
      </w:r>
      <w:r w:rsidRPr="002C49EF">
        <w:t>ati</w:t>
      </w:r>
      <w:r>
        <w:t xml:space="preserve">on care, </w:t>
      </w:r>
      <w:r w:rsidRPr="002C49EF">
        <w:t>w</w:t>
      </w:r>
      <w:r>
        <w:t>h</w:t>
      </w:r>
      <w:r w:rsidRPr="002C49EF">
        <w:t>i</w:t>
      </w:r>
      <w:r>
        <w:t>ch is ca</w:t>
      </w:r>
      <w:r w:rsidRPr="002C49EF">
        <w:t>r</w:t>
      </w:r>
      <w:r>
        <w:t>e</w:t>
      </w:r>
      <w:r w:rsidRPr="002C49EF">
        <w:t xml:space="preserve"> f</w:t>
      </w:r>
      <w:r>
        <w:t>or</w:t>
      </w:r>
      <w:r w:rsidRPr="002C49EF">
        <w:t xml:space="preserve"> </w:t>
      </w:r>
      <w:r>
        <w:t>prim</w:t>
      </w:r>
      <w:r w:rsidRPr="002C49EF">
        <w:t>ary-</w:t>
      </w:r>
      <w:r>
        <w:t>sch</w:t>
      </w:r>
      <w:r w:rsidRPr="002C49EF">
        <w:t>o</w:t>
      </w:r>
      <w:r w:rsidR="00A0547D">
        <w:t>ol-</w:t>
      </w:r>
      <w:r w:rsidRPr="002C49EF">
        <w:t>a</w:t>
      </w:r>
      <w:r>
        <w:t>g</w:t>
      </w:r>
      <w:r w:rsidRPr="002C49EF">
        <w:t>e</w:t>
      </w:r>
      <w:r>
        <w:t>d s</w:t>
      </w:r>
      <w:r w:rsidRPr="002C49EF">
        <w:t>t</w:t>
      </w:r>
      <w:r>
        <w:t>u</w:t>
      </w:r>
      <w:r w:rsidRPr="002C49EF">
        <w:t>d</w:t>
      </w:r>
      <w:r>
        <w:t>e</w:t>
      </w:r>
      <w:r w:rsidRPr="002C49EF">
        <w:t>nt</w:t>
      </w:r>
      <w:r>
        <w:t>s</w:t>
      </w:r>
      <w:r w:rsidRPr="002C49EF">
        <w:t xml:space="preserve"> </w:t>
      </w:r>
      <w:r>
        <w:t>d</w:t>
      </w:r>
      <w:r w:rsidRPr="002C49EF">
        <w:t>urin</w:t>
      </w:r>
      <w:r>
        <w:t>g</w:t>
      </w:r>
      <w:r w:rsidRPr="002C49EF">
        <w:t xml:space="preserve"> s</w:t>
      </w:r>
      <w:r>
        <w:t>ch</w:t>
      </w:r>
      <w:r w:rsidRPr="002C49EF">
        <w:t>o</w:t>
      </w:r>
      <w:r>
        <w:t>ol h</w:t>
      </w:r>
      <w:r w:rsidRPr="002C49EF">
        <w:t>oli</w:t>
      </w:r>
      <w:r>
        <w:t>d</w:t>
      </w:r>
      <w:r w:rsidRPr="002C49EF">
        <w:t>ay</w:t>
      </w:r>
      <w:r>
        <w:t>s and pupil</w:t>
      </w:r>
      <w:r w:rsidR="0073587C">
        <w:t>-</w:t>
      </w:r>
      <w:r>
        <w:t>free days</w:t>
      </w:r>
    </w:p>
    <w:p w:rsidR="007C75BD" w:rsidRDefault="007C75BD">
      <w:pPr>
        <w:pStyle w:val="Numbered"/>
        <w:numPr>
          <w:ilvl w:val="0"/>
          <w:numId w:val="0"/>
        </w:numPr>
        <w:ind w:left="720"/>
      </w:pPr>
      <w:proofErr w:type="gramStart"/>
      <w:r w:rsidRPr="006B22DB">
        <w:rPr>
          <w:spacing w:val="-1"/>
        </w:rPr>
        <w:t>in</w:t>
      </w:r>
      <w:proofErr w:type="gramEnd"/>
      <w:r w:rsidRPr="006B22DB">
        <w:t xml:space="preserve"> a</w:t>
      </w:r>
      <w:r w:rsidRPr="006B22DB">
        <w:rPr>
          <w:spacing w:val="1"/>
        </w:rPr>
        <w:t xml:space="preserve"> </w:t>
      </w:r>
      <w:r w:rsidRPr="006B22DB">
        <w:t>n</w:t>
      </w:r>
      <w:r w:rsidRPr="006B22DB">
        <w:rPr>
          <w:spacing w:val="-1"/>
        </w:rPr>
        <w:t>u</w:t>
      </w:r>
      <w:r w:rsidRPr="006B22DB">
        <w:rPr>
          <w:spacing w:val="1"/>
        </w:rPr>
        <w:t>m</w:t>
      </w:r>
      <w:r w:rsidRPr="006B22DB">
        <w:t>b</w:t>
      </w:r>
      <w:r w:rsidRPr="006B22DB">
        <w:rPr>
          <w:spacing w:val="-3"/>
        </w:rPr>
        <w:t>e</w:t>
      </w:r>
      <w:r w:rsidRPr="006B22DB">
        <w:t>r</w:t>
      </w:r>
      <w:r w:rsidRPr="006B22DB">
        <w:rPr>
          <w:spacing w:val="2"/>
        </w:rPr>
        <w:t xml:space="preserve"> </w:t>
      </w:r>
      <w:r w:rsidRPr="006B22DB">
        <w:rPr>
          <w:spacing w:val="-3"/>
        </w:rPr>
        <w:t>o</w:t>
      </w:r>
      <w:r w:rsidRPr="006B22DB">
        <w:t>f</w:t>
      </w:r>
      <w:r w:rsidRPr="006B22DB">
        <w:rPr>
          <w:spacing w:val="2"/>
        </w:rPr>
        <w:t xml:space="preserve"> </w:t>
      </w:r>
      <w:r w:rsidRPr="006B22DB">
        <w:rPr>
          <w:spacing w:val="-1"/>
        </w:rPr>
        <w:t>A</w:t>
      </w:r>
      <w:r w:rsidRPr="006B22DB">
        <w:rPr>
          <w:spacing w:val="-3"/>
        </w:rPr>
        <w:t>u</w:t>
      </w:r>
      <w:r w:rsidRPr="006B22DB">
        <w:t>s</w:t>
      </w:r>
      <w:r w:rsidRPr="006B22DB">
        <w:rPr>
          <w:spacing w:val="-1"/>
        </w:rPr>
        <w:t>t</w:t>
      </w:r>
      <w:r w:rsidRPr="006B22DB">
        <w:rPr>
          <w:spacing w:val="1"/>
        </w:rPr>
        <w:t>r</w:t>
      </w:r>
      <w:r w:rsidRPr="006B22DB">
        <w:t>a</w:t>
      </w:r>
      <w:r w:rsidRPr="006B22DB">
        <w:rPr>
          <w:spacing w:val="-1"/>
        </w:rPr>
        <w:t>li</w:t>
      </w:r>
      <w:r w:rsidRPr="006B22DB">
        <w:t xml:space="preserve">an </w:t>
      </w:r>
      <w:r w:rsidR="003216D2">
        <w:rPr>
          <w:spacing w:val="-1"/>
        </w:rPr>
        <w:t>s</w:t>
      </w:r>
      <w:r w:rsidRPr="006B22DB">
        <w:rPr>
          <w:spacing w:val="1"/>
        </w:rPr>
        <w:t>t</w:t>
      </w:r>
      <w:r w:rsidRPr="006B22DB">
        <w:t>at</w:t>
      </w:r>
      <w:r w:rsidRPr="006B22DB">
        <w:rPr>
          <w:spacing w:val="-2"/>
        </w:rPr>
        <w:t>e</w:t>
      </w:r>
      <w:r w:rsidRPr="006B22DB">
        <w:t>s</w:t>
      </w:r>
      <w:r w:rsidRPr="006B22DB">
        <w:rPr>
          <w:spacing w:val="1"/>
        </w:rPr>
        <w:t xml:space="preserve"> </w:t>
      </w:r>
      <w:r w:rsidRPr="006B22DB">
        <w:t>a</w:t>
      </w:r>
      <w:r w:rsidRPr="006B22DB">
        <w:rPr>
          <w:spacing w:val="-1"/>
        </w:rPr>
        <w:t>n</w:t>
      </w:r>
      <w:r w:rsidRPr="006B22DB">
        <w:t>d</w:t>
      </w:r>
      <w:r w:rsidRPr="006B22DB">
        <w:rPr>
          <w:spacing w:val="-4"/>
        </w:rPr>
        <w:t xml:space="preserve"> </w:t>
      </w:r>
      <w:r w:rsidR="00D2321F">
        <w:rPr>
          <w:spacing w:val="2"/>
        </w:rPr>
        <w:t>territories</w:t>
      </w:r>
      <w:r w:rsidRPr="006B22DB">
        <w:t>.</w:t>
      </w:r>
    </w:p>
    <w:p w:rsidR="007C75BD" w:rsidRPr="007359F5" w:rsidRDefault="007C75BD" w:rsidP="007C75BD">
      <w:pPr>
        <w:pStyle w:val="Heading3"/>
        <w:keepNext w:val="0"/>
        <w:rPr>
          <w:b w:val="0"/>
          <w:i/>
          <w:sz w:val="24"/>
          <w:szCs w:val="24"/>
        </w:rPr>
      </w:pPr>
      <w:r w:rsidRPr="007359F5">
        <w:rPr>
          <w:b w:val="0"/>
          <w:i/>
          <w:sz w:val="24"/>
          <w:szCs w:val="24"/>
        </w:rPr>
        <w:t>Camp Australia</w:t>
      </w:r>
    </w:p>
    <w:p w:rsidR="007C75BD" w:rsidRDefault="007C75BD">
      <w:pPr>
        <w:pStyle w:val="Numbered"/>
      </w:pPr>
      <w:r w:rsidRPr="00003807">
        <w:t>Camp Australia started in Victoria in 1986 and has grown to</w:t>
      </w:r>
      <w:r>
        <w:t xml:space="preserve"> about</w:t>
      </w:r>
      <w:r w:rsidRPr="00003807">
        <w:t xml:space="preserve"> 780 sites across all </w:t>
      </w:r>
      <w:r w:rsidR="003216D2">
        <w:t>Australian s</w:t>
      </w:r>
      <w:r w:rsidRPr="00003807">
        <w:t xml:space="preserve">tates and </w:t>
      </w:r>
      <w:r w:rsidR="00D2321F">
        <w:t>territories</w:t>
      </w:r>
      <w:r w:rsidRPr="00003807">
        <w:t>, including most recently Tasmania and the N</w:t>
      </w:r>
      <w:r w:rsidR="003216D2">
        <w:t>T.</w:t>
      </w:r>
    </w:p>
    <w:p w:rsidR="009B4954" w:rsidRDefault="007C75BD">
      <w:pPr>
        <w:pStyle w:val="Numbered"/>
      </w:pPr>
      <w:r>
        <w:t>Camp Australia</w:t>
      </w:r>
      <w:r w:rsidRPr="001020F9">
        <w:t xml:space="preserve"> is</w:t>
      </w:r>
      <w:r w:rsidR="00582C18">
        <w:t xml:space="preserve"> </w:t>
      </w:r>
      <w:r w:rsidRPr="001020F9">
        <w:t>owned by funds manage</w:t>
      </w:r>
      <w:r w:rsidR="00686178">
        <w:t>r</w:t>
      </w:r>
      <w:r w:rsidR="00550EED">
        <w:t xml:space="preserve"> </w:t>
      </w:r>
      <w:r w:rsidRPr="001020F9">
        <w:t xml:space="preserve">Bain, </w:t>
      </w:r>
      <w:r w:rsidR="005C0219" w:rsidRPr="005C0219">
        <w:t xml:space="preserve">which is a multi-asset investment firm with around USD75 </w:t>
      </w:r>
      <w:r w:rsidR="006F47C1">
        <w:t>b</w:t>
      </w:r>
      <w:r w:rsidR="005C0219" w:rsidRPr="005C0219">
        <w:t>illion of assets under management.</w:t>
      </w:r>
      <w:r w:rsidR="005C0219">
        <w:t xml:space="preserve"> Bain is </w:t>
      </w:r>
      <w:r w:rsidRPr="001020F9">
        <w:t xml:space="preserve">headquartered in Boston, USA, </w:t>
      </w:r>
      <w:r w:rsidR="005C0219" w:rsidRPr="005C0219">
        <w:t xml:space="preserve">and </w:t>
      </w:r>
      <w:r w:rsidR="006E2500">
        <w:t>has Australian offices.</w:t>
      </w:r>
    </w:p>
    <w:p w:rsidR="005C0219" w:rsidRPr="009B4954" w:rsidRDefault="007C75BD">
      <w:pPr>
        <w:pStyle w:val="Numbered"/>
      </w:pPr>
      <w:r w:rsidRPr="009B4954">
        <w:t>Bain acquired Camp Australia in February 2017.</w:t>
      </w:r>
      <w:r w:rsidR="005C0219" w:rsidRPr="009B4954">
        <w:t xml:space="preserve"> Camp Australia is headquartered in Melbourne.</w:t>
      </w:r>
    </w:p>
    <w:p w:rsidR="009B4954" w:rsidRDefault="005C0219">
      <w:pPr>
        <w:pStyle w:val="Numbered"/>
      </w:pPr>
      <w:r w:rsidRPr="005C0219">
        <w:t xml:space="preserve">Bain </w:t>
      </w:r>
      <w:r w:rsidR="00273E8D">
        <w:t>also owns</w:t>
      </w:r>
      <w:r w:rsidRPr="005C0219">
        <w:t xml:space="preserve"> Only about Children</w:t>
      </w:r>
      <w:r w:rsidR="0073587C">
        <w:t>,</w:t>
      </w:r>
      <w:r w:rsidRPr="005C0219">
        <w:t xml:space="preserve"> which is involved in early childhood care (</w:t>
      </w:r>
      <w:r w:rsidR="009B4954">
        <w:t>that is, younger than primary-school-</w:t>
      </w:r>
      <w:r w:rsidRPr="005C0219">
        <w:t>aged children).</w:t>
      </w:r>
    </w:p>
    <w:p w:rsidR="007C75BD" w:rsidRPr="007359F5" w:rsidRDefault="00BD2BD5" w:rsidP="007C75BD">
      <w:pPr>
        <w:pStyle w:val="Heading3"/>
        <w:keepNext w:val="0"/>
        <w:rPr>
          <w:b w:val="0"/>
          <w:i/>
          <w:sz w:val="24"/>
          <w:szCs w:val="24"/>
        </w:rPr>
      </w:pPr>
      <w:r>
        <w:rPr>
          <w:b w:val="0"/>
          <w:i/>
          <w:sz w:val="24"/>
          <w:szCs w:val="24"/>
        </w:rPr>
        <w:t>Junior Adventures Group</w:t>
      </w:r>
    </w:p>
    <w:p w:rsidR="007C75BD" w:rsidRDefault="007C75BD">
      <w:pPr>
        <w:pStyle w:val="Numbered"/>
      </w:pPr>
      <w:r>
        <w:t xml:space="preserve">JAG </w:t>
      </w:r>
      <w:r w:rsidR="0024074E">
        <w:t xml:space="preserve">is majority-owned by Melbourne-based private equity firm Advent Private Capital. JAG </w:t>
      </w:r>
      <w:r>
        <w:t xml:space="preserve">provides before and after-school and holiday-care services at more than 380 sites under two brands: </w:t>
      </w:r>
      <w:proofErr w:type="spellStart"/>
      <w:r>
        <w:t>OSHClub</w:t>
      </w:r>
      <w:proofErr w:type="spellEnd"/>
      <w:r>
        <w:t xml:space="preserve"> and Helping Hands (originally two separately owned businesses</w:t>
      </w:r>
      <w:r w:rsidR="0073587C">
        <w:t xml:space="preserve"> bought by Advent in two stages</w:t>
      </w:r>
      <w:r>
        <w:t xml:space="preserve">): </w:t>
      </w:r>
    </w:p>
    <w:p w:rsidR="007C75BD" w:rsidRPr="00C11594" w:rsidRDefault="007C75BD" w:rsidP="00626538">
      <w:pPr>
        <w:pStyle w:val="Bulletpoint"/>
        <w:tabs>
          <w:tab w:val="num" w:pos="1418"/>
        </w:tabs>
        <w:ind w:left="1418" w:hanging="567"/>
      </w:pPr>
      <w:proofErr w:type="spellStart"/>
      <w:r w:rsidRPr="00C11594">
        <w:t>OSHClub</w:t>
      </w:r>
      <w:proofErr w:type="spellEnd"/>
      <w:r w:rsidRPr="00C11594">
        <w:t xml:space="preserve"> started in Victoria in 2008 and </w:t>
      </w:r>
      <w:r>
        <w:t xml:space="preserve">has since grown </w:t>
      </w:r>
      <w:r w:rsidRPr="00C11594">
        <w:t xml:space="preserve">to </w:t>
      </w:r>
      <w:r>
        <w:t>about 265</w:t>
      </w:r>
      <w:r w:rsidRPr="00C11594">
        <w:t xml:space="preserve"> sites across </w:t>
      </w:r>
      <w:r>
        <w:t>WA</w:t>
      </w:r>
      <w:r w:rsidRPr="00C11594">
        <w:t xml:space="preserve">, </w:t>
      </w:r>
      <w:r>
        <w:t>NSW</w:t>
      </w:r>
      <w:r w:rsidRPr="00C11594">
        <w:t xml:space="preserve">, ACT, Queensland and </w:t>
      </w:r>
      <w:r>
        <w:t>SA</w:t>
      </w:r>
      <w:r w:rsidR="004E22C0">
        <w:t>.</w:t>
      </w:r>
      <w:r>
        <w:t xml:space="preserve"> </w:t>
      </w:r>
    </w:p>
    <w:p w:rsidR="007C75BD" w:rsidRPr="00C11594" w:rsidRDefault="007C75BD" w:rsidP="00626538">
      <w:pPr>
        <w:pStyle w:val="Bulletpoint"/>
        <w:tabs>
          <w:tab w:val="num" w:pos="1418"/>
        </w:tabs>
        <w:ind w:left="1418" w:hanging="567"/>
      </w:pPr>
      <w:r w:rsidRPr="00C11594">
        <w:t>Helping Hands started in Queenslan</w:t>
      </w:r>
      <w:r w:rsidR="004E22C0">
        <w:t>d, also</w:t>
      </w:r>
      <w:r w:rsidRPr="00C11594">
        <w:t xml:space="preserve"> in 2008</w:t>
      </w:r>
      <w:r w:rsidR="004E22C0">
        <w:t>,</w:t>
      </w:r>
      <w:r w:rsidRPr="00C11594">
        <w:t xml:space="preserve"> and has </w:t>
      </w:r>
      <w:r>
        <w:t xml:space="preserve">since </w:t>
      </w:r>
      <w:r w:rsidRPr="00C11594">
        <w:t xml:space="preserve">grown to </w:t>
      </w:r>
      <w:r>
        <w:t xml:space="preserve">about 120 </w:t>
      </w:r>
      <w:r w:rsidRPr="00C11594">
        <w:t>sites across Queensland, W</w:t>
      </w:r>
      <w:r>
        <w:t>A</w:t>
      </w:r>
      <w:r w:rsidRPr="00C11594">
        <w:t xml:space="preserve"> and NSW</w:t>
      </w:r>
      <w:r w:rsidR="004E22C0">
        <w:t>.</w:t>
      </w:r>
      <w:r w:rsidRPr="00C11594">
        <w:t xml:space="preserve"> </w:t>
      </w:r>
    </w:p>
    <w:p w:rsidR="007C75BD" w:rsidRPr="00610751" w:rsidRDefault="007C75BD">
      <w:pPr>
        <w:pStyle w:val="Numbered"/>
      </w:pPr>
      <w:r w:rsidRPr="00C11594">
        <w:t xml:space="preserve">In a statement made </w:t>
      </w:r>
      <w:r w:rsidR="0073587C">
        <w:t xml:space="preserve">when it bought the </w:t>
      </w:r>
      <w:proofErr w:type="spellStart"/>
      <w:r w:rsidR="0073587C">
        <w:t>OSHClub</w:t>
      </w:r>
      <w:proofErr w:type="spellEnd"/>
      <w:r w:rsidR="0073587C">
        <w:t xml:space="preserve"> </w:t>
      </w:r>
      <w:r w:rsidR="009E4315">
        <w:t>arm</w:t>
      </w:r>
      <w:r w:rsidR="0073587C">
        <w:t xml:space="preserve"> of the now-combined </w:t>
      </w:r>
      <w:r w:rsidR="00562754">
        <w:t>JAG</w:t>
      </w:r>
      <w:r w:rsidR="00900D52">
        <w:t xml:space="preserve"> </w:t>
      </w:r>
      <w:r w:rsidR="0073587C">
        <w:t xml:space="preserve">business, </w:t>
      </w:r>
      <w:r w:rsidRPr="00C11594">
        <w:t xml:space="preserve">Advent described </w:t>
      </w:r>
      <w:r w:rsidR="0073587C">
        <w:t>it</w:t>
      </w:r>
      <w:r w:rsidRPr="00C11594">
        <w:t xml:space="preserve"> as </w:t>
      </w:r>
      <w:r w:rsidR="009E4315">
        <w:t>‘</w:t>
      </w:r>
      <w:r w:rsidRPr="00C11594">
        <w:t>one of only 3 national players in Australia</w:t>
      </w:r>
      <w:r w:rsidR="009E4315">
        <w:t>’</w:t>
      </w:r>
      <w:r w:rsidRPr="00C11594">
        <w:t xml:space="preserve">; and stated that Advent was </w:t>
      </w:r>
      <w:r w:rsidR="009E4315">
        <w:t>‘</w:t>
      </w:r>
      <w:r w:rsidRPr="00C11594">
        <w:t>attracted to the business as it had a strong market position in a large growing market with favourable industry dynamics</w:t>
      </w:r>
      <w:r w:rsidR="009E4315">
        <w:t>’</w:t>
      </w:r>
      <w:r w:rsidRPr="00C11594">
        <w:t>.</w:t>
      </w:r>
      <w:r>
        <w:rPr>
          <w:rStyle w:val="FootnoteReference"/>
        </w:rPr>
        <w:footnoteReference w:id="1"/>
      </w:r>
    </w:p>
    <w:p w:rsidR="007C75BD" w:rsidRDefault="007C75BD" w:rsidP="009B4954">
      <w:pPr>
        <w:pStyle w:val="Heading3"/>
      </w:pPr>
      <w:r>
        <w:t>Industry background</w:t>
      </w:r>
    </w:p>
    <w:p w:rsidR="009E4315" w:rsidRDefault="007C75BD">
      <w:pPr>
        <w:pStyle w:val="Numbered"/>
      </w:pPr>
      <w:r w:rsidRPr="001020F9">
        <w:t>OSHC</w:t>
      </w:r>
      <w:r>
        <w:t xml:space="preserve"> services are provided</w:t>
      </w:r>
      <w:r w:rsidRPr="001020F9">
        <w:t xml:space="preserve"> to children aged four to 12 years who attend primary school. OSHC</w:t>
      </w:r>
      <w:r w:rsidR="009B4954">
        <w:t xml:space="preserve"> encompass</w:t>
      </w:r>
      <w:r w:rsidR="00562754">
        <w:t>es</w:t>
      </w:r>
      <w:r w:rsidR="009E4315">
        <w:t>:</w:t>
      </w:r>
    </w:p>
    <w:p w:rsidR="009E4315" w:rsidRDefault="007C75BD" w:rsidP="00626538">
      <w:pPr>
        <w:pStyle w:val="Bulletpoint"/>
        <w:tabs>
          <w:tab w:val="num" w:pos="1418"/>
        </w:tabs>
        <w:ind w:left="1418" w:hanging="567"/>
      </w:pPr>
      <w:r w:rsidRPr="001020F9">
        <w:t>before-school care (</w:t>
      </w:r>
      <w:r w:rsidR="006F47C1">
        <w:t xml:space="preserve">often </w:t>
      </w:r>
      <w:r w:rsidRPr="001020F9">
        <w:t>7am to 9am)</w:t>
      </w:r>
    </w:p>
    <w:p w:rsidR="009E4315" w:rsidRDefault="007C75BD" w:rsidP="00626538">
      <w:pPr>
        <w:pStyle w:val="Bulletpoint"/>
        <w:tabs>
          <w:tab w:val="num" w:pos="1418"/>
        </w:tabs>
        <w:ind w:left="1418" w:hanging="567"/>
      </w:pPr>
      <w:r w:rsidRPr="001020F9">
        <w:t>after-school care (usually from after 3pm to 5.30pm or 6pm)</w:t>
      </w:r>
      <w:r>
        <w:t xml:space="preserve"> and </w:t>
      </w:r>
    </w:p>
    <w:p w:rsidR="007C75BD" w:rsidRDefault="00900D52" w:rsidP="00626538">
      <w:pPr>
        <w:pStyle w:val="Bulletpoint"/>
        <w:tabs>
          <w:tab w:val="num" w:pos="1418"/>
        </w:tabs>
        <w:ind w:left="1418" w:hanging="567"/>
      </w:pPr>
      <w:proofErr w:type="gramStart"/>
      <w:r>
        <w:t>vacation</w:t>
      </w:r>
      <w:proofErr w:type="gramEnd"/>
      <w:r>
        <w:t xml:space="preserve"> care (all-</w:t>
      </w:r>
      <w:r w:rsidR="007C75BD">
        <w:t>day care provided during school holidays).</w:t>
      </w:r>
      <w:r w:rsidR="007C75BD" w:rsidRPr="001020F9">
        <w:t xml:space="preserve"> </w:t>
      </w:r>
    </w:p>
    <w:p w:rsidR="00D94EFC" w:rsidRDefault="00D94EFC">
      <w:pPr>
        <w:pStyle w:val="Numbered"/>
      </w:pPr>
      <w:r>
        <w:t xml:space="preserve">According to the Australian Government Department of Education and Training, </w:t>
      </w:r>
      <w:r w:rsidR="008D216D">
        <w:t xml:space="preserve">approximately 418,000 children used </w:t>
      </w:r>
      <w:r>
        <w:t xml:space="preserve">OSHC </w:t>
      </w:r>
      <w:r w:rsidR="008D216D">
        <w:t>in</w:t>
      </w:r>
      <w:r>
        <w:t xml:space="preserve"> the September quarter</w:t>
      </w:r>
      <w:r w:rsidR="008D216D">
        <w:t xml:space="preserve"> of</w:t>
      </w:r>
      <w:r>
        <w:t xml:space="preserve"> 2016</w:t>
      </w:r>
      <w:r w:rsidR="008D216D">
        <w:t>.</w:t>
      </w:r>
      <w:r w:rsidR="00A94E78">
        <w:rPr>
          <w:rStyle w:val="FootnoteReference"/>
        </w:rPr>
        <w:footnoteReference w:id="2"/>
      </w:r>
    </w:p>
    <w:p w:rsidR="00D94EFC" w:rsidRDefault="00D94EFC">
      <w:pPr>
        <w:pStyle w:val="Numbered"/>
      </w:pPr>
      <w:r>
        <w:t>In the three months of the September 2016 quarter, the Australian Government estimates that it paid $165.8 million in Child Care Benefit and Child Care Rebate (discussed in more detail further below) to OSHC services on parents’ behalf.</w:t>
      </w:r>
      <w:r>
        <w:rPr>
          <w:rStyle w:val="FootnoteReference"/>
        </w:rPr>
        <w:footnoteReference w:id="3"/>
      </w:r>
    </w:p>
    <w:p w:rsidR="00B44E64" w:rsidRPr="00E90DAB" w:rsidRDefault="007C75BD">
      <w:pPr>
        <w:pStyle w:val="Numbered"/>
      </w:pPr>
      <w:r w:rsidRPr="00E90DAB">
        <w:t xml:space="preserve">OSHC can be described as a form of ‘formal childcare’. Other types of formal child care are typically for children aged zero to five years </w:t>
      </w:r>
      <w:r w:rsidR="006E2500">
        <w:t>who</w:t>
      </w:r>
      <w:r w:rsidRPr="00E90DAB">
        <w:t xml:space="preserve"> have not yet started primary school. Examples are ‘occasional care’, family day care and long day care. Such services are typically not connected to any particular school.</w:t>
      </w:r>
    </w:p>
    <w:p w:rsidR="007C75BD" w:rsidRDefault="007C75BD">
      <w:pPr>
        <w:pStyle w:val="Numbered"/>
      </w:pPr>
      <w:r>
        <w:t>Parents in need of supervision of primary</w:t>
      </w:r>
      <w:r w:rsidR="00965AB6">
        <w:t>-</w:t>
      </w:r>
      <w:r>
        <w:t>school</w:t>
      </w:r>
      <w:r w:rsidR="00965AB6">
        <w:t>-</w:t>
      </w:r>
      <w:r>
        <w:t xml:space="preserve">aged children outside of school hours may also use informal child care, ordinarily provided by grandparents, other relatives and friends (typically unpaid) or nannies and babysitters. </w:t>
      </w:r>
    </w:p>
    <w:p w:rsidR="007C75BD" w:rsidRDefault="003643BD" w:rsidP="007C75BD">
      <w:pPr>
        <w:pStyle w:val="ListParagraph"/>
        <w:numPr>
          <w:ilvl w:val="0"/>
          <w:numId w:val="0"/>
        </w:numPr>
        <w:rPr>
          <w:i/>
          <w:sz w:val="24"/>
        </w:rPr>
      </w:pPr>
      <w:r>
        <w:rPr>
          <w:i/>
          <w:sz w:val="24"/>
        </w:rPr>
        <w:t>P</w:t>
      </w:r>
      <w:r w:rsidR="007C75BD">
        <w:rPr>
          <w:i/>
          <w:sz w:val="24"/>
        </w:rPr>
        <w:t>arents</w:t>
      </w:r>
      <w:r w:rsidR="00BB2ADC">
        <w:rPr>
          <w:i/>
          <w:sz w:val="24"/>
        </w:rPr>
        <w:t>,</w:t>
      </w:r>
      <w:r w:rsidR="00F9591F">
        <w:rPr>
          <w:i/>
          <w:sz w:val="24"/>
        </w:rPr>
        <w:t xml:space="preserve"> schools</w:t>
      </w:r>
      <w:r w:rsidR="00BB2ADC">
        <w:rPr>
          <w:i/>
          <w:sz w:val="24"/>
        </w:rPr>
        <w:t xml:space="preserve"> and services</w:t>
      </w:r>
    </w:p>
    <w:p w:rsidR="007C75BD" w:rsidRPr="0006461F" w:rsidRDefault="007C75BD">
      <w:pPr>
        <w:pStyle w:val="Numbered"/>
      </w:pPr>
      <w:r w:rsidRPr="008E43BE">
        <w:t>T</w:t>
      </w:r>
      <w:r>
        <w:t>he</w:t>
      </w:r>
      <w:r w:rsidRPr="008E43BE">
        <w:t xml:space="preserve"> </w:t>
      </w:r>
      <w:r>
        <w:t>cust</w:t>
      </w:r>
      <w:r w:rsidRPr="008E43BE">
        <w:t>omer</w:t>
      </w:r>
      <w:r>
        <w:t>s</w:t>
      </w:r>
      <w:r w:rsidRPr="008E43BE">
        <w:t xml:space="preserve"> o</w:t>
      </w:r>
      <w:r>
        <w:t xml:space="preserve">f </w:t>
      </w:r>
      <w:r w:rsidRPr="008E43BE">
        <w:t>OSH</w:t>
      </w:r>
      <w:r>
        <w:t xml:space="preserve">C </w:t>
      </w:r>
      <w:r w:rsidRPr="008E43BE">
        <w:t>ar</w:t>
      </w:r>
      <w:r>
        <w:t>e u</w:t>
      </w:r>
      <w:r w:rsidRPr="008E43BE">
        <w:t>ltim</w:t>
      </w:r>
      <w:r>
        <w:t>ate</w:t>
      </w:r>
      <w:r w:rsidRPr="008E43BE">
        <w:t>l</w:t>
      </w:r>
      <w:r>
        <w:t>y</w:t>
      </w:r>
      <w:r w:rsidRPr="008E43BE">
        <w:t xml:space="preserve"> </w:t>
      </w:r>
      <w:r>
        <w:t>p</w:t>
      </w:r>
      <w:r w:rsidRPr="008E43BE">
        <w:t>ar</w:t>
      </w:r>
      <w:r>
        <w:t>e</w:t>
      </w:r>
      <w:r w:rsidRPr="008E43BE">
        <w:t>nt</w:t>
      </w:r>
      <w:r>
        <w:t>s</w:t>
      </w:r>
      <w:r w:rsidRPr="008E43BE">
        <w:t xml:space="preserve"> </w:t>
      </w:r>
      <w:r>
        <w:t>se</w:t>
      </w:r>
      <w:r w:rsidRPr="008E43BE">
        <w:t>eki</w:t>
      </w:r>
      <w:r>
        <w:t>ng</w:t>
      </w:r>
      <w:r w:rsidRPr="008E43BE">
        <w:t xml:space="preserve"> </w:t>
      </w:r>
      <w:r>
        <w:t>care</w:t>
      </w:r>
      <w:r w:rsidRPr="008E43BE">
        <w:t xml:space="preserve"> </w:t>
      </w:r>
      <w:r>
        <w:t>s</w:t>
      </w:r>
      <w:r w:rsidRPr="008E43BE">
        <w:t>ervi</w:t>
      </w:r>
      <w:r>
        <w:t>ces pro</w:t>
      </w:r>
      <w:r w:rsidRPr="008E43BE">
        <w:t>vi</w:t>
      </w:r>
      <w:r>
        <w:t>d</w:t>
      </w:r>
      <w:r w:rsidRPr="008E43BE">
        <w:t>e</w:t>
      </w:r>
      <w:r>
        <w:t xml:space="preserve">d </w:t>
      </w:r>
      <w:r w:rsidRPr="008E43BE">
        <w:t>t</w:t>
      </w:r>
      <w:r>
        <w:t xml:space="preserve">o </w:t>
      </w:r>
      <w:r w:rsidRPr="008E43BE">
        <w:t>th</w:t>
      </w:r>
      <w:r>
        <w:t>e</w:t>
      </w:r>
      <w:r w:rsidRPr="008E43BE">
        <w:t>i</w:t>
      </w:r>
      <w:r>
        <w:t>r</w:t>
      </w:r>
      <w:r w:rsidRPr="008E43BE">
        <w:t xml:space="preserve"> </w:t>
      </w:r>
      <w:r>
        <w:t>ch</w:t>
      </w:r>
      <w:r w:rsidRPr="008E43BE">
        <w:t>il</w:t>
      </w:r>
      <w:r>
        <w:t>dre</w:t>
      </w:r>
      <w:r w:rsidRPr="008E43BE">
        <w:t>n</w:t>
      </w:r>
      <w:r>
        <w:t>.</w:t>
      </w:r>
      <w:r w:rsidRPr="008E43BE">
        <w:t xml:space="preserve"> Parents pay for </w:t>
      </w:r>
      <w:r w:rsidR="009E4315">
        <w:t xml:space="preserve">the </w:t>
      </w:r>
      <w:r w:rsidRPr="008E43BE">
        <w:t xml:space="preserve">OSHC services, though </w:t>
      </w:r>
      <w:r w:rsidR="009E4315">
        <w:t xml:space="preserve">they </w:t>
      </w:r>
      <w:r w:rsidRPr="008E43BE">
        <w:t xml:space="preserve">receive assistance towards the cost of OSHC from the </w:t>
      </w:r>
      <w:r w:rsidR="009E4315">
        <w:t xml:space="preserve">Australian </w:t>
      </w:r>
      <w:r w:rsidRPr="008E43BE">
        <w:t>Government.</w:t>
      </w:r>
    </w:p>
    <w:p w:rsidR="00B215E5" w:rsidRDefault="009E4315">
      <w:pPr>
        <w:pStyle w:val="Numbered"/>
      </w:pPr>
      <w:r>
        <w:t>Not all schools have OSHC</w:t>
      </w:r>
      <w:r w:rsidR="00A23AEE">
        <w:rPr>
          <w:rStyle w:val="FootnoteReference"/>
        </w:rPr>
        <w:footnoteReference w:id="4"/>
      </w:r>
      <w:r w:rsidR="00A23AEE">
        <w:t>;</w:t>
      </w:r>
      <w:r>
        <w:t xml:space="preserve"> but the majority of OSHC services are provided onsite at a school, either by a third party or by the school itself. </w:t>
      </w:r>
      <w:r w:rsidR="00A23AEE">
        <w:t xml:space="preserve">OSHC services can </w:t>
      </w:r>
      <w:r w:rsidR="00417E0D">
        <w:t xml:space="preserve">also </w:t>
      </w:r>
      <w:r w:rsidR="00A23AEE">
        <w:t xml:space="preserve">be provided at an offsite location such as a community centre, church hall or sporting venue. </w:t>
      </w:r>
      <w:r w:rsidR="00417E0D">
        <w:t xml:space="preserve">Off-site services usually involve students being transported by bus or otherwise accompanied to the external venue. </w:t>
      </w:r>
      <w:r w:rsidR="00B215E5">
        <w:t>The ACCC understands that, with the exception of WA</w:t>
      </w:r>
      <w:r w:rsidR="00767663">
        <w:t xml:space="preserve"> and to a </w:t>
      </w:r>
      <w:r w:rsidR="00417E0D">
        <w:t xml:space="preserve">lesser extent </w:t>
      </w:r>
      <w:r w:rsidR="00767663">
        <w:t>NSW</w:t>
      </w:r>
      <w:r w:rsidR="00B215E5">
        <w:t>, off</w:t>
      </w:r>
      <w:r w:rsidR="00990185">
        <w:t>-</w:t>
      </w:r>
      <w:r w:rsidR="00B215E5">
        <w:t>site OSHC services are rare due to the cost and inconvenience of transporting students.</w:t>
      </w:r>
    </w:p>
    <w:p w:rsidR="00965AB6" w:rsidRDefault="004947C4">
      <w:pPr>
        <w:pStyle w:val="Numbered"/>
      </w:pPr>
      <w:r>
        <w:t>The</w:t>
      </w:r>
      <w:r w:rsidRPr="00A23AEE">
        <w:rPr>
          <w:spacing w:val="-2"/>
        </w:rPr>
        <w:t xml:space="preserve"> </w:t>
      </w:r>
      <w:r w:rsidRPr="00A23AEE">
        <w:rPr>
          <w:spacing w:val="-1"/>
        </w:rPr>
        <w:t>ACC</w:t>
      </w:r>
      <w:r>
        <w:t>C accordingly u</w:t>
      </w:r>
      <w:r w:rsidRPr="00A23AEE">
        <w:rPr>
          <w:spacing w:val="-1"/>
        </w:rPr>
        <w:t>n</w:t>
      </w:r>
      <w:r>
        <w:t>d</w:t>
      </w:r>
      <w:r w:rsidRPr="00A23AEE">
        <w:rPr>
          <w:spacing w:val="-1"/>
        </w:rPr>
        <w:t>e</w:t>
      </w:r>
      <w:r w:rsidRPr="00A23AEE">
        <w:rPr>
          <w:spacing w:val="-2"/>
        </w:rPr>
        <w:t>r</w:t>
      </w:r>
      <w:r>
        <w:t>s</w:t>
      </w:r>
      <w:r w:rsidRPr="00A23AEE">
        <w:rPr>
          <w:spacing w:val="1"/>
        </w:rPr>
        <w:t>t</w:t>
      </w:r>
      <w:r>
        <w:t>a</w:t>
      </w:r>
      <w:r w:rsidRPr="00A23AEE">
        <w:rPr>
          <w:spacing w:val="-1"/>
        </w:rPr>
        <w:t>n</w:t>
      </w:r>
      <w:r>
        <w:t>ds</w:t>
      </w:r>
      <w:r w:rsidRPr="00A23AEE">
        <w:rPr>
          <w:spacing w:val="-2"/>
        </w:rPr>
        <w:t xml:space="preserve"> </w:t>
      </w:r>
      <w:r>
        <w:t xml:space="preserve">that parents often have few if any choices for the supply of OSHC services during school terms (before and after-school care). For reasons of convenience and child safety, parents typically elect to use the OSHC provider at their child’s school rather than an OSHC provider located elsewhere, either at another school or in the rare instance that there is a non-school ‘off-site’ service nearby. So parents with children in before and after-school OSHC typically </w:t>
      </w:r>
      <w:r w:rsidRPr="00565A31">
        <w:t xml:space="preserve">have very little capacity to switch care providers, as doing so would generally require </w:t>
      </w:r>
      <w:r>
        <w:t xml:space="preserve">the drastic step of </w:t>
      </w:r>
      <w:r w:rsidRPr="00565A31">
        <w:t>moving schools</w:t>
      </w:r>
      <w:r>
        <w:t>.</w:t>
      </w:r>
      <w:r>
        <w:rPr>
          <w:rStyle w:val="FootnoteReference"/>
        </w:rPr>
        <w:footnoteReference w:id="5"/>
      </w:r>
      <w:r>
        <w:t xml:space="preserve"> In this way, some market participants have described parents as a ‘captive market’.</w:t>
      </w:r>
    </w:p>
    <w:p w:rsidR="00A23AEE" w:rsidRDefault="00A23AEE">
      <w:pPr>
        <w:pStyle w:val="Numbered"/>
      </w:pPr>
      <w:r>
        <w:t>The ACCC</w:t>
      </w:r>
      <w:r w:rsidR="00FA508B">
        <w:t>’s preliminary view is that off-site OSHC is not a strong feature of the markets</w:t>
      </w:r>
      <w:r w:rsidR="00527BB1">
        <w:t>. Though such services exist, they do not appear to be good substitutes</w:t>
      </w:r>
      <w:r w:rsidR="00FA508B">
        <w:t xml:space="preserve"> </w:t>
      </w:r>
      <w:r w:rsidR="00527BB1">
        <w:t xml:space="preserve">for many parents for on-site services. The ACCC </w:t>
      </w:r>
      <w:r>
        <w:t>has focused its review on onsite OSHC.</w:t>
      </w:r>
    </w:p>
    <w:p w:rsidR="00FA508B" w:rsidRDefault="003643BD">
      <w:pPr>
        <w:pStyle w:val="Numbered"/>
      </w:pPr>
      <w:r>
        <w:t>Parents can also consider sending their children to hobby, recreation and sports clubs and facilities before and after school and during school holidays. These activities could range from tennis lessons to chess clubs. A differentiating feature is that these activities are</w:t>
      </w:r>
      <w:r w:rsidR="006D2797">
        <w:t>:</w:t>
      </w:r>
      <w:r>
        <w:t xml:space="preserve"> not approved for Australian Government Childcare Rebate and Benefit subsidies</w:t>
      </w:r>
      <w:r w:rsidR="00273A20">
        <w:t xml:space="preserve"> (discussed further below)</w:t>
      </w:r>
      <w:r>
        <w:t xml:space="preserve">, which </w:t>
      </w:r>
      <w:r w:rsidR="00C627DB">
        <w:t xml:space="preserve">allows parents to receive a rebate of at least half </w:t>
      </w:r>
      <w:r w:rsidR="00EA126B">
        <w:t xml:space="preserve">of </w:t>
      </w:r>
      <w:r w:rsidR="00C627DB">
        <w:t>the cost</w:t>
      </w:r>
      <w:r>
        <w:t xml:space="preserve">; </w:t>
      </w:r>
      <w:r w:rsidR="006D2797">
        <w:t xml:space="preserve">and </w:t>
      </w:r>
      <w:r w:rsidR="00990185">
        <w:t>are often not on school premises and so require the children to be transported somehow</w:t>
      </w:r>
      <w:r w:rsidR="006D2797">
        <w:t xml:space="preserve">. It </w:t>
      </w:r>
      <w:r>
        <w:t>is unlikely that many parents will send their children to these more ‘novel’ activities for a number of days in a week and in a row.</w:t>
      </w:r>
    </w:p>
    <w:p w:rsidR="007C75BD" w:rsidRPr="00A82F92" w:rsidRDefault="007C75BD">
      <w:pPr>
        <w:pStyle w:val="Numbered"/>
      </w:pPr>
      <w:r>
        <w:rPr>
          <w:spacing w:val="-1"/>
        </w:rPr>
        <w:t>S</w:t>
      </w:r>
      <w:r>
        <w:t>ch</w:t>
      </w:r>
      <w:r>
        <w:rPr>
          <w:spacing w:val="-1"/>
        </w:rPr>
        <w:t>o</w:t>
      </w:r>
      <w:r>
        <w:t>o</w:t>
      </w:r>
      <w:r>
        <w:rPr>
          <w:spacing w:val="-1"/>
        </w:rPr>
        <w:t>l</w:t>
      </w:r>
      <w:r>
        <w:t>s</w:t>
      </w:r>
      <w:r>
        <w:rPr>
          <w:spacing w:val="1"/>
        </w:rPr>
        <w:t xml:space="preserve"> </w:t>
      </w:r>
      <w:r>
        <w:t>p</w:t>
      </w:r>
      <w:r>
        <w:rPr>
          <w:spacing w:val="-1"/>
        </w:rPr>
        <w:t>l</w:t>
      </w:r>
      <w:r>
        <w:t>ay</w:t>
      </w:r>
      <w:r>
        <w:rPr>
          <w:spacing w:val="-2"/>
        </w:rPr>
        <w:t xml:space="preserve"> </w:t>
      </w:r>
      <w:r w:rsidR="00900D52">
        <w:rPr>
          <w:spacing w:val="-2"/>
        </w:rPr>
        <w:t xml:space="preserve">at least </w:t>
      </w:r>
      <w:r>
        <w:t xml:space="preserve">a dual </w:t>
      </w:r>
      <w:r>
        <w:rPr>
          <w:spacing w:val="1"/>
        </w:rPr>
        <w:t>r</w:t>
      </w:r>
      <w:r>
        <w:t>o</w:t>
      </w:r>
      <w:r>
        <w:rPr>
          <w:spacing w:val="-1"/>
        </w:rPr>
        <w:t>l</w:t>
      </w:r>
      <w:r>
        <w:t>e in relation to OSHC services.</w:t>
      </w:r>
      <w:r>
        <w:rPr>
          <w:spacing w:val="-1"/>
        </w:rPr>
        <w:t xml:space="preserve"> </w:t>
      </w:r>
      <w:r w:rsidR="00EA126B">
        <w:rPr>
          <w:spacing w:val="-1"/>
        </w:rPr>
        <w:t xml:space="preserve">They </w:t>
      </w:r>
      <w:r>
        <w:rPr>
          <w:spacing w:val="-3"/>
        </w:rPr>
        <w:t>a</w:t>
      </w:r>
      <w:r>
        <w:t>ct</w:t>
      </w:r>
      <w:r>
        <w:rPr>
          <w:spacing w:val="2"/>
        </w:rPr>
        <w:t xml:space="preserve"> </w:t>
      </w:r>
      <w:r>
        <w:t>as</w:t>
      </w:r>
      <w:r>
        <w:rPr>
          <w:spacing w:val="-2"/>
        </w:rPr>
        <w:t xml:space="preserve"> </w:t>
      </w:r>
      <w:r>
        <w:t>su</w:t>
      </w:r>
      <w:r>
        <w:rPr>
          <w:spacing w:val="-1"/>
        </w:rPr>
        <w:t>p</w:t>
      </w:r>
      <w:r>
        <w:t>p</w:t>
      </w:r>
      <w:r>
        <w:rPr>
          <w:spacing w:val="-1"/>
        </w:rPr>
        <w:t>li</w:t>
      </w:r>
      <w:r>
        <w:t>ers</w:t>
      </w:r>
      <w:r>
        <w:rPr>
          <w:spacing w:val="-1"/>
        </w:rPr>
        <w:t xml:space="preserve"> </w:t>
      </w:r>
      <w:r>
        <w:rPr>
          <w:spacing w:val="1"/>
        </w:rPr>
        <w:t>t</w:t>
      </w:r>
      <w:r>
        <w:t>o</w:t>
      </w:r>
      <w:r>
        <w:rPr>
          <w:spacing w:val="-2"/>
        </w:rPr>
        <w:t xml:space="preserve"> </w:t>
      </w:r>
      <w:r>
        <w:rPr>
          <w:spacing w:val="1"/>
        </w:rPr>
        <w:t>t</w:t>
      </w:r>
      <w:r>
        <w:t>he</w:t>
      </w:r>
      <w:r>
        <w:rPr>
          <w:spacing w:val="-2"/>
        </w:rPr>
        <w:t xml:space="preserve"> </w:t>
      </w:r>
      <w:r>
        <w:rPr>
          <w:spacing w:val="1"/>
        </w:rPr>
        <w:t>O</w:t>
      </w:r>
      <w:r>
        <w:rPr>
          <w:spacing w:val="-3"/>
        </w:rPr>
        <w:t>S</w:t>
      </w:r>
      <w:r>
        <w:rPr>
          <w:spacing w:val="-1"/>
        </w:rPr>
        <w:t>H</w:t>
      </w:r>
      <w:r>
        <w:t>C pro</w:t>
      </w:r>
      <w:r>
        <w:rPr>
          <w:spacing w:val="-2"/>
        </w:rPr>
        <w:t>v</w:t>
      </w:r>
      <w:r>
        <w:rPr>
          <w:spacing w:val="-1"/>
        </w:rPr>
        <w:t>i</w:t>
      </w:r>
      <w:r>
        <w:t>d</w:t>
      </w:r>
      <w:r>
        <w:rPr>
          <w:spacing w:val="-1"/>
        </w:rPr>
        <w:t>e</w:t>
      </w:r>
      <w:r>
        <w:rPr>
          <w:spacing w:val="1"/>
        </w:rPr>
        <w:t>r</w:t>
      </w:r>
      <w:r>
        <w:t xml:space="preserve">s, </w:t>
      </w:r>
      <w:r>
        <w:rPr>
          <w:spacing w:val="1"/>
        </w:rPr>
        <w:t>r</w:t>
      </w:r>
      <w:r>
        <w:t>o</w:t>
      </w:r>
      <w:r>
        <w:rPr>
          <w:spacing w:val="-1"/>
        </w:rPr>
        <w:t>u</w:t>
      </w:r>
      <w:r>
        <w:rPr>
          <w:spacing w:val="1"/>
        </w:rPr>
        <w:t>t</w:t>
      </w:r>
      <w:r>
        <w:rPr>
          <w:spacing w:val="-1"/>
        </w:rPr>
        <w:t>i</w:t>
      </w:r>
      <w:r>
        <w:t>n</w:t>
      </w:r>
      <w:r>
        <w:rPr>
          <w:spacing w:val="-1"/>
        </w:rPr>
        <w:t>el</w:t>
      </w:r>
      <w:r>
        <w:t>y</w:t>
      </w:r>
      <w:r>
        <w:rPr>
          <w:spacing w:val="-1"/>
        </w:rPr>
        <w:t xml:space="preserve"> </w:t>
      </w:r>
      <w:r>
        <w:t>pro</w:t>
      </w:r>
      <w:r>
        <w:rPr>
          <w:spacing w:val="-2"/>
        </w:rPr>
        <w:t>v</w:t>
      </w:r>
      <w:r>
        <w:rPr>
          <w:spacing w:val="-1"/>
        </w:rPr>
        <w:t>i</w:t>
      </w:r>
      <w:r>
        <w:t>d</w:t>
      </w:r>
      <w:r>
        <w:rPr>
          <w:spacing w:val="-1"/>
        </w:rPr>
        <w:t>i</w:t>
      </w:r>
      <w:r>
        <w:t>ng</w:t>
      </w:r>
      <w:r>
        <w:rPr>
          <w:spacing w:val="3"/>
        </w:rPr>
        <w:t xml:space="preserve"> </w:t>
      </w:r>
      <w:r>
        <w:t>a site</w:t>
      </w:r>
      <w:r>
        <w:rPr>
          <w:spacing w:val="-3"/>
        </w:rPr>
        <w:t xml:space="preserve"> </w:t>
      </w:r>
      <w:r>
        <w:t>o</w:t>
      </w:r>
      <w:r>
        <w:rPr>
          <w:spacing w:val="1"/>
        </w:rPr>
        <w:t xml:space="preserve">n school </w:t>
      </w:r>
      <w:r>
        <w:t>pr</w:t>
      </w:r>
      <w:r>
        <w:rPr>
          <w:spacing w:val="-2"/>
        </w:rPr>
        <w:t>e</w:t>
      </w:r>
      <w:r>
        <w:rPr>
          <w:spacing w:val="1"/>
        </w:rPr>
        <w:t>m</w:t>
      </w:r>
      <w:r>
        <w:rPr>
          <w:spacing w:val="-1"/>
        </w:rPr>
        <w:t>i</w:t>
      </w:r>
      <w:r>
        <w:t>ses</w:t>
      </w:r>
      <w:r>
        <w:rPr>
          <w:spacing w:val="-1"/>
        </w:rPr>
        <w:t xml:space="preserve"> </w:t>
      </w:r>
      <w:r>
        <w:rPr>
          <w:spacing w:val="1"/>
        </w:rPr>
        <w:t>(</w:t>
      </w:r>
      <w:r>
        <w:t>such</w:t>
      </w:r>
      <w:r>
        <w:rPr>
          <w:spacing w:val="-2"/>
        </w:rPr>
        <w:t xml:space="preserve"> </w:t>
      </w:r>
      <w:r>
        <w:t>as a</w:t>
      </w:r>
      <w:r>
        <w:rPr>
          <w:spacing w:val="-3"/>
        </w:rPr>
        <w:t xml:space="preserve"> </w:t>
      </w:r>
      <w:r>
        <w:t>sch</w:t>
      </w:r>
      <w:r>
        <w:rPr>
          <w:spacing w:val="-1"/>
        </w:rPr>
        <w:t>o</w:t>
      </w:r>
      <w:r>
        <w:t>ol h</w:t>
      </w:r>
      <w:r>
        <w:rPr>
          <w:spacing w:val="-1"/>
        </w:rPr>
        <w:t>all</w:t>
      </w:r>
      <w:r>
        <w:t xml:space="preserve">) </w:t>
      </w:r>
      <w:r>
        <w:rPr>
          <w:spacing w:val="3"/>
        </w:rPr>
        <w:t>f</w:t>
      </w:r>
      <w:r>
        <w:rPr>
          <w:spacing w:val="-3"/>
        </w:rPr>
        <w:t>o</w:t>
      </w:r>
      <w:r>
        <w:t xml:space="preserve">r </w:t>
      </w:r>
      <w:r>
        <w:rPr>
          <w:spacing w:val="1"/>
        </w:rPr>
        <w:t>t</w:t>
      </w:r>
      <w:r>
        <w:t xml:space="preserve">he </w:t>
      </w:r>
      <w:r>
        <w:rPr>
          <w:spacing w:val="-3"/>
        </w:rPr>
        <w:t>p</w:t>
      </w:r>
      <w:r>
        <w:rPr>
          <w:spacing w:val="1"/>
        </w:rPr>
        <w:t>r</w:t>
      </w:r>
      <w:r>
        <w:t>o</w:t>
      </w:r>
      <w:r>
        <w:rPr>
          <w:spacing w:val="-3"/>
        </w:rPr>
        <w:t>v</w:t>
      </w:r>
      <w:r>
        <w:rPr>
          <w:spacing w:val="-1"/>
        </w:rPr>
        <w:t>i</w:t>
      </w:r>
      <w:r>
        <w:t>d</w:t>
      </w:r>
      <w:r>
        <w:rPr>
          <w:spacing w:val="-1"/>
        </w:rPr>
        <w:t>e</w:t>
      </w:r>
      <w:r>
        <w:t xml:space="preserve">r </w:t>
      </w:r>
      <w:r>
        <w:rPr>
          <w:spacing w:val="1"/>
        </w:rPr>
        <w:t>t</w:t>
      </w:r>
      <w:r>
        <w:t>o us</w:t>
      </w:r>
      <w:r>
        <w:rPr>
          <w:spacing w:val="-2"/>
        </w:rPr>
        <w:t>e</w:t>
      </w:r>
      <w:r>
        <w:t xml:space="preserve">. </w:t>
      </w:r>
      <w:r w:rsidR="00EA126B">
        <w:t xml:space="preserve">Additionally, </w:t>
      </w:r>
      <w:r>
        <w:t>sch</w:t>
      </w:r>
      <w:r>
        <w:rPr>
          <w:spacing w:val="-1"/>
        </w:rPr>
        <w:t>o</w:t>
      </w:r>
      <w:r>
        <w:t xml:space="preserve">ol </w:t>
      </w:r>
      <w:r>
        <w:rPr>
          <w:spacing w:val="-3"/>
        </w:rPr>
        <w:t>p</w:t>
      </w:r>
      <w:r>
        <w:rPr>
          <w:spacing w:val="-2"/>
        </w:rPr>
        <w:t>r</w:t>
      </w:r>
      <w:r>
        <w:rPr>
          <w:spacing w:val="-1"/>
        </w:rPr>
        <w:t>i</w:t>
      </w:r>
      <w:r>
        <w:t>nc</w:t>
      </w:r>
      <w:r>
        <w:rPr>
          <w:spacing w:val="-1"/>
        </w:rPr>
        <w:t>i</w:t>
      </w:r>
      <w:r>
        <w:t>p</w:t>
      </w:r>
      <w:r>
        <w:rPr>
          <w:spacing w:val="-1"/>
        </w:rPr>
        <w:t>al</w:t>
      </w:r>
      <w:r>
        <w:t>s</w:t>
      </w:r>
      <w:r>
        <w:rPr>
          <w:spacing w:val="1"/>
        </w:rPr>
        <w:t xml:space="preserve"> </w:t>
      </w:r>
      <w:r>
        <w:t>a</w:t>
      </w:r>
      <w:r>
        <w:rPr>
          <w:spacing w:val="-1"/>
        </w:rPr>
        <w:t>n</w:t>
      </w:r>
      <w:r>
        <w:t>d /</w:t>
      </w:r>
      <w:r>
        <w:rPr>
          <w:spacing w:val="3"/>
        </w:rPr>
        <w:t xml:space="preserve"> </w:t>
      </w:r>
      <w:r>
        <w:rPr>
          <w:spacing w:val="-3"/>
        </w:rPr>
        <w:t>o</w:t>
      </w:r>
      <w:r>
        <w:t>r sch</w:t>
      </w:r>
      <w:r>
        <w:rPr>
          <w:spacing w:val="-1"/>
        </w:rPr>
        <w:t>o</w:t>
      </w:r>
      <w:r>
        <w:t xml:space="preserve">ol </w:t>
      </w:r>
      <w:r>
        <w:rPr>
          <w:spacing w:val="-2"/>
        </w:rPr>
        <w:t>c</w:t>
      </w:r>
      <w:r>
        <w:t>o</w:t>
      </w:r>
      <w:r>
        <w:rPr>
          <w:spacing w:val="-1"/>
        </w:rPr>
        <w:t>u</w:t>
      </w:r>
      <w:r>
        <w:t>nc</w:t>
      </w:r>
      <w:r>
        <w:rPr>
          <w:spacing w:val="-1"/>
        </w:rPr>
        <w:t>il</w:t>
      </w:r>
      <w:r>
        <w:t>s</w:t>
      </w:r>
      <w:r>
        <w:rPr>
          <w:spacing w:val="1"/>
        </w:rPr>
        <w:t xml:space="preserve"> r</w:t>
      </w:r>
      <w:r>
        <w:t>o</w:t>
      </w:r>
      <w:r>
        <w:rPr>
          <w:spacing w:val="-1"/>
        </w:rPr>
        <w:t>u</w:t>
      </w:r>
      <w:r>
        <w:rPr>
          <w:spacing w:val="1"/>
        </w:rPr>
        <w:t>t</w:t>
      </w:r>
      <w:r>
        <w:rPr>
          <w:spacing w:val="-1"/>
        </w:rPr>
        <w:t>i</w:t>
      </w:r>
      <w:r>
        <w:t>n</w:t>
      </w:r>
      <w:r>
        <w:rPr>
          <w:spacing w:val="-1"/>
        </w:rPr>
        <w:t>el</w:t>
      </w:r>
      <w:r>
        <w:t>y</w:t>
      </w:r>
      <w:r>
        <w:rPr>
          <w:spacing w:val="-1"/>
        </w:rPr>
        <w:t xml:space="preserve"> </w:t>
      </w:r>
      <w:r>
        <w:rPr>
          <w:spacing w:val="1"/>
        </w:rPr>
        <w:t>m</w:t>
      </w:r>
      <w:r>
        <w:rPr>
          <w:spacing w:val="-3"/>
        </w:rPr>
        <w:t>a</w:t>
      </w:r>
      <w:r>
        <w:rPr>
          <w:spacing w:val="2"/>
        </w:rPr>
        <w:t>k</w:t>
      </w:r>
      <w:r>
        <w:t>e</w:t>
      </w:r>
      <w:r>
        <w:rPr>
          <w:spacing w:val="-2"/>
        </w:rPr>
        <w:t xml:space="preserve"> </w:t>
      </w:r>
      <w:r>
        <w:rPr>
          <w:spacing w:val="-3"/>
        </w:rPr>
        <w:t>d</w:t>
      </w:r>
      <w:r>
        <w:t>ec</w:t>
      </w:r>
      <w:r>
        <w:rPr>
          <w:spacing w:val="-1"/>
        </w:rPr>
        <w:t>i</w:t>
      </w:r>
      <w:r>
        <w:t>s</w:t>
      </w:r>
      <w:r>
        <w:rPr>
          <w:spacing w:val="-1"/>
        </w:rPr>
        <w:t>i</w:t>
      </w:r>
      <w:r>
        <w:t>o</w:t>
      </w:r>
      <w:r>
        <w:rPr>
          <w:spacing w:val="-1"/>
        </w:rPr>
        <w:t>n</w:t>
      </w:r>
      <w:r>
        <w:t>s</w:t>
      </w:r>
      <w:r>
        <w:rPr>
          <w:spacing w:val="1"/>
        </w:rPr>
        <w:t xml:space="preserve"> </w:t>
      </w:r>
      <w:r>
        <w:t>as</w:t>
      </w:r>
      <w:r>
        <w:rPr>
          <w:spacing w:val="-2"/>
        </w:rPr>
        <w:t xml:space="preserve"> </w:t>
      </w:r>
      <w:r>
        <w:rPr>
          <w:spacing w:val="1"/>
        </w:rPr>
        <w:t>t</w:t>
      </w:r>
      <w:r>
        <w:t>o:</w:t>
      </w:r>
    </w:p>
    <w:p w:rsidR="007C75BD" w:rsidRPr="00390509" w:rsidRDefault="007C75BD" w:rsidP="00626538">
      <w:pPr>
        <w:pStyle w:val="Bulletpoint"/>
        <w:tabs>
          <w:tab w:val="num" w:pos="1418"/>
        </w:tabs>
        <w:ind w:left="1418" w:hanging="567"/>
      </w:pPr>
      <w:r w:rsidRPr="00390509">
        <w:t>whether to have OSHC at the school</w:t>
      </w:r>
      <w:r w:rsidR="00BB2ADC">
        <w:t xml:space="preserve"> at all</w:t>
      </w:r>
    </w:p>
    <w:p w:rsidR="007C75BD" w:rsidRPr="00390509" w:rsidRDefault="007C75BD" w:rsidP="00626538">
      <w:pPr>
        <w:pStyle w:val="Bulletpoint"/>
        <w:tabs>
          <w:tab w:val="num" w:pos="1418"/>
        </w:tabs>
        <w:ind w:left="1418" w:hanging="567"/>
      </w:pPr>
      <w:r w:rsidRPr="00390509">
        <w:t>whether the school will provide the service itself or outsource it and</w:t>
      </w:r>
    </w:p>
    <w:p w:rsidR="007C75BD" w:rsidRPr="00390509" w:rsidRDefault="007C75BD" w:rsidP="00626538">
      <w:pPr>
        <w:pStyle w:val="Bulletpoint"/>
        <w:tabs>
          <w:tab w:val="num" w:pos="1418"/>
        </w:tabs>
        <w:ind w:left="1418" w:hanging="567"/>
      </w:pPr>
      <w:proofErr w:type="gramStart"/>
      <w:r w:rsidRPr="00390509">
        <w:t>which</w:t>
      </w:r>
      <w:proofErr w:type="gramEnd"/>
      <w:r w:rsidRPr="00390509">
        <w:t xml:space="preserve"> outside provider is engaged.</w:t>
      </w:r>
    </w:p>
    <w:p w:rsidR="007C75BD" w:rsidRDefault="007C75BD">
      <w:pPr>
        <w:pStyle w:val="Numbered"/>
      </w:pPr>
      <w:r w:rsidRPr="00CF0239">
        <w:rPr>
          <w:spacing w:val="1"/>
        </w:rPr>
        <w:t>I</w:t>
      </w:r>
      <w:r>
        <w:t>n</w:t>
      </w:r>
      <w:r w:rsidRPr="00CF0239">
        <w:rPr>
          <w:spacing w:val="-2"/>
        </w:rPr>
        <w:t xml:space="preserve"> </w:t>
      </w:r>
      <w:r w:rsidRPr="00CF0239">
        <w:rPr>
          <w:spacing w:val="1"/>
        </w:rPr>
        <w:t>t</w:t>
      </w:r>
      <w:r>
        <w:t>h</w:t>
      </w:r>
      <w:r w:rsidRPr="00CF0239">
        <w:rPr>
          <w:spacing w:val="-1"/>
        </w:rPr>
        <w:t>i</w:t>
      </w:r>
      <w:r>
        <w:t>s</w:t>
      </w:r>
      <w:r w:rsidRPr="00CF0239">
        <w:rPr>
          <w:spacing w:val="1"/>
        </w:rPr>
        <w:t xml:space="preserve"> </w:t>
      </w:r>
      <w:r>
        <w:t>se</w:t>
      </w:r>
      <w:r w:rsidRPr="00CF0239">
        <w:rPr>
          <w:spacing w:val="-1"/>
        </w:rPr>
        <w:t>n</w:t>
      </w:r>
      <w:r>
        <w:t>s</w:t>
      </w:r>
      <w:r w:rsidRPr="00CF0239">
        <w:rPr>
          <w:spacing w:val="-3"/>
        </w:rPr>
        <w:t>e</w:t>
      </w:r>
      <w:r>
        <w:t>, sch</w:t>
      </w:r>
      <w:r w:rsidRPr="00CF0239">
        <w:rPr>
          <w:spacing w:val="-1"/>
        </w:rPr>
        <w:t>o</w:t>
      </w:r>
      <w:r>
        <w:t>o</w:t>
      </w:r>
      <w:r w:rsidRPr="00CF0239">
        <w:rPr>
          <w:spacing w:val="-1"/>
        </w:rPr>
        <w:t>l</w:t>
      </w:r>
      <w:r>
        <w:t>s</w:t>
      </w:r>
      <w:r w:rsidRPr="00CF0239">
        <w:rPr>
          <w:spacing w:val="1"/>
        </w:rPr>
        <w:t xml:space="preserve"> </w:t>
      </w:r>
      <w:r>
        <w:t>c</w:t>
      </w:r>
      <w:r w:rsidRPr="00CF0239">
        <w:rPr>
          <w:spacing w:val="-3"/>
        </w:rPr>
        <w:t>a</w:t>
      </w:r>
      <w:r>
        <w:t>n be</w:t>
      </w:r>
      <w:r w:rsidRPr="00CF0239">
        <w:rPr>
          <w:spacing w:val="1"/>
        </w:rPr>
        <w:t xml:space="preserve"> </w:t>
      </w:r>
      <w:r>
        <w:t>se</w:t>
      </w:r>
      <w:r w:rsidRPr="00CF0239">
        <w:rPr>
          <w:spacing w:val="-1"/>
        </w:rPr>
        <w:t>e</w:t>
      </w:r>
      <w:r>
        <w:t>n</w:t>
      </w:r>
      <w:r w:rsidRPr="00CF0239">
        <w:rPr>
          <w:spacing w:val="-2"/>
        </w:rPr>
        <w:t xml:space="preserve"> </w:t>
      </w:r>
      <w:r>
        <w:t>as</w:t>
      </w:r>
      <w:r w:rsidRPr="00CF0239">
        <w:rPr>
          <w:spacing w:val="-2"/>
        </w:rPr>
        <w:t xml:space="preserve"> </w:t>
      </w:r>
      <w:r w:rsidRPr="00CF0239">
        <w:rPr>
          <w:spacing w:val="-3"/>
        </w:rPr>
        <w:t>a</w:t>
      </w:r>
      <w:r w:rsidRPr="00CF0239">
        <w:rPr>
          <w:spacing w:val="2"/>
        </w:rPr>
        <w:t>g</w:t>
      </w:r>
      <w:r>
        <w:t>e</w:t>
      </w:r>
      <w:r w:rsidRPr="00CF0239">
        <w:rPr>
          <w:spacing w:val="-1"/>
        </w:rPr>
        <w:t>n</w:t>
      </w:r>
      <w:r w:rsidRPr="00CF0239">
        <w:rPr>
          <w:spacing w:val="1"/>
        </w:rPr>
        <w:t>t</w:t>
      </w:r>
      <w:r w:rsidRPr="00CF0239">
        <w:rPr>
          <w:spacing w:val="-2"/>
        </w:rPr>
        <w:t>s</w:t>
      </w:r>
      <w:r>
        <w:t xml:space="preserve">, </w:t>
      </w:r>
      <w:r w:rsidRPr="00CF0239">
        <w:rPr>
          <w:spacing w:val="1"/>
        </w:rPr>
        <w:t>m</w:t>
      </w:r>
      <w:r w:rsidRPr="00CF0239">
        <w:rPr>
          <w:spacing w:val="-3"/>
        </w:rPr>
        <w:t>a</w:t>
      </w:r>
      <w:r w:rsidRPr="00CF0239">
        <w:rPr>
          <w:spacing w:val="2"/>
        </w:rPr>
        <w:t>k</w:t>
      </w:r>
      <w:r w:rsidRPr="00CF0239">
        <w:rPr>
          <w:spacing w:val="-1"/>
        </w:rPr>
        <w:t>i</w:t>
      </w:r>
      <w:r w:rsidRPr="00CF0239">
        <w:rPr>
          <w:spacing w:val="-3"/>
        </w:rPr>
        <w:t>n</w:t>
      </w:r>
      <w:r>
        <w:t>g</w:t>
      </w:r>
      <w:r w:rsidRPr="00CF0239">
        <w:rPr>
          <w:spacing w:val="3"/>
        </w:rPr>
        <w:t xml:space="preserve"> </w:t>
      </w:r>
      <w:r>
        <w:t>d</w:t>
      </w:r>
      <w:r w:rsidRPr="00CF0239">
        <w:rPr>
          <w:spacing w:val="-3"/>
        </w:rPr>
        <w:t>e</w:t>
      </w:r>
      <w:r>
        <w:t>c</w:t>
      </w:r>
      <w:r w:rsidRPr="00CF0239">
        <w:rPr>
          <w:spacing w:val="-1"/>
        </w:rPr>
        <w:t>i</w:t>
      </w:r>
      <w:r>
        <w:t>s</w:t>
      </w:r>
      <w:r w:rsidRPr="00CF0239">
        <w:rPr>
          <w:spacing w:val="-1"/>
        </w:rPr>
        <w:t>i</w:t>
      </w:r>
      <w:r>
        <w:t>o</w:t>
      </w:r>
      <w:r w:rsidRPr="00CF0239">
        <w:rPr>
          <w:spacing w:val="-1"/>
        </w:rPr>
        <w:t>n</w:t>
      </w:r>
      <w:r>
        <w:t>s</w:t>
      </w:r>
      <w:r w:rsidRPr="00CF0239">
        <w:rPr>
          <w:spacing w:val="1"/>
        </w:rPr>
        <w:t xml:space="preserve"> </w:t>
      </w:r>
      <w:r>
        <w:t>a</w:t>
      </w:r>
      <w:r w:rsidRPr="00CF0239">
        <w:rPr>
          <w:spacing w:val="-1"/>
        </w:rPr>
        <w:t>b</w:t>
      </w:r>
      <w:r>
        <w:t>o</w:t>
      </w:r>
      <w:r w:rsidRPr="00CF0239">
        <w:rPr>
          <w:spacing w:val="-1"/>
        </w:rPr>
        <w:t>u</w:t>
      </w:r>
      <w:r>
        <w:t xml:space="preserve">t </w:t>
      </w:r>
      <w:r w:rsidRPr="00CF0239">
        <w:rPr>
          <w:spacing w:val="1"/>
        </w:rPr>
        <w:t>t</w:t>
      </w:r>
      <w:r>
        <w:t>he</w:t>
      </w:r>
      <w:r w:rsidRPr="00CF0239">
        <w:rPr>
          <w:spacing w:val="-4"/>
        </w:rPr>
        <w:t xml:space="preserve"> </w:t>
      </w:r>
      <w:r>
        <w:t>pro</w:t>
      </w:r>
      <w:r w:rsidRPr="00CF0239">
        <w:rPr>
          <w:spacing w:val="-2"/>
        </w:rPr>
        <w:t>v</w:t>
      </w:r>
      <w:r w:rsidRPr="00CF0239">
        <w:rPr>
          <w:spacing w:val="-1"/>
        </w:rPr>
        <w:t>i</w:t>
      </w:r>
      <w:r>
        <w:t>s</w:t>
      </w:r>
      <w:r w:rsidRPr="00CF0239">
        <w:rPr>
          <w:spacing w:val="-1"/>
        </w:rPr>
        <w:t>i</w:t>
      </w:r>
      <w:r>
        <w:t xml:space="preserve">on of </w:t>
      </w:r>
      <w:r w:rsidRPr="00CF0239">
        <w:rPr>
          <w:spacing w:val="1"/>
        </w:rPr>
        <w:t>O</w:t>
      </w:r>
      <w:r w:rsidRPr="00CF0239">
        <w:rPr>
          <w:spacing w:val="-1"/>
        </w:rPr>
        <w:t>SH</w:t>
      </w:r>
      <w:r>
        <w:t>C s</w:t>
      </w:r>
      <w:r w:rsidRPr="00CF0239">
        <w:rPr>
          <w:spacing w:val="-3"/>
        </w:rPr>
        <w:t>e</w:t>
      </w:r>
      <w:r w:rsidRPr="00CF0239">
        <w:rPr>
          <w:spacing w:val="1"/>
        </w:rPr>
        <w:t>r</w:t>
      </w:r>
      <w:r w:rsidRPr="00CF0239">
        <w:rPr>
          <w:spacing w:val="-2"/>
        </w:rPr>
        <w:t>v</w:t>
      </w:r>
      <w:r w:rsidRPr="00CF0239">
        <w:rPr>
          <w:spacing w:val="-1"/>
        </w:rPr>
        <w:t>i</w:t>
      </w:r>
      <w:r>
        <w:t>ces on</w:t>
      </w:r>
      <w:r w:rsidRPr="00CF0239">
        <w:rPr>
          <w:spacing w:val="1"/>
        </w:rPr>
        <w:t xml:space="preserve"> </w:t>
      </w:r>
      <w:r>
        <w:t>b</w:t>
      </w:r>
      <w:r w:rsidRPr="00CF0239">
        <w:rPr>
          <w:spacing w:val="-1"/>
        </w:rPr>
        <w:t>e</w:t>
      </w:r>
      <w:r>
        <w:t>h</w:t>
      </w:r>
      <w:r w:rsidRPr="00CF0239">
        <w:rPr>
          <w:spacing w:val="-1"/>
        </w:rPr>
        <w:t>a</w:t>
      </w:r>
      <w:r w:rsidRPr="00CF0239">
        <w:rPr>
          <w:spacing w:val="-3"/>
        </w:rPr>
        <w:t>l</w:t>
      </w:r>
      <w:r>
        <w:t>f</w:t>
      </w:r>
      <w:r w:rsidRPr="00CF0239">
        <w:rPr>
          <w:spacing w:val="2"/>
        </w:rPr>
        <w:t xml:space="preserve"> </w:t>
      </w:r>
      <w:r w:rsidRPr="00CF0239">
        <w:rPr>
          <w:spacing w:val="-3"/>
        </w:rPr>
        <w:t>o</w:t>
      </w:r>
      <w:r>
        <w:t>f</w:t>
      </w:r>
      <w:r w:rsidRPr="00CF0239">
        <w:rPr>
          <w:spacing w:val="2"/>
        </w:rPr>
        <w:t xml:space="preserve"> </w:t>
      </w:r>
      <w:r>
        <w:t>p</w:t>
      </w:r>
      <w:r w:rsidRPr="00CF0239">
        <w:rPr>
          <w:spacing w:val="-1"/>
        </w:rPr>
        <w:t>a</w:t>
      </w:r>
      <w:r w:rsidRPr="00CF0239">
        <w:rPr>
          <w:spacing w:val="1"/>
        </w:rPr>
        <w:t>r</w:t>
      </w:r>
      <w:r>
        <w:t>e</w:t>
      </w:r>
      <w:r w:rsidRPr="00CF0239">
        <w:rPr>
          <w:spacing w:val="-3"/>
        </w:rPr>
        <w:t>n</w:t>
      </w:r>
      <w:r w:rsidRPr="00CF0239">
        <w:rPr>
          <w:spacing w:val="1"/>
        </w:rPr>
        <w:t>t</w:t>
      </w:r>
      <w:r>
        <w:t>s</w:t>
      </w:r>
      <w:r w:rsidRPr="00CF0239">
        <w:rPr>
          <w:spacing w:val="1"/>
        </w:rPr>
        <w:t xml:space="preserve"> </w:t>
      </w:r>
      <w:r w:rsidRPr="00CF0239">
        <w:rPr>
          <w:spacing w:val="-3"/>
        </w:rPr>
        <w:t>o</w:t>
      </w:r>
      <w:r>
        <w:t>f s</w:t>
      </w:r>
      <w:r w:rsidRPr="00CF0239">
        <w:rPr>
          <w:spacing w:val="1"/>
        </w:rPr>
        <w:t>t</w:t>
      </w:r>
      <w:r>
        <w:t>u</w:t>
      </w:r>
      <w:r w:rsidRPr="00CF0239">
        <w:rPr>
          <w:spacing w:val="-1"/>
        </w:rPr>
        <w:t>d</w:t>
      </w:r>
      <w:r>
        <w:t>e</w:t>
      </w:r>
      <w:r w:rsidRPr="00CF0239">
        <w:rPr>
          <w:spacing w:val="-3"/>
        </w:rPr>
        <w:t>n</w:t>
      </w:r>
      <w:r w:rsidRPr="00CF0239">
        <w:rPr>
          <w:spacing w:val="1"/>
        </w:rPr>
        <w:t>t</w:t>
      </w:r>
      <w:r>
        <w:t>s</w:t>
      </w:r>
      <w:r w:rsidRPr="00CF0239">
        <w:rPr>
          <w:spacing w:val="1"/>
        </w:rPr>
        <w:t xml:space="preserve"> </w:t>
      </w:r>
      <w:r>
        <w:t>e</w:t>
      </w:r>
      <w:r w:rsidRPr="00CF0239">
        <w:rPr>
          <w:spacing w:val="-3"/>
        </w:rPr>
        <w:t>n</w:t>
      </w:r>
      <w:r w:rsidRPr="00CF0239">
        <w:rPr>
          <w:spacing w:val="1"/>
        </w:rPr>
        <w:t>r</w:t>
      </w:r>
      <w:r w:rsidRPr="00CF0239">
        <w:rPr>
          <w:spacing w:val="-3"/>
        </w:rPr>
        <w:t>o</w:t>
      </w:r>
      <w:r w:rsidRPr="00CF0239">
        <w:rPr>
          <w:spacing w:val="-1"/>
        </w:rPr>
        <w:t>ll</w:t>
      </w:r>
      <w:r>
        <w:t>ed at</w:t>
      </w:r>
      <w:r w:rsidRPr="00CF0239">
        <w:rPr>
          <w:spacing w:val="2"/>
        </w:rPr>
        <w:t xml:space="preserve"> </w:t>
      </w:r>
      <w:r w:rsidRPr="00CF0239">
        <w:rPr>
          <w:spacing w:val="1"/>
        </w:rPr>
        <w:t>t</w:t>
      </w:r>
      <w:r>
        <w:t>h</w:t>
      </w:r>
      <w:r w:rsidRPr="00CF0239">
        <w:rPr>
          <w:spacing w:val="-3"/>
        </w:rPr>
        <w:t>a</w:t>
      </w:r>
      <w:r>
        <w:t>t sch</w:t>
      </w:r>
      <w:r w:rsidRPr="00CF0239">
        <w:rPr>
          <w:spacing w:val="-1"/>
        </w:rPr>
        <w:t>o</w:t>
      </w:r>
      <w:r>
        <w:t>o</w:t>
      </w:r>
      <w:r w:rsidRPr="00CF0239">
        <w:rPr>
          <w:spacing w:val="-1"/>
        </w:rPr>
        <w:t>l</w:t>
      </w:r>
      <w:r>
        <w:t xml:space="preserve">. That is, there is </w:t>
      </w:r>
      <w:r w:rsidR="00900D52">
        <w:t xml:space="preserve">some separation </w:t>
      </w:r>
      <w:r>
        <w:t>between those who pay for OSHC services (parents, and the Commonwealth Government through subsidy programs) and the decision maker about OSHC services (the school).</w:t>
      </w:r>
    </w:p>
    <w:p w:rsidR="007C75BD" w:rsidRDefault="007C75BD">
      <w:pPr>
        <w:pStyle w:val="Numbered"/>
      </w:pPr>
      <w:r>
        <w:rPr>
          <w:spacing w:val="-1"/>
        </w:rPr>
        <w:t>C</w:t>
      </w:r>
      <w:r>
        <w:t>ompe</w:t>
      </w:r>
      <w:r>
        <w:rPr>
          <w:spacing w:val="1"/>
        </w:rPr>
        <w:t>t</w:t>
      </w:r>
      <w:r>
        <w:rPr>
          <w:spacing w:val="-1"/>
        </w:rPr>
        <w:t>i</w:t>
      </w:r>
      <w:r>
        <w:rPr>
          <w:spacing w:val="1"/>
        </w:rPr>
        <w:t>t</w:t>
      </w:r>
      <w:r>
        <w:rPr>
          <w:spacing w:val="-1"/>
        </w:rPr>
        <w:t>i</w:t>
      </w:r>
      <w:r>
        <w:t xml:space="preserve">on </w:t>
      </w:r>
      <w:r>
        <w:rPr>
          <w:spacing w:val="-1"/>
        </w:rPr>
        <w:t>i</w:t>
      </w:r>
      <w:r>
        <w:t>n</w:t>
      </w:r>
      <w:r>
        <w:rPr>
          <w:spacing w:val="-2"/>
        </w:rPr>
        <w:t xml:space="preserve"> </w:t>
      </w:r>
      <w:r>
        <w:rPr>
          <w:spacing w:val="1"/>
        </w:rPr>
        <w:t>t</w:t>
      </w:r>
      <w:r>
        <w:t>h</w:t>
      </w:r>
      <w:r>
        <w:rPr>
          <w:spacing w:val="-1"/>
        </w:rPr>
        <w:t>i</w:t>
      </w:r>
      <w:r>
        <w:t>s</w:t>
      </w:r>
      <w:r>
        <w:rPr>
          <w:spacing w:val="-1"/>
        </w:rPr>
        <w:t xml:space="preserve"> </w:t>
      </w:r>
      <w:r>
        <w:t>sect</w:t>
      </w:r>
      <w:r>
        <w:rPr>
          <w:spacing w:val="-2"/>
        </w:rPr>
        <w:t>o</w:t>
      </w:r>
      <w:r>
        <w:t xml:space="preserve">r </w:t>
      </w:r>
      <w:r>
        <w:rPr>
          <w:spacing w:val="1"/>
        </w:rPr>
        <w:t>t</w:t>
      </w:r>
      <w:r>
        <w:t>h</w:t>
      </w:r>
      <w:r>
        <w:rPr>
          <w:spacing w:val="-1"/>
        </w:rPr>
        <w:t>e</w:t>
      </w:r>
      <w:r>
        <w:rPr>
          <w:spacing w:val="1"/>
        </w:rPr>
        <w:t>r</w:t>
      </w:r>
      <w:r>
        <w:rPr>
          <w:spacing w:val="-3"/>
        </w:rPr>
        <w:t>e</w:t>
      </w:r>
      <w:r>
        <w:rPr>
          <w:spacing w:val="1"/>
        </w:rPr>
        <w:t>f</w:t>
      </w:r>
      <w:r>
        <w:t>ore</w:t>
      </w:r>
      <w:r>
        <w:rPr>
          <w:spacing w:val="-1"/>
        </w:rPr>
        <w:t xml:space="preserve"> </w:t>
      </w:r>
      <w:r>
        <w:t>prim</w:t>
      </w:r>
      <w:r>
        <w:rPr>
          <w:spacing w:val="-2"/>
        </w:rPr>
        <w:t>a</w:t>
      </w:r>
      <w:r>
        <w:rPr>
          <w:spacing w:val="1"/>
        </w:rPr>
        <w:t>r</w:t>
      </w:r>
      <w:r>
        <w:rPr>
          <w:spacing w:val="-1"/>
        </w:rPr>
        <w:t>il</w:t>
      </w:r>
      <w:r>
        <w:t>y</w:t>
      </w:r>
      <w:r>
        <w:rPr>
          <w:spacing w:val="-1"/>
        </w:rPr>
        <w:t xml:space="preserve"> </w:t>
      </w:r>
      <w:r>
        <w:rPr>
          <w:spacing w:val="1"/>
        </w:rPr>
        <w:t>t</w:t>
      </w:r>
      <w:r>
        <w:rPr>
          <w:spacing w:val="-3"/>
        </w:rPr>
        <w:t>a</w:t>
      </w:r>
      <w:r>
        <w:rPr>
          <w:spacing w:val="2"/>
        </w:rPr>
        <w:t>k</w:t>
      </w:r>
      <w:r>
        <w:rPr>
          <w:spacing w:val="-3"/>
        </w:rPr>
        <w:t>e</w:t>
      </w:r>
      <w:r>
        <w:t>s</w:t>
      </w:r>
      <w:r>
        <w:rPr>
          <w:spacing w:val="1"/>
        </w:rPr>
        <w:t xml:space="preserve"> t</w:t>
      </w:r>
      <w:r>
        <w:t>he</w:t>
      </w:r>
      <w:r>
        <w:rPr>
          <w:spacing w:val="-4"/>
        </w:rPr>
        <w:t xml:space="preserve"> </w:t>
      </w:r>
      <w:r>
        <w:rPr>
          <w:spacing w:val="3"/>
        </w:rPr>
        <w:t>f</w:t>
      </w:r>
      <w:r>
        <w:rPr>
          <w:spacing w:val="-3"/>
        </w:rPr>
        <w:t>o</w:t>
      </w:r>
      <w:r>
        <w:rPr>
          <w:spacing w:val="1"/>
        </w:rPr>
        <w:t>r</w:t>
      </w:r>
      <w:r>
        <w:t xml:space="preserve">m </w:t>
      </w:r>
      <w:r>
        <w:rPr>
          <w:spacing w:val="-3"/>
        </w:rPr>
        <w:t>o</w:t>
      </w:r>
      <w:r>
        <w:t xml:space="preserve">f </w:t>
      </w:r>
      <w:r>
        <w:rPr>
          <w:spacing w:val="1"/>
        </w:rPr>
        <w:t>O</w:t>
      </w:r>
      <w:r>
        <w:rPr>
          <w:spacing w:val="-1"/>
        </w:rPr>
        <w:t>SH</w:t>
      </w:r>
      <w:r>
        <w:t>C pro</w:t>
      </w:r>
      <w:r>
        <w:rPr>
          <w:spacing w:val="-2"/>
        </w:rPr>
        <w:t>v</w:t>
      </w:r>
      <w:r>
        <w:rPr>
          <w:spacing w:val="-1"/>
        </w:rPr>
        <w:t>i</w:t>
      </w:r>
      <w:r>
        <w:t>d</w:t>
      </w:r>
      <w:r>
        <w:rPr>
          <w:spacing w:val="-1"/>
        </w:rPr>
        <w:t>e</w:t>
      </w:r>
      <w:r>
        <w:rPr>
          <w:spacing w:val="1"/>
        </w:rPr>
        <w:t>r</w:t>
      </w:r>
      <w:r>
        <w:t>s</w:t>
      </w:r>
      <w:r>
        <w:rPr>
          <w:spacing w:val="1"/>
        </w:rPr>
        <w:t xml:space="preserve"> </w:t>
      </w:r>
      <w:r>
        <w:t>comp</w:t>
      </w:r>
      <w:r>
        <w:rPr>
          <w:spacing w:val="-3"/>
        </w:rPr>
        <w:t>e</w:t>
      </w:r>
      <w:r>
        <w:rPr>
          <w:spacing w:val="1"/>
        </w:rPr>
        <w:t>t</w:t>
      </w:r>
      <w:r>
        <w:rPr>
          <w:spacing w:val="-1"/>
        </w:rPr>
        <w:t>i</w:t>
      </w:r>
      <w:r>
        <w:rPr>
          <w:spacing w:val="-3"/>
        </w:rPr>
        <w:t>n</w:t>
      </w:r>
      <w:r>
        <w:t>g</w:t>
      </w:r>
      <w:r>
        <w:rPr>
          <w:spacing w:val="1"/>
        </w:rPr>
        <w:t xml:space="preserve"> t</w:t>
      </w:r>
      <w:r>
        <w:t xml:space="preserve">o </w:t>
      </w:r>
      <w:r>
        <w:rPr>
          <w:spacing w:val="-3"/>
        </w:rPr>
        <w:t>w</w:t>
      </w:r>
      <w:r>
        <w:rPr>
          <w:spacing w:val="-1"/>
        </w:rPr>
        <w:t>i</w:t>
      </w:r>
      <w:r>
        <w:t>n e</w:t>
      </w:r>
      <w:r>
        <w:rPr>
          <w:spacing w:val="-2"/>
        </w:rPr>
        <w:t>x</w:t>
      </w:r>
      <w:r>
        <w:t>c</w:t>
      </w:r>
      <w:r>
        <w:rPr>
          <w:spacing w:val="-1"/>
        </w:rPr>
        <w:t>l</w:t>
      </w:r>
      <w:r>
        <w:t>us</w:t>
      </w:r>
      <w:r>
        <w:rPr>
          <w:spacing w:val="1"/>
        </w:rPr>
        <w:t>i</w:t>
      </w:r>
      <w:r>
        <w:rPr>
          <w:spacing w:val="-2"/>
        </w:rPr>
        <w:t>v</w:t>
      </w:r>
      <w:r>
        <w:t>e con</w:t>
      </w:r>
      <w:r>
        <w:rPr>
          <w:spacing w:val="1"/>
        </w:rPr>
        <w:t>tr</w:t>
      </w:r>
      <w:r>
        <w:t>a</w:t>
      </w:r>
      <w:r>
        <w:rPr>
          <w:spacing w:val="-3"/>
        </w:rPr>
        <w:t>c</w:t>
      </w:r>
      <w:r>
        <w:rPr>
          <w:spacing w:val="1"/>
        </w:rPr>
        <w:t>t</w:t>
      </w:r>
      <w:r>
        <w:t>s</w:t>
      </w:r>
      <w:r>
        <w:rPr>
          <w:spacing w:val="1"/>
        </w:rPr>
        <w:t xml:space="preserve"> </w:t>
      </w:r>
      <w:r>
        <w:rPr>
          <w:spacing w:val="-3"/>
        </w:rPr>
        <w:t>o</w:t>
      </w:r>
      <w:r>
        <w:rPr>
          <w:spacing w:val="1"/>
        </w:rPr>
        <w:t>f</w:t>
      </w:r>
      <w:r>
        <w:rPr>
          <w:spacing w:val="-1"/>
        </w:rPr>
        <w:t>f</w:t>
      </w:r>
      <w:r>
        <w:t>ered</w:t>
      </w:r>
      <w:r>
        <w:rPr>
          <w:spacing w:val="1"/>
        </w:rPr>
        <w:t xml:space="preserve"> </w:t>
      </w:r>
      <w:r>
        <w:t>by</w:t>
      </w:r>
      <w:r>
        <w:rPr>
          <w:spacing w:val="-2"/>
        </w:rPr>
        <w:t xml:space="preserve"> </w:t>
      </w:r>
      <w:r w:rsidRPr="00D7324D">
        <w:rPr>
          <w:spacing w:val="-1"/>
        </w:rPr>
        <w:t>sch</w:t>
      </w:r>
      <w:r w:rsidRPr="001112BF">
        <w:rPr>
          <w:spacing w:val="-1"/>
        </w:rPr>
        <w:t>o</w:t>
      </w:r>
      <w:r w:rsidRPr="00D7324D">
        <w:rPr>
          <w:spacing w:val="-1"/>
        </w:rPr>
        <w:t>o</w:t>
      </w:r>
      <w:r w:rsidRPr="001112BF">
        <w:rPr>
          <w:spacing w:val="-1"/>
        </w:rPr>
        <w:t>l</w:t>
      </w:r>
      <w:r w:rsidRPr="00D7324D">
        <w:rPr>
          <w:spacing w:val="-1"/>
        </w:rPr>
        <w:t>s</w:t>
      </w:r>
      <w:r>
        <w:t>.</w:t>
      </w:r>
    </w:p>
    <w:p w:rsidR="007C75BD" w:rsidRPr="00A82F92" w:rsidRDefault="007C75BD">
      <w:pPr>
        <w:pStyle w:val="Numbered"/>
      </w:pPr>
      <w:r w:rsidRPr="00CF0239">
        <w:rPr>
          <w:spacing w:val="2"/>
        </w:rPr>
        <w:t>T</w:t>
      </w:r>
      <w:r>
        <w:t>he</w:t>
      </w:r>
      <w:r w:rsidRPr="00CF0239">
        <w:rPr>
          <w:spacing w:val="-2"/>
        </w:rPr>
        <w:t xml:space="preserve"> </w:t>
      </w:r>
      <w:r w:rsidRPr="00CF0239">
        <w:rPr>
          <w:spacing w:val="-1"/>
        </w:rPr>
        <w:t>ACC</w:t>
      </w:r>
      <w:r>
        <w:t>C u</w:t>
      </w:r>
      <w:r w:rsidRPr="00CF0239">
        <w:rPr>
          <w:spacing w:val="-1"/>
        </w:rPr>
        <w:t>n</w:t>
      </w:r>
      <w:r>
        <w:t>d</w:t>
      </w:r>
      <w:r w:rsidRPr="00CF0239">
        <w:rPr>
          <w:spacing w:val="-1"/>
        </w:rPr>
        <w:t>e</w:t>
      </w:r>
      <w:r w:rsidRPr="00CF0239">
        <w:rPr>
          <w:spacing w:val="1"/>
        </w:rPr>
        <w:t>r</w:t>
      </w:r>
      <w:r w:rsidRPr="00CF0239">
        <w:rPr>
          <w:spacing w:val="-2"/>
        </w:rPr>
        <w:t>s</w:t>
      </w:r>
      <w:r w:rsidRPr="00CF0239">
        <w:rPr>
          <w:spacing w:val="1"/>
        </w:rPr>
        <w:t>t</w:t>
      </w:r>
      <w:r>
        <w:t>a</w:t>
      </w:r>
      <w:r w:rsidRPr="00CF0239">
        <w:rPr>
          <w:spacing w:val="-1"/>
        </w:rPr>
        <w:t>n</w:t>
      </w:r>
      <w:r>
        <w:t>ds</w:t>
      </w:r>
      <w:r w:rsidRPr="00CF0239">
        <w:rPr>
          <w:spacing w:val="-2"/>
        </w:rPr>
        <w:t xml:space="preserve"> </w:t>
      </w:r>
      <w:r w:rsidRPr="00CF0239">
        <w:rPr>
          <w:spacing w:val="1"/>
        </w:rPr>
        <w:t>t</w:t>
      </w:r>
      <w:r>
        <w:t>h</w:t>
      </w:r>
      <w:r w:rsidRPr="00CF0239">
        <w:rPr>
          <w:spacing w:val="-1"/>
        </w:rPr>
        <w:t>a</w:t>
      </w:r>
      <w:r>
        <w:t xml:space="preserve">t </w:t>
      </w:r>
      <w:r w:rsidRPr="00CF0239">
        <w:rPr>
          <w:spacing w:val="1"/>
        </w:rPr>
        <w:t>t</w:t>
      </w:r>
      <w:r>
        <w:t>he</w:t>
      </w:r>
      <w:r w:rsidRPr="00CF0239">
        <w:rPr>
          <w:spacing w:val="-2"/>
        </w:rPr>
        <w:t xml:space="preserve"> </w:t>
      </w:r>
      <w:r w:rsidRPr="00CF0239">
        <w:rPr>
          <w:spacing w:val="1"/>
        </w:rPr>
        <w:t>m</w:t>
      </w:r>
      <w:r>
        <w:t>a</w:t>
      </w:r>
      <w:r w:rsidRPr="00CF0239">
        <w:rPr>
          <w:spacing w:val="-1"/>
        </w:rPr>
        <w:t>i</w:t>
      </w:r>
      <w:r>
        <w:t>n</w:t>
      </w:r>
      <w:r w:rsidRPr="00CF0239">
        <w:rPr>
          <w:spacing w:val="-2"/>
        </w:rPr>
        <w:t xml:space="preserve"> </w:t>
      </w:r>
      <w:r>
        <w:t>c</w:t>
      </w:r>
      <w:r w:rsidRPr="00CF0239">
        <w:rPr>
          <w:spacing w:val="1"/>
        </w:rPr>
        <w:t>r</w:t>
      </w:r>
      <w:r w:rsidRPr="00CF0239">
        <w:rPr>
          <w:spacing w:val="-1"/>
        </w:rPr>
        <w:t>i</w:t>
      </w:r>
      <w:r w:rsidRPr="00CF0239">
        <w:rPr>
          <w:spacing w:val="1"/>
        </w:rPr>
        <w:t>t</w:t>
      </w:r>
      <w:r w:rsidRPr="00CF0239">
        <w:rPr>
          <w:spacing w:val="-3"/>
        </w:rPr>
        <w:t>e</w:t>
      </w:r>
      <w:r w:rsidRPr="00CF0239">
        <w:rPr>
          <w:spacing w:val="1"/>
        </w:rPr>
        <w:t>r</w:t>
      </w:r>
      <w:r w:rsidRPr="00CF0239">
        <w:rPr>
          <w:spacing w:val="-1"/>
        </w:rPr>
        <w:t>i</w:t>
      </w:r>
      <w:r>
        <w:t>a</w:t>
      </w:r>
      <w:r w:rsidRPr="00CF0239">
        <w:rPr>
          <w:spacing w:val="-2"/>
        </w:rPr>
        <w:t xml:space="preserve"> </w:t>
      </w:r>
      <w:r w:rsidRPr="00CF0239">
        <w:rPr>
          <w:spacing w:val="1"/>
        </w:rPr>
        <w:t>t</w:t>
      </w:r>
      <w:r w:rsidRPr="00CF0239">
        <w:rPr>
          <w:spacing w:val="-2"/>
        </w:rPr>
        <w:t>y</w:t>
      </w:r>
      <w:r>
        <w:t>p</w:t>
      </w:r>
      <w:r w:rsidRPr="00CF0239">
        <w:rPr>
          <w:spacing w:val="1"/>
        </w:rPr>
        <w:t>i</w:t>
      </w:r>
      <w:r>
        <w:t>ca</w:t>
      </w:r>
      <w:r w:rsidRPr="00CF0239">
        <w:rPr>
          <w:spacing w:val="-1"/>
        </w:rPr>
        <w:t>ll</w:t>
      </w:r>
      <w:r>
        <w:t>y</w:t>
      </w:r>
      <w:r w:rsidRPr="00CF0239">
        <w:rPr>
          <w:spacing w:val="-1"/>
        </w:rPr>
        <w:t xml:space="preserve"> </w:t>
      </w:r>
      <w:r>
        <w:t>co</w:t>
      </w:r>
      <w:r w:rsidRPr="00CF0239">
        <w:rPr>
          <w:spacing w:val="-1"/>
        </w:rPr>
        <w:t>n</w:t>
      </w:r>
      <w:r>
        <w:t>s</w:t>
      </w:r>
      <w:r w:rsidRPr="00CF0239">
        <w:rPr>
          <w:spacing w:val="-1"/>
        </w:rPr>
        <w:t>i</w:t>
      </w:r>
      <w:r>
        <w:t>d</w:t>
      </w:r>
      <w:r w:rsidRPr="00CF0239">
        <w:rPr>
          <w:spacing w:val="-1"/>
        </w:rPr>
        <w:t>e</w:t>
      </w:r>
      <w:r w:rsidRPr="00CF0239">
        <w:rPr>
          <w:spacing w:val="1"/>
        </w:rPr>
        <w:t>r</w:t>
      </w:r>
      <w:r>
        <w:t>ed by</w:t>
      </w:r>
      <w:r w:rsidRPr="00CF0239">
        <w:rPr>
          <w:spacing w:val="-2"/>
        </w:rPr>
        <w:t xml:space="preserve"> </w:t>
      </w:r>
      <w:r>
        <w:t>sch</w:t>
      </w:r>
      <w:r w:rsidRPr="00CF0239">
        <w:rPr>
          <w:spacing w:val="-1"/>
        </w:rPr>
        <w:t>o</w:t>
      </w:r>
      <w:r>
        <w:t>o</w:t>
      </w:r>
      <w:r w:rsidRPr="00CF0239">
        <w:rPr>
          <w:spacing w:val="-1"/>
        </w:rPr>
        <w:t>l</w:t>
      </w:r>
      <w:r>
        <w:t>s</w:t>
      </w:r>
      <w:r w:rsidRPr="00CF0239">
        <w:rPr>
          <w:spacing w:val="1"/>
        </w:rPr>
        <w:t xml:space="preserve"> </w:t>
      </w:r>
      <w:r w:rsidRPr="00CF0239">
        <w:rPr>
          <w:spacing w:val="-3"/>
        </w:rPr>
        <w:t>w</w:t>
      </w:r>
      <w:r>
        <w:t>h</w:t>
      </w:r>
      <w:r w:rsidRPr="00CF0239">
        <w:rPr>
          <w:spacing w:val="-1"/>
        </w:rPr>
        <w:t>e</w:t>
      </w:r>
      <w:r>
        <w:t>n d</w:t>
      </w:r>
      <w:r w:rsidRPr="00CF0239">
        <w:rPr>
          <w:spacing w:val="-1"/>
        </w:rPr>
        <w:t>e</w:t>
      </w:r>
      <w:r>
        <w:t>c</w:t>
      </w:r>
      <w:r w:rsidRPr="00CF0239">
        <w:rPr>
          <w:spacing w:val="-1"/>
        </w:rPr>
        <w:t>i</w:t>
      </w:r>
      <w:r>
        <w:t>d</w:t>
      </w:r>
      <w:r w:rsidRPr="00CF0239">
        <w:rPr>
          <w:spacing w:val="-1"/>
        </w:rPr>
        <w:t>i</w:t>
      </w:r>
      <w:r>
        <w:t>ng</w:t>
      </w:r>
      <w:r w:rsidRPr="00CF0239">
        <w:rPr>
          <w:spacing w:val="3"/>
        </w:rPr>
        <w:t xml:space="preserve"> </w:t>
      </w:r>
      <w:r>
        <w:t>b</w:t>
      </w:r>
      <w:r w:rsidRPr="00CF0239">
        <w:rPr>
          <w:spacing w:val="-3"/>
        </w:rPr>
        <w:t>e</w:t>
      </w:r>
      <w:r w:rsidRPr="00CF0239">
        <w:rPr>
          <w:spacing w:val="1"/>
        </w:rPr>
        <w:t>t</w:t>
      </w:r>
      <w:r w:rsidRPr="00CF0239">
        <w:rPr>
          <w:spacing w:val="-3"/>
        </w:rPr>
        <w:t>w</w:t>
      </w:r>
      <w:r>
        <w:t>e</w:t>
      </w:r>
      <w:r w:rsidRPr="00CF0239">
        <w:rPr>
          <w:spacing w:val="-1"/>
        </w:rPr>
        <w:t>e</w:t>
      </w:r>
      <w:r>
        <w:t>n po</w:t>
      </w:r>
      <w:r w:rsidRPr="00CF0239">
        <w:rPr>
          <w:spacing w:val="1"/>
        </w:rPr>
        <w:t>t</w:t>
      </w:r>
      <w:r>
        <w:t>e</w:t>
      </w:r>
      <w:r w:rsidRPr="00CF0239">
        <w:rPr>
          <w:spacing w:val="-1"/>
        </w:rPr>
        <w:t>n</w:t>
      </w:r>
      <w:r w:rsidRPr="00CF0239">
        <w:rPr>
          <w:spacing w:val="1"/>
        </w:rPr>
        <w:t>t</w:t>
      </w:r>
      <w:r w:rsidRPr="00CF0239">
        <w:rPr>
          <w:spacing w:val="-3"/>
        </w:rPr>
        <w:t>i</w:t>
      </w:r>
      <w:r>
        <w:t xml:space="preserve">al </w:t>
      </w:r>
      <w:r w:rsidRPr="00CF0239">
        <w:rPr>
          <w:spacing w:val="1"/>
        </w:rPr>
        <w:t>O</w:t>
      </w:r>
      <w:r w:rsidRPr="00CF0239">
        <w:rPr>
          <w:spacing w:val="-1"/>
        </w:rPr>
        <w:t>SH</w:t>
      </w:r>
      <w:r>
        <w:t>C</w:t>
      </w:r>
      <w:r w:rsidRPr="00CF0239">
        <w:rPr>
          <w:spacing w:val="-2"/>
        </w:rPr>
        <w:t xml:space="preserve"> </w:t>
      </w:r>
      <w:r>
        <w:t>pro</w:t>
      </w:r>
      <w:r w:rsidRPr="00CF0239">
        <w:rPr>
          <w:spacing w:val="-2"/>
        </w:rPr>
        <w:t>v</w:t>
      </w:r>
      <w:r w:rsidRPr="00CF0239">
        <w:rPr>
          <w:spacing w:val="-1"/>
        </w:rPr>
        <w:t>i</w:t>
      </w:r>
      <w:r>
        <w:t>d</w:t>
      </w:r>
      <w:r w:rsidRPr="00CF0239">
        <w:rPr>
          <w:spacing w:val="-1"/>
        </w:rPr>
        <w:t>e</w:t>
      </w:r>
      <w:r w:rsidRPr="00CF0239">
        <w:rPr>
          <w:spacing w:val="1"/>
        </w:rPr>
        <w:t>r</w:t>
      </w:r>
      <w:r>
        <w:t>s</w:t>
      </w:r>
      <w:r w:rsidRPr="00CF0239">
        <w:rPr>
          <w:spacing w:val="1"/>
        </w:rPr>
        <w:t xml:space="preserve"> </w:t>
      </w:r>
      <w:r>
        <w:t>ar</w:t>
      </w:r>
      <w:r w:rsidRPr="00CF0239">
        <w:rPr>
          <w:spacing w:val="-2"/>
        </w:rPr>
        <w:t>e</w:t>
      </w:r>
      <w:r>
        <w:t>:</w:t>
      </w:r>
    </w:p>
    <w:p w:rsidR="007C75BD" w:rsidRPr="0071182D" w:rsidRDefault="00C05BCA" w:rsidP="00626538">
      <w:pPr>
        <w:pStyle w:val="Bulletpoint"/>
        <w:tabs>
          <w:tab w:val="num" w:pos="1418"/>
        </w:tabs>
        <w:ind w:left="1418" w:hanging="567"/>
      </w:pPr>
      <w:proofErr w:type="gramStart"/>
      <w:r>
        <w:t>the</w:t>
      </w:r>
      <w:proofErr w:type="gramEnd"/>
      <w:r w:rsidRPr="00390509">
        <w:t xml:space="preserve"> </w:t>
      </w:r>
      <w:r w:rsidR="007C75BD">
        <w:t>s</w:t>
      </w:r>
      <w:r w:rsidR="007C75BD" w:rsidRPr="00390509">
        <w:t>iz</w:t>
      </w:r>
      <w:r w:rsidR="007C75BD">
        <w:t xml:space="preserve">e </w:t>
      </w:r>
      <w:r w:rsidR="007C75BD" w:rsidRPr="00390509">
        <w:t>o</w:t>
      </w:r>
      <w:r w:rsidR="007C75BD">
        <w:t>f</w:t>
      </w:r>
      <w:r w:rsidR="007C75BD" w:rsidRPr="00390509">
        <w:t xml:space="preserve"> </w:t>
      </w:r>
      <w:r w:rsidR="007C75BD">
        <w:t>a</w:t>
      </w:r>
      <w:r w:rsidR="007C75BD" w:rsidRPr="00390509">
        <w:t>n</w:t>
      </w:r>
      <w:r w:rsidR="007C75BD">
        <w:t>y</w:t>
      </w:r>
      <w:r w:rsidR="007C75BD" w:rsidRPr="00390509">
        <w:t xml:space="preserve"> li</w:t>
      </w:r>
      <w:r w:rsidR="007C75BD">
        <w:t>ce</w:t>
      </w:r>
      <w:r w:rsidR="007C75BD" w:rsidRPr="00390509">
        <w:t>n</w:t>
      </w:r>
      <w:r w:rsidR="007C75BD">
        <w:t>ce</w:t>
      </w:r>
      <w:r w:rsidR="007C75BD" w:rsidRPr="00390509">
        <w:t xml:space="preserve"> f</w:t>
      </w:r>
      <w:r w:rsidR="007C75BD">
        <w:t>ee p</w:t>
      </w:r>
      <w:r w:rsidR="007C75BD" w:rsidRPr="00390509">
        <w:t>ai</w:t>
      </w:r>
      <w:r w:rsidR="007C75BD">
        <w:t xml:space="preserve">d </w:t>
      </w:r>
      <w:r w:rsidR="007C75BD" w:rsidRPr="00390509">
        <w:t>t</w:t>
      </w:r>
      <w:r w:rsidR="007C75BD">
        <w:t>o</w:t>
      </w:r>
      <w:r w:rsidR="007C75BD" w:rsidRPr="00390509">
        <w:t xml:space="preserve"> t</w:t>
      </w:r>
      <w:r w:rsidR="007C75BD">
        <w:t>he</w:t>
      </w:r>
      <w:r w:rsidR="007C75BD" w:rsidRPr="00390509">
        <w:t xml:space="preserve"> </w:t>
      </w:r>
      <w:r w:rsidR="007C75BD">
        <w:t>sch</w:t>
      </w:r>
      <w:r w:rsidR="007C75BD" w:rsidRPr="00390509">
        <w:t>o</w:t>
      </w:r>
      <w:r w:rsidR="007C75BD">
        <w:t>ol by</w:t>
      </w:r>
      <w:r w:rsidR="007C75BD" w:rsidRPr="00390509">
        <w:t xml:space="preserve"> t</w:t>
      </w:r>
      <w:r w:rsidR="007C75BD">
        <w:t>he pro</w:t>
      </w:r>
      <w:r w:rsidR="007C75BD" w:rsidRPr="00390509">
        <w:t>vi</w:t>
      </w:r>
      <w:r w:rsidR="007C75BD">
        <w:t>d</w:t>
      </w:r>
      <w:r w:rsidR="007C75BD" w:rsidRPr="00390509">
        <w:t>er</w:t>
      </w:r>
      <w:r w:rsidR="007C75BD">
        <w:t xml:space="preserve"> (and any other ‘incidental’ payment, such as donations or payments for capital works),</w:t>
      </w:r>
      <w:r w:rsidR="007C75BD" w:rsidRPr="00390509">
        <w:t xml:space="preserve"> i</w:t>
      </w:r>
      <w:r w:rsidR="007C75BD">
        <w:t>n</w:t>
      </w:r>
      <w:r w:rsidR="007C75BD" w:rsidRPr="00390509">
        <w:t xml:space="preserve"> </w:t>
      </w:r>
      <w:r w:rsidR="007C75BD">
        <w:t>e</w:t>
      </w:r>
      <w:r w:rsidR="007C75BD" w:rsidRPr="00390509">
        <w:t>x</w:t>
      </w:r>
      <w:r w:rsidR="007C75BD">
        <w:t>ch</w:t>
      </w:r>
      <w:r w:rsidR="007C75BD" w:rsidRPr="00390509">
        <w:t>a</w:t>
      </w:r>
      <w:r w:rsidR="007C75BD">
        <w:t>n</w:t>
      </w:r>
      <w:r w:rsidR="007C75BD" w:rsidRPr="00390509">
        <w:t>g</w:t>
      </w:r>
      <w:r w:rsidR="007C75BD">
        <w:t>e</w:t>
      </w:r>
      <w:r w:rsidR="007C75BD" w:rsidRPr="00390509">
        <w:t xml:space="preserve"> fo</w:t>
      </w:r>
      <w:r w:rsidR="007C75BD">
        <w:t xml:space="preserve">r </w:t>
      </w:r>
      <w:r w:rsidR="007C75BD" w:rsidRPr="00390509">
        <w:t>t</w:t>
      </w:r>
      <w:r w:rsidR="007C75BD">
        <w:t xml:space="preserve">he </w:t>
      </w:r>
      <w:r w:rsidR="007C75BD" w:rsidRPr="00390509">
        <w:t>righ</w:t>
      </w:r>
      <w:r w:rsidR="007C75BD">
        <w:t xml:space="preserve">t </w:t>
      </w:r>
      <w:r w:rsidR="007C75BD" w:rsidRPr="00390509">
        <w:t>t</w:t>
      </w:r>
      <w:r w:rsidR="007C75BD">
        <w:t>o be</w:t>
      </w:r>
      <w:r w:rsidR="007C75BD" w:rsidRPr="00390509">
        <w:t xml:space="preserve"> t</w:t>
      </w:r>
      <w:r w:rsidR="007C75BD">
        <w:t>he</w:t>
      </w:r>
      <w:r w:rsidR="007C75BD" w:rsidRPr="00390509">
        <w:t xml:space="preserve"> </w:t>
      </w:r>
      <w:r w:rsidR="007C75BD">
        <w:t>e</w:t>
      </w:r>
      <w:r w:rsidR="007C75BD" w:rsidRPr="00390509">
        <w:t>x</w:t>
      </w:r>
      <w:r w:rsidR="007C75BD">
        <w:t>c</w:t>
      </w:r>
      <w:r w:rsidR="007C75BD" w:rsidRPr="00390509">
        <w:t>l</w:t>
      </w:r>
      <w:r w:rsidR="007C75BD">
        <w:t>us</w:t>
      </w:r>
      <w:r w:rsidR="007C75BD" w:rsidRPr="00390509">
        <w:t>iv</w:t>
      </w:r>
      <w:r w:rsidR="007C75BD">
        <w:t>e</w:t>
      </w:r>
      <w:r w:rsidR="007C75BD" w:rsidRPr="00390509">
        <w:t xml:space="preserve"> </w:t>
      </w:r>
      <w:r w:rsidR="007C75BD">
        <w:t>pro</w:t>
      </w:r>
      <w:r w:rsidR="007C75BD" w:rsidRPr="00390509">
        <w:t>vi</w:t>
      </w:r>
      <w:r w:rsidR="007C75BD">
        <w:t>d</w:t>
      </w:r>
      <w:r w:rsidR="007C75BD" w:rsidRPr="00390509">
        <w:t>e</w:t>
      </w:r>
      <w:r w:rsidR="007C75BD">
        <w:t>r</w:t>
      </w:r>
      <w:r w:rsidR="007C75BD" w:rsidRPr="00390509">
        <w:t xml:space="preserve"> o</w:t>
      </w:r>
      <w:r w:rsidR="007C75BD">
        <w:t>f</w:t>
      </w:r>
      <w:r w:rsidR="007C75BD" w:rsidRPr="00390509">
        <w:t xml:space="preserve"> OSH</w:t>
      </w:r>
      <w:r w:rsidR="007C75BD">
        <w:t>C</w:t>
      </w:r>
      <w:r w:rsidR="007C75BD" w:rsidRPr="00390509">
        <w:t xml:space="preserve"> a</w:t>
      </w:r>
      <w:r w:rsidR="007C75BD">
        <w:t xml:space="preserve">t </w:t>
      </w:r>
      <w:r w:rsidR="007C75BD" w:rsidRPr="00390509">
        <w:t>t</w:t>
      </w:r>
      <w:r w:rsidR="007C75BD">
        <w:t>he</w:t>
      </w:r>
      <w:r w:rsidR="007C75BD" w:rsidRPr="00390509">
        <w:t xml:space="preserve"> </w:t>
      </w:r>
      <w:r w:rsidR="007C75BD">
        <w:t>sch</w:t>
      </w:r>
      <w:r w:rsidR="007C75BD" w:rsidRPr="00390509">
        <w:t>o</w:t>
      </w:r>
      <w:r w:rsidR="007C75BD">
        <w:t>o</w:t>
      </w:r>
      <w:r w:rsidR="007C75BD" w:rsidRPr="00390509">
        <w:t>l</w:t>
      </w:r>
      <w:r w:rsidR="007C75BD">
        <w:t>.</w:t>
      </w:r>
    </w:p>
    <w:p w:rsidR="007C75BD" w:rsidRPr="0071182D" w:rsidRDefault="007C75BD" w:rsidP="00626538">
      <w:pPr>
        <w:pStyle w:val="Bulletpoint"/>
        <w:tabs>
          <w:tab w:val="num" w:pos="1418"/>
        </w:tabs>
        <w:ind w:left="1418" w:hanging="567"/>
      </w:pPr>
      <w:r w:rsidRPr="00390509">
        <w:t>t</w:t>
      </w:r>
      <w:r>
        <w:t>he</w:t>
      </w:r>
      <w:r w:rsidRPr="00390509">
        <w:t xml:space="preserve"> mag</w:t>
      </w:r>
      <w:r>
        <w:t>n</w:t>
      </w:r>
      <w:r w:rsidRPr="00390509">
        <w:t>it</w:t>
      </w:r>
      <w:r>
        <w:t>u</w:t>
      </w:r>
      <w:r w:rsidRPr="00390509">
        <w:t>d</w:t>
      </w:r>
      <w:r>
        <w:t>e</w:t>
      </w:r>
      <w:r w:rsidRPr="00390509">
        <w:t xml:space="preserve"> o</w:t>
      </w:r>
      <w:r>
        <w:t xml:space="preserve">f </w:t>
      </w:r>
      <w:r w:rsidRPr="00390509">
        <w:t>f</w:t>
      </w:r>
      <w:r>
        <w:t>e</w:t>
      </w:r>
      <w:r w:rsidRPr="00390509">
        <w:t>e</w:t>
      </w:r>
      <w:r>
        <w:t>s</w:t>
      </w:r>
      <w:r w:rsidRPr="00390509">
        <w:t xml:space="preserve"> </w:t>
      </w:r>
      <w:r>
        <w:t>b</w:t>
      </w:r>
      <w:r w:rsidRPr="00390509">
        <w:t>ei</w:t>
      </w:r>
      <w:r>
        <w:t>ng</w:t>
      </w:r>
      <w:r w:rsidRPr="00390509">
        <w:t xml:space="preserve"> </w:t>
      </w:r>
      <w:r>
        <w:t>ch</w:t>
      </w:r>
      <w:r w:rsidRPr="00390509">
        <w:t>arg</w:t>
      </w:r>
      <w:r>
        <w:t>ed</w:t>
      </w:r>
      <w:r w:rsidRPr="00390509">
        <w:t xml:space="preserve"> t</w:t>
      </w:r>
      <w:r>
        <w:t>o</w:t>
      </w:r>
      <w:r w:rsidRPr="00390509">
        <w:t xml:space="preserve"> </w:t>
      </w:r>
      <w:r>
        <w:t>p</w:t>
      </w:r>
      <w:r w:rsidRPr="00390509">
        <w:t>ar</w:t>
      </w:r>
      <w:r>
        <w:t>e</w:t>
      </w:r>
      <w:r w:rsidRPr="00390509">
        <w:t>nt</w:t>
      </w:r>
      <w:r>
        <w:t>s</w:t>
      </w:r>
      <w:r w:rsidRPr="00390509">
        <w:t xml:space="preserve"> (whi</w:t>
      </w:r>
      <w:r>
        <w:t>ch a</w:t>
      </w:r>
      <w:r w:rsidRPr="00390509">
        <w:t>r</w:t>
      </w:r>
      <w:r>
        <w:t>e sp</w:t>
      </w:r>
      <w:r w:rsidRPr="00390509">
        <w:t>e</w:t>
      </w:r>
      <w:r>
        <w:t>c</w:t>
      </w:r>
      <w:r w:rsidRPr="00390509">
        <w:t>ifi</w:t>
      </w:r>
      <w:r>
        <w:t xml:space="preserve">ed </w:t>
      </w:r>
      <w:r w:rsidRPr="00390509">
        <w:t>i</w:t>
      </w:r>
      <w:r>
        <w:t>n</w:t>
      </w:r>
      <w:r w:rsidRPr="00390509">
        <w:t xml:space="preserve"> th</w:t>
      </w:r>
      <w:r>
        <w:t>e a</w:t>
      </w:r>
      <w:r w:rsidRPr="00390509">
        <w:t>gr</w:t>
      </w:r>
      <w:r>
        <w:t>e</w:t>
      </w:r>
      <w:r w:rsidRPr="00390509">
        <w:t>em</w:t>
      </w:r>
      <w:r>
        <w:t>e</w:t>
      </w:r>
      <w:r w:rsidRPr="00390509">
        <w:t>n</w:t>
      </w:r>
      <w:r>
        <w:t>t</w:t>
      </w:r>
      <w:r w:rsidRPr="00390509">
        <w:t xml:space="preserve"> </w:t>
      </w:r>
      <w:r>
        <w:t>b</w:t>
      </w:r>
      <w:r w:rsidRPr="00390509">
        <w:t>etw</w:t>
      </w:r>
      <w:r>
        <w:t>e</w:t>
      </w:r>
      <w:r w:rsidRPr="00390509">
        <w:t>e</w:t>
      </w:r>
      <w:r>
        <w:t xml:space="preserve">n </w:t>
      </w:r>
      <w:r w:rsidRPr="00390509">
        <w:t>t</w:t>
      </w:r>
      <w:r>
        <w:t>he</w:t>
      </w:r>
      <w:r w:rsidRPr="00390509">
        <w:t xml:space="preserve"> </w:t>
      </w:r>
      <w:r>
        <w:t>sch</w:t>
      </w:r>
      <w:r w:rsidRPr="00390509">
        <w:t>o</w:t>
      </w:r>
      <w:r>
        <w:t>ol a</w:t>
      </w:r>
      <w:r w:rsidRPr="00390509">
        <w:t>n</w:t>
      </w:r>
      <w:r>
        <w:t>d</w:t>
      </w:r>
      <w:r w:rsidRPr="00390509">
        <w:t xml:space="preserve"> t</w:t>
      </w:r>
      <w:r>
        <w:t xml:space="preserve">he </w:t>
      </w:r>
      <w:r w:rsidRPr="00390509">
        <w:t>pr</w:t>
      </w:r>
      <w:r>
        <w:t>o</w:t>
      </w:r>
      <w:r w:rsidRPr="00390509">
        <w:t>vi</w:t>
      </w:r>
      <w:r>
        <w:t>d</w:t>
      </w:r>
      <w:r w:rsidRPr="00390509">
        <w:t>er)</w:t>
      </w:r>
      <w:r>
        <w:t xml:space="preserve"> a</w:t>
      </w:r>
      <w:r w:rsidRPr="00390509">
        <w:t>n</w:t>
      </w:r>
      <w:r>
        <w:t xml:space="preserve">d / </w:t>
      </w:r>
      <w:r w:rsidRPr="00390509">
        <w:t>o</w:t>
      </w:r>
      <w:r>
        <w:t>r</w:t>
      </w:r>
    </w:p>
    <w:p w:rsidR="007C75BD" w:rsidRPr="0071182D" w:rsidRDefault="007C75BD" w:rsidP="00626538">
      <w:pPr>
        <w:pStyle w:val="Bulletpoint"/>
        <w:tabs>
          <w:tab w:val="num" w:pos="1418"/>
        </w:tabs>
        <w:ind w:left="1418" w:hanging="567"/>
      </w:pPr>
      <w:proofErr w:type="gramStart"/>
      <w:r w:rsidRPr="00390509">
        <w:t>t</w:t>
      </w:r>
      <w:r>
        <w:t>he</w:t>
      </w:r>
      <w:proofErr w:type="gramEnd"/>
      <w:r w:rsidRPr="00390509">
        <w:t xml:space="preserve"> q</w:t>
      </w:r>
      <w:r>
        <w:t>u</w:t>
      </w:r>
      <w:r w:rsidRPr="00390509">
        <w:t>alit</w:t>
      </w:r>
      <w:r>
        <w:t>y</w:t>
      </w:r>
      <w:r w:rsidRPr="00390509">
        <w:t xml:space="preserve"> o</w:t>
      </w:r>
      <w:r>
        <w:t>f</w:t>
      </w:r>
      <w:r w:rsidRPr="00390509">
        <w:t xml:space="preserve"> t</w:t>
      </w:r>
      <w:r>
        <w:t>he</w:t>
      </w:r>
      <w:r w:rsidRPr="00390509">
        <w:t xml:space="preserve"> </w:t>
      </w:r>
      <w:r w:rsidR="007E5680">
        <w:t>care</w:t>
      </w:r>
      <w:r>
        <w:t>.</w:t>
      </w:r>
    </w:p>
    <w:p w:rsidR="007C75BD" w:rsidRPr="0071182D" w:rsidRDefault="007C75BD">
      <w:pPr>
        <w:pStyle w:val="Numbered"/>
      </w:pPr>
      <w:r>
        <w:rPr>
          <w:spacing w:val="2"/>
        </w:rPr>
        <w:t>T</w:t>
      </w:r>
      <w:r>
        <w:t>he</w:t>
      </w:r>
      <w:r>
        <w:rPr>
          <w:spacing w:val="-2"/>
        </w:rPr>
        <w:t xml:space="preserve"> </w:t>
      </w:r>
      <w:r>
        <w:t>proc</w:t>
      </w:r>
      <w:r>
        <w:rPr>
          <w:spacing w:val="-3"/>
        </w:rPr>
        <w:t>u</w:t>
      </w:r>
      <w:r>
        <w:rPr>
          <w:spacing w:val="1"/>
        </w:rPr>
        <w:t>r</w:t>
      </w:r>
      <w:r>
        <w:t>eme</w:t>
      </w:r>
      <w:r>
        <w:rPr>
          <w:spacing w:val="-3"/>
        </w:rPr>
        <w:t>n</w:t>
      </w:r>
      <w:r>
        <w:t>t</w:t>
      </w:r>
      <w:r>
        <w:rPr>
          <w:spacing w:val="2"/>
        </w:rPr>
        <w:t xml:space="preserve"> </w:t>
      </w:r>
      <w:r>
        <w:rPr>
          <w:spacing w:val="-3"/>
        </w:rPr>
        <w:t>p</w:t>
      </w:r>
      <w:r>
        <w:rPr>
          <w:spacing w:val="1"/>
        </w:rPr>
        <w:t>r</w:t>
      </w:r>
      <w:r>
        <w:t>oc</w:t>
      </w:r>
      <w:r>
        <w:rPr>
          <w:spacing w:val="-1"/>
        </w:rPr>
        <w:t>e</w:t>
      </w:r>
      <w:r>
        <w:rPr>
          <w:spacing w:val="-2"/>
        </w:rPr>
        <w:t>s</w:t>
      </w:r>
      <w:r>
        <w:t>s</w:t>
      </w:r>
      <w:r>
        <w:rPr>
          <w:spacing w:val="-1"/>
        </w:rPr>
        <w:t xml:space="preserve"> </w:t>
      </w:r>
      <w:r>
        <w:rPr>
          <w:spacing w:val="3"/>
        </w:rPr>
        <w:t>f</w:t>
      </w:r>
      <w:r>
        <w:rPr>
          <w:spacing w:val="-3"/>
        </w:rPr>
        <w:t>o</w:t>
      </w:r>
      <w:r>
        <w:t xml:space="preserve">r </w:t>
      </w:r>
      <w:r>
        <w:rPr>
          <w:spacing w:val="2"/>
        </w:rPr>
        <w:t>g</w:t>
      </w:r>
      <w:r>
        <w:t>o</w:t>
      </w:r>
      <w:r>
        <w:rPr>
          <w:spacing w:val="-3"/>
        </w:rPr>
        <w:t>v</w:t>
      </w:r>
      <w:r>
        <w:t>er</w:t>
      </w:r>
      <w:r>
        <w:rPr>
          <w:spacing w:val="-2"/>
        </w:rPr>
        <w:t>n</w:t>
      </w:r>
      <w:r>
        <w:rPr>
          <w:spacing w:val="1"/>
        </w:rPr>
        <w:t>m</w:t>
      </w:r>
      <w:r>
        <w:t>e</w:t>
      </w:r>
      <w:r>
        <w:rPr>
          <w:spacing w:val="-1"/>
        </w:rPr>
        <w:t>n</w:t>
      </w:r>
      <w:r>
        <w:t>t sch</w:t>
      </w:r>
      <w:r>
        <w:rPr>
          <w:spacing w:val="-1"/>
        </w:rPr>
        <w:t>o</w:t>
      </w:r>
      <w:r>
        <w:t>o</w:t>
      </w:r>
      <w:r>
        <w:rPr>
          <w:spacing w:val="-4"/>
        </w:rPr>
        <w:t>l</w:t>
      </w:r>
      <w:r>
        <w:t>s</w:t>
      </w:r>
      <w:r>
        <w:rPr>
          <w:spacing w:val="1"/>
        </w:rPr>
        <w:t xml:space="preserve"> </w:t>
      </w:r>
      <w:r>
        <w:rPr>
          <w:spacing w:val="-2"/>
        </w:rPr>
        <w:t>v</w:t>
      </w:r>
      <w:r>
        <w:t>ari</w:t>
      </w:r>
      <w:r>
        <w:rPr>
          <w:spacing w:val="-1"/>
        </w:rPr>
        <w:t>e</w:t>
      </w:r>
      <w:r>
        <w:t>s</w:t>
      </w:r>
      <w:r>
        <w:rPr>
          <w:spacing w:val="1"/>
        </w:rPr>
        <w:t xml:space="preserve"> </w:t>
      </w:r>
      <w:r>
        <w:t>s</w:t>
      </w:r>
      <w:r>
        <w:rPr>
          <w:spacing w:val="-1"/>
        </w:rPr>
        <w:t>li</w:t>
      </w:r>
      <w:r>
        <w:rPr>
          <w:spacing w:val="5"/>
        </w:rPr>
        <w:t>g</w:t>
      </w:r>
      <w:r>
        <w:rPr>
          <w:spacing w:val="-3"/>
        </w:rPr>
        <w:t>h</w:t>
      </w:r>
      <w:r>
        <w:rPr>
          <w:spacing w:val="1"/>
        </w:rPr>
        <w:t>t</w:t>
      </w:r>
      <w:r>
        <w:rPr>
          <w:spacing w:val="-1"/>
        </w:rPr>
        <w:t>l</w:t>
      </w:r>
      <w:r>
        <w:t>y</w:t>
      </w:r>
      <w:r>
        <w:rPr>
          <w:spacing w:val="-1"/>
        </w:rPr>
        <w:t xml:space="preserve"> i</w:t>
      </w:r>
      <w:r>
        <w:t xml:space="preserve">n each </w:t>
      </w:r>
      <w:r w:rsidR="00BB2ADC">
        <w:rPr>
          <w:spacing w:val="-2"/>
        </w:rPr>
        <w:t>s</w:t>
      </w:r>
      <w:r>
        <w:rPr>
          <w:spacing w:val="1"/>
        </w:rPr>
        <w:t>t</w:t>
      </w:r>
      <w:r>
        <w:t>at</w:t>
      </w:r>
      <w:r>
        <w:rPr>
          <w:spacing w:val="-2"/>
        </w:rPr>
        <w:t xml:space="preserve">e / </w:t>
      </w:r>
      <w:r w:rsidR="00F0377D">
        <w:rPr>
          <w:spacing w:val="-2"/>
        </w:rPr>
        <w:t>territory</w:t>
      </w:r>
      <w:r>
        <w:t>.</w:t>
      </w:r>
      <w:r>
        <w:rPr>
          <w:rStyle w:val="FootnoteReference"/>
        </w:rPr>
        <w:footnoteReference w:id="6"/>
      </w:r>
      <w:r>
        <w:t xml:space="preserve"> </w:t>
      </w:r>
      <w:r>
        <w:rPr>
          <w:spacing w:val="1"/>
        </w:rPr>
        <w:t>I</w:t>
      </w:r>
      <w:r>
        <w:t>n c</w:t>
      </w:r>
      <w:r>
        <w:rPr>
          <w:spacing w:val="-2"/>
        </w:rPr>
        <w:t>e</w:t>
      </w:r>
      <w:r>
        <w:rPr>
          <w:spacing w:val="1"/>
        </w:rPr>
        <w:t>rt</w:t>
      </w:r>
      <w:r>
        <w:t>a</w:t>
      </w:r>
      <w:r>
        <w:rPr>
          <w:spacing w:val="-1"/>
        </w:rPr>
        <w:t>i</w:t>
      </w:r>
      <w:r>
        <w:t xml:space="preserve">n </w:t>
      </w:r>
      <w:r w:rsidR="00BB2ADC">
        <w:rPr>
          <w:spacing w:val="-1"/>
        </w:rPr>
        <w:t>s</w:t>
      </w:r>
      <w:r>
        <w:rPr>
          <w:spacing w:val="1"/>
        </w:rPr>
        <w:t>t</w:t>
      </w:r>
      <w:r>
        <w:t>ate</w:t>
      </w:r>
      <w:r>
        <w:rPr>
          <w:spacing w:val="-2"/>
        </w:rPr>
        <w:t>s</w:t>
      </w:r>
      <w:r>
        <w:t>,</w:t>
      </w:r>
      <w:r>
        <w:rPr>
          <w:spacing w:val="2"/>
        </w:rPr>
        <w:t xml:space="preserve"> </w:t>
      </w:r>
      <w:r>
        <w:rPr>
          <w:spacing w:val="-3"/>
        </w:rPr>
        <w:t>S</w:t>
      </w:r>
      <w:r>
        <w:rPr>
          <w:spacing w:val="1"/>
        </w:rPr>
        <w:t>t</w:t>
      </w:r>
      <w:r>
        <w:t>ate</w:t>
      </w:r>
      <w:r>
        <w:rPr>
          <w:spacing w:val="-1"/>
        </w:rPr>
        <w:t xml:space="preserve"> </w:t>
      </w:r>
      <w:r>
        <w:rPr>
          <w:spacing w:val="1"/>
        </w:rPr>
        <w:t>G</w:t>
      </w:r>
      <w:r>
        <w:t>o</w:t>
      </w:r>
      <w:r>
        <w:rPr>
          <w:spacing w:val="-3"/>
        </w:rPr>
        <w:t>v</w:t>
      </w:r>
      <w:r>
        <w:t>er</w:t>
      </w:r>
      <w:r>
        <w:rPr>
          <w:spacing w:val="-2"/>
        </w:rPr>
        <w:t>n</w:t>
      </w:r>
      <w:r>
        <w:rPr>
          <w:spacing w:val="1"/>
        </w:rPr>
        <w:t>m</w:t>
      </w:r>
      <w:r>
        <w:rPr>
          <w:spacing w:val="-3"/>
        </w:rPr>
        <w:t>e</w:t>
      </w:r>
      <w:r>
        <w:t>nt</w:t>
      </w:r>
      <w:r>
        <w:rPr>
          <w:spacing w:val="2"/>
        </w:rPr>
        <w:t xml:space="preserve"> </w:t>
      </w:r>
      <w:r>
        <w:t>b</w:t>
      </w:r>
      <w:r>
        <w:rPr>
          <w:spacing w:val="-1"/>
        </w:rPr>
        <w:t>o</w:t>
      </w:r>
      <w:r>
        <w:t>d</w:t>
      </w:r>
      <w:r>
        <w:rPr>
          <w:spacing w:val="-1"/>
        </w:rPr>
        <w:t>i</w:t>
      </w:r>
      <w:r>
        <w:t xml:space="preserve">es </w:t>
      </w:r>
      <w:r>
        <w:rPr>
          <w:spacing w:val="-2"/>
        </w:rPr>
        <w:t>a</w:t>
      </w:r>
      <w:r>
        <w:rPr>
          <w:spacing w:val="1"/>
        </w:rPr>
        <w:t>r</w:t>
      </w:r>
      <w:r>
        <w:t>e</w:t>
      </w:r>
      <w:r>
        <w:rPr>
          <w:spacing w:val="-2"/>
        </w:rPr>
        <w:t xml:space="preserve"> </w:t>
      </w:r>
      <w:r>
        <w:t>i</w:t>
      </w:r>
      <w:r>
        <w:rPr>
          <w:spacing w:val="-1"/>
        </w:rPr>
        <w:t>n</w:t>
      </w:r>
      <w:r>
        <w:rPr>
          <w:spacing w:val="-2"/>
        </w:rPr>
        <w:t>v</w:t>
      </w:r>
      <w:r>
        <w:t>o</w:t>
      </w:r>
      <w:r>
        <w:rPr>
          <w:spacing w:val="1"/>
        </w:rPr>
        <w:t>l</w:t>
      </w:r>
      <w:r>
        <w:t xml:space="preserve">ved </w:t>
      </w:r>
      <w:r>
        <w:rPr>
          <w:spacing w:val="-1"/>
        </w:rPr>
        <w:t>i</w:t>
      </w:r>
      <w:r>
        <w:t xml:space="preserve">n </w:t>
      </w:r>
      <w:r>
        <w:rPr>
          <w:spacing w:val="2"/>
        </w:rPr>
        <w:t>t</w:t>
      </w:r>
      <w:r>
        <w:t>he</w:t>
      </w:r>
      <w:r>
        <w:rPr>
          <w:spacing w:val="-2"/>
        </w:rPr>
        <w:t xml:space="preserve"> </w:t>
      </w:r>
      <w:r>
        <w:t>pro</w:t>
      </w:r>
      <w:r>
        <w:rPr>
          <w:spacing w:val="-2"/>
        </w:rPr>
        <w:t>v</w:t>
      </w:r>
      <w:r>
        <w:rPr>
          <w:spacing w:val="-1"/>
        </w:rPr>
        <w:t>i</w:t>
      </w:r>
      <w:r>
        <w:t>d</w:t>
      </w:r>
      <w:r>
        <w:rPr>
          <w:spacing w:val="-1"/>
        </w:rPr>
        <w:t>e</w:t>
      </w:r>
      <w:r>
        <w:rPr>
          <w:spacing w:val="4"/>
        </w:rPr>
        <w:t>r</w:t>
      </w:r>
      <w:r>
        <w:rPr>
          <w:spacing w:val="1"/>
        </w:rPr>
        <w:t>-</w:t>
      </w:r>
      <w:r>
        <w:t>se</w:t>
      </w:r>
      <w:r>
        <w:rPr>
          <w:spacing w:val="-1"/>
        </w:rPr>
        <w:t>l</w:t>
      </w:r>
      <w:r>
        <w:t>e</w:t>
      </w:r>
      <w:r>
        <w:rPr>
          <w:spacing w:val="-3"/>
        </w:rPr>
        <w:t>c</w:t>
      </w:r>
      <w:r>
        <w:rPr>
          <w:spacing w:val="1"/>
        </w:rPr>
        <w:t>t</w:t>
      </w:r>
      <w:r>
        <w:rPr>
          <w:spacing w:val="-1"/>
        </w:rPr>
        <w:t>i</w:t>
      </w:r>
      <w:r>
        <w:t>on proce</w:t>
      </w:r>
      <w:r>
        <w:rPr>
          <w:spacing w:val="-3"/>
        </w:rPr>
        <w:t>s</w:t>
      </w:r>
      <w:r>
        <w:t>s</w:t>
      </w:r>
      <w:r>
        <w:rPr>
          <w:spacing w:val="-1"/>
        </w:rPr>
        <w:t xml:space="preserve"> </w:t>
      </w:r>
      <w:r>
        <w:rPr>
          <w:spacing w:val="1"/>
        </w:rPr>
        <w:t>f</w:t>
      </w:r>
      <w:r>
        <w:t xml:space="preserve">or </w:t>
      </w:r>
      <w:r>
        <w:rPr>
          <w:spacing w:val="2"/>
        </w:rPr>
        <w:t>g</w:t>
      </w:r>
      <w:r>
        <w:t>o</w:t>
      </w:r>
      <w:r>
        <w:rPr>
          <w:spacing w:val="-3"/>
        </w:rPr>
        <w:t>v</w:t>
      </w:r>
      <w:r>
        <w:t>ern</w:t>
      </w:r>
      <w:r>
        <w:rPr>
          <w:spacing w:val="1"/>
        </w:rPr>
        <w:t>m</w:t>
      </w:r>
      <w:r>
        <w:t>e</w:t>
      </w:r>
      <w:r>
        <w:rPr>
          <w:spacing w:val="-3"/>
        </w:rPr>
        <w:t>n</w:t>
      </w:r>
      <w:r>
        <w:t>t sch</w:t>
      </w:r>
      <w:r>
        <w:rPr>
          <w:spacing w:val="-1"/>
        </w:rPr>
        <w:t>o</w:t>
      </w:r>
      <w:r>
        <w:t>o</w:t>
      </w:r>
      <w:r>
        <w:rPr>
          <w:spacing w:val="-1"/>
        </w:rPr>
        <w:t>l</w:t>
      </w:r>
      <w:r>
        <w:t>s and pr</w:t>
      </w:r>
      <w:r>
        <w:rPr>
          <w:spacing w:val="-2"/>
        </w:rPr>
        <w:t>o</w:t>
      </w:r>
      <w:r>
        <w:t>cure</w:t>
      </w:r>
      <w:r>
        <w:rPr>
          <w:spacing w:val="1"/>
        </w:rPr>
        <w:t>m</w:t>
      </w:r>
      <w:r>
        <w:t>e</w:t>
      </w:r>
      <w:r>
        <w:rPr>
          <w:spacing w:val="-3"/>
        </w:rPr>
        <w:t>n</w:t>
      </w:r>
      <w:r>
        <w:t>t c</w:t>
      </w:r>
      <w:r>
        <w:rPr>
          <w:spacing w:val="1"/>
        </w:rPr>
        <w:t>r</w:t>
      </w:r>
      <w:r>
        <w:rPr>
          <w:spacing w:val="-1"/>
        </w:rPr>
        <w:t>i</w:t>
      </w:r>
      <w:r>
        <w:rPr>
          <w:spacing w:val="1"/>
        </w:rPr>
        <w:t>t</w:t>
      </w:r>
      <w:r>
        <w:rPr>
          <w:spacing w:val="-3"/>
        </w:rPr>
        <w:t>e</w:t>
      </w:r>
      <w:r>
        <w:rPr>
          <w:spacing w:val="1"/>
        </w:rPr>
        <w:t>r</w:t>
      </w:r>
      <w:r>
        <w:rPr>
          <w:spacing w:val="-1"/>
        </w:rPr>
        <w:t>i</w:t>
      </w:r>
      <w:r>
        <w:t>a a</w:t>
      </w:r>
      <w:r>
        <w:rPr>
          <w:spacing w:val="1"/>
        </w:rPr>
        <w:t>r</w:t>
      </w:r>
      <w:r>
        <w:t>e</w:t>
      </w:r>
      <w:r>
        <w:rPr>
          <w:spacing w:val="-2"/>
        </w:rPr>
        <w:t xml:space="preserve"> </w:t>
      </w:r>
      <w:r>
        <w:t>e</w:t>
      </w:r>
      <w:r>
        <w:rPr>
          <w:spacing w:val="-3"/>
        </w:rPr>
        <w:t>x</w:t>
      </w:r>
      <w:r>
        <w:t>p</w:t>
      </w:r>
      <w:r>
        <w:rPr>
          <w:spacing w:val="-1"/>
        </w:rPr>
        <w:t>li</w:t>
      </w:r>
      <w:r>
        <w:t>c</w:t>
      </w:r>
      <w:r>
        <w:rPr>
          <w:spacing w:val="-1"/>
        </w:rPr>
        <w:t>i</w:t>
      </w:r>
      <w:r>
        <w:rPr>
          <w:spacing w:val="1"/>
        </w:rPr>
        <w:t>tl</w:t>
      </w:r>
      <w:r>
        <w:t>y</w:t>
      </w:r>
      <w:r>
        <w:rPr>
          <w:spacing w:val="-1"/>
        </w:rPr>
        <w:t xml:space="preserve"> </w:t>
      </w:r>
      <w:r>
        <w:t>d</w:t>
      </w:r>
      <w:r>
        <w:rPr>
          <w:spacing w:val="-1"/>
        </w:rPr>
        <w:t>e</w:t>
      </w:r>
      <w:r>
        <w:rPr>
          <w:spacing w:val="3"/>
        </w:rPr>
        <w:t>f</w:t>
      </w:r>
      <w:r>
        <w:rPr>
          <w:spacing w:val="-1"/>
        </w:rPr>
        <w:t>i</w:t>
      </w:r>
      <w:r>
        <w:t>n</w:t>
      </w:r>
      <w:r>
        <w:rPr>
          <w:spacing w:val="-1"/>
        </w:rPr>
        <w:t>e</w:t>
      </w:r>
      <w:r>
        <w:rPr>
          <w:spacing w:val="-3"/>
        </w:rPr>
        <w:t xml:space="preserve">d. In Queensland and NSW, </w:t>
      </w:r>
      <w:r>
        <w:t xml:space="preserve">State Government bodies have placed </w:t>
      </w:r>
      <w:r w:rsidRPr="005E26B1">
        <w:rPr>
          <w:spacing w:val="1"/>
        </w:rPr>
        <w:t>r</w:t>
      </w:r>
      <w:r>
        <w:t>e</w:t>
      </w:r>
      <w:r w:rsidRPr="005E26B1">
        <w:rPr>
          <w:spacing w:val="-3"/>
        </w:rPr>
        <w:t>s</w:t>
      </w:r>
      <w:r w:rsidRPr="005E26B1">
        <w:rPr>
          <w:spacing w:val="1"/>
        </w:rPr>
        <w:t>tr</w:t>
      </w:r>
      <w:r w:rsidRPr="005E26B1">
        <w:rPr>
          <w:spacing w:val="-1"/>
        </w:rPr>
        <w:t>i</w:t>
      </w:r>
      <w:r w:rsidRPr="005E26B1">
        <w:rPr>
          <w:spacing w:val="-2"/>
        </w:rPr>
        <w:t>c</w:t>
      </w:r>
      <w:r w:rsidRPr="005E26B1">
        <w:rPr>
          <w:spacing w:val="1"/>
        </w:rPr>
        <w:t>t</w:t>
      </w:r>
      <w:r w:rsidRPr="005E26B1">
        <w:rPr>
          <w:spacing w:val="-1"/>
        </w:rPr>
        <w:t>i</w:t>
      </w:r>
      <w:r>
        <w:t>o</w:t>
      </w:r>
      <w:r w:rsidRPr="005E26B1">
        <w:rPr>
          <w:spacing w:val="-1"/>
        </w:rPr>
        <w:t>n</w:t>
      </w:r>
      <w:r>
        <w:t>s</w:t>
      </w:r>
      <w:r w:rsidRPr="005E26B1">
        <w:rPr>
          <w:spacing w:val="1"/>
        </w:rPr>
        <w:t xml:space="preserve"> </w:t>
      </w:r>
      <w:r>
        <w:t>on</w:t>
      </w:r>
      <w:r w:rsidRPr="005E26B1">
        <w:rPr>
          <w:spacing w:val="1"/>
        </w:rPr>
        <w:t xml:space="preserve"> t</w:t>
      </w:r>
      <w:r w:rsidRPr="005E26B1">
        <w:rPr>
          <w:spacing w:val="-3"/>
        </w:rPr>
        <w:t>h</w:t>
      </w:r>
      <w:r>
        <w:t>e si</w:t>
      </w:r>
      <w:r w:rsidRPr="005E26B1">
        <w:rPr>
          <w:spacing w:val="-3"/>
        </w:rPr>
        <w:t>z</w:t>
      </w:r>
      <w:r>
        <w:t xml:space="preserve">e </w:t>
      </w:r>
      <w:r w:rsidRPr="005E26B1">
        <w:rPr>
          <w:spacing w:val="-2"/>
        </w:rPr>
        <w:t>o</w:t>
      </w:r>
      <w:r>
        <w:t>f</w:t>
      </w:r>
      <w:r w:rsidRPr="005E26B1">
        <w:rPr>
          <w:spacing w:val="2"/>
        </w:rPr>
        <w:t xml:space="preserve"> </w:t>
      </w:r>
      <w:r w:rsidRPr="005E26B1">
        <w:rPr>
          <w:spacing w:val="-1"/>
        </w:rPr>
        <w:t>li</w:t>
      </w:r>
      <w:r>
        <w:t>ce</w:t>
      </w:r>
      <w:r w:rsidRPr="005E26B1">
        <w:rPr>
          <w:spacing w:val="-1"/>
        </w:rPr>
        <w:t>n</w:t>
      </w:r>
      <w:r>
        <w:t>ce</w:t>
      </w:r>
      <w:r w:rsidRPr="005E26B1">
        <w:rPr>
          <w:spacing w:val="-2"/>
        </w:rPr>
        <w:t xml:space="preserve"> </w:t>
      </w:r>
      <w:r w:rsidRPr="005E26B1">
        <w:rPr>
          <w:spacing w:val="3"/>
        </w:rPr>
        <w:t>f</w:t>
      </w:r>
      <w:r>
        <w:t>e</w:t>
      </w:r>
      <w:r w:rsidRPr="005E26B1">
        <w:rPr>
          <w:spacing w:val="-1"/>
        </w:rPr>
        <w:t>e</w:t>
      </w:r>
      <w:r>
        <w:t>s</w:t>
      </w:r>
      <w:r w:rsidRPr="005E26B1">
        <w:rPr>
          <w:spacing w:val="-4"/>
        </w:rPr>
        <w:t xml:space="preserve"> </w:t>
      </w:r>
      <w:r w:rsidRPr="005E26B1">
        <w:rPr>
          <w:spacing w:val="1"/>
        </w:rPr>
        <w:t>t</w:t>
      </w:r>
      <w:r>
        <w:t>h</w:t>
      </w:r>
      <w:r w:rsidRPr="005E26B1">
        <w:rPr>
          <w:spacing w:val="-1"/>
        </w:rPr>
        <w:t>a</w:t>
      </w:r>
      <w:r>
        <w:t>t pro</w:t>
      </w:r>
      <w:r w:rsidRPr="005E26B1">
        <w:rPr>
          <w:spacing w:val="-2"/>
        </w:rPr>
        <w:t>v</w:t>
      </w:r>
      <w:r w:rsidRPr="005E26B1">
        <w:rPr>
          <w:spacing w:val="-1"/>
        </w:rPr>
        <w:t>i</w:t>
      </w:r>
      <w:r>
        <w:t>d</w:t>
      </w:r>
      <w:r w:rsidRPr="005E26B1">
        <w:rPr>
          <w:spacing w:val="-1"/>
        </w:rPr>
        <w:t>e</w:t>
      </w:r>
      <w:r w:rsidRPr="005E26B1">
        <w:rPr>
          <w:spacing w:val="1"/>
        </w:rPr>
        <w:t>r</w:t>
      </w:r>
      <w:r>
        <w:t>s</w:t>
      </w:r>
      <w:r w:rsidRPr="005E26B1">
        <w:rPr>
          <w:spacing w:val="1"/>
        </w:rPr>
        <w:t xml:space="preserve"> </w:t>
      </w:r>
      <w:r>
        <w:t>can p</w:t>
      </w:r>
      <w:r w:rsidRPr="005E26B1">
        <w:rPr>
          <w:spacing w:val="-1"/>
        </w:rPr>
        <w:t>a</w:t>
      </w:r>
      <w:r>
        <w:t>y</w:t>
      </w:r>
      <w:r w:rsidRPr="005E26B1">
        <w:rPr>
          <w:spacing w:val="-1"/>
        </w:rPr>
        <w:t xml:space="preserve"> </w:t>
      </w:r>
      <w:r w:rsidRPr="005E26B1">
        <w:rPr>
          <w:spacing w:val="1"/>
        </w:rPr>
        <w:t>t</w:t>
      </w:r>
      <w:r>
        <w:t>o</w:t>
      </w:r>
      <w:r w:rsidRPr="005E26B1">
        <w:rPr>
          <w:spacing w:val="-2"/>
        </w:rPr>
        <w:t xml:space="preserve"> </w:t>
      </w:r>
      <w:r w:rsidRPr="005E26B1">
        <w:rPr>
          <w:spacing w:val="2"/>
        </w:rPr>
        <w:t>g</w:t>
      </w:r>
      <w:r>
        <w:t>o</w:t>
      </w:r>
      <w:r w:rsidRPr="005E26B1">
        <w:rPr>
          <w:spacing w:val="-3"/>
        </w:rPr>
        <w:t>v</w:t>
      </w:r>
      <w:r>
        <w:t>er</w:t>
      </w:r>
      <w:r w:rsidRPr="005E26B1">
        <w:rPr>
          <w:spacing w:val="-2"/>
        </w:rPr>
        <w:t>n</w:t>
      </w:r>
      <w:r w:rsidRPr="005E26B1">
        <w:rPr>
          <w:spacing w:val="1"/>
        </w:rPr>
        <w:t>m</w:t>
      </w:r>
      <w:r>
        <w:t>e</w:t>
      </w:r>
      <w:r w:rsidRPr="005E26B1">
        <w:rPr>
          <w:spacing w:val="-1"/>
        </w:rPr>
        <w:t>n</w:t>
      </w:r>
      <w:r>
        <w:t>t s</w:t>
      </w:r>
      <w:r w:rsidRPr="005E26B1">
        <w:rPr>
          <w:spacing w:val="-2"/>
        </w:rPr>
        <w:t>c</w:t>
      </w:r>
      <w:r>
        <w:t>h</w:t>
      </w:r>
      <w:r w:rsidRPr="005E26B1">
        <w:rPr>
          <w:spacing w:val="-1"/>
        </w:rPr>
        <w:t>o</w:t>
      </w:r>
      <w:r>
        <w:t>o</w:t>
      </w:r>
      <w:r w:rsidRPr="005E26B1">
        <w:rPr>
          <w:spacing w:val="-1"/>
        </w:rPr>
        <w:t>l</w:t>
      </w:r>
      <w:r>
        <w:t>s. However, in NSW there is no cap on the ‘incidental’ payments that can be made to schools.</w:t>
      </w:r>
    </w:p>
    <w:p w:rsidR="007C75BD" w:rsidRPr="002C49EF" w:rsidRDefault="007C75BD" w:rsidP="004D1D9B">
      <w:pPr>
        <w:pStyle w:val="ListParagraph"/>
        <w:keepNext/>
        <w:numPr>
          <w:ilvl w:val="0"/>
          <w:numId w:val="0"/>
        </w:numPr>
        <w:tabs>
          <w:tab w:val="right" w:pos="8448"/>
        </w:tabs>
      </w:pPr>
      <w:r w:rsidRPr="007359F5">
        <w:rPr>
          <w:i/>
          <w:sz w:val="24"/>
        </w:rPr>
        <w:t>Industry trends</w:t>
      </w:r>
    </w:p>
    <w:p w:rsidR="007C75BD" w:rsidRDefault="007C75BD">
      <w:pPr>
        <w:pStyle w:val="Numbered"/>
      </w:pPr>
      <w:r>
        <w:t xml:space="preserve">OSHC is a growing industry, with demand being driven primarily </w:t>
      </w:r>
      <w:r w:rsidR="000403C0">
        <w:t xml:space="preserve">by </w:t>
      </w:r>
      <w:r w:rsidR="0014526F">
        <w:t>increases in the number of</w:t>
      </w:r>
      <w:r>
        <w:t xml:space="preserve"> </w:t>
      </w:r>
      <w:r w:rsidR="00475EB5">
        <w:t>households with two working parents</w:t>
      </w:r>
      <w:r>
        <w:t>,</w:t>
      </w:r>
      <w:r w:rsidDel="00ED61A7">
        <w:t xml:space="preserve"> </w:t>
      </w:r>
      <w:r>
        <w:t>population growth and increased Government subsidisation.</w:t>
      </w:r>
    </w:p>
    <w:p w:rsidR="007C75BD" w:rsidRPr="004A4CCB" w:rsidRDefault="007C75BD">
      <w:pPr>
        <w:pStyle w:val="Numbered"/>
      </w:pPr>
      <w:r>
        <w:t xml:space="preserve">OSHC was historically provided in-house by schools. </w:t>
      </w:r>
      <w:r w:rsidR="00263270">
        <w:t xml:space="preserve">According to publicly available data, nationally, about a fifth of schools that have OSHC services still run them themselves. </w:t>
      </w:r>
      <w:r>
        <w:t>However</w:t>
      </w:r>
      <w:r w:rsidR="006F47C1">
        <w:t>,</w:t>
      </w:r>
      <w:r w:rsidRPr="00C74665">
        <w:t xml:space="preserve"> </w:t>
      </w:r>
      <w:r>
        <w:t xml:space="preserve">increasingly complex regulation and compliance procedures, as well as increasing student numbers, have meant schools are tending to engage a third-party provider. For example, </w:t>
      </w:r>
      <w:r w:rsidR="00273A20">
        <w:t xml:space="preserve">the ACCC has been told </w:t>
      </w:r>
      <w:r>
        <w:t xml:space="preserve">that, in Victoria, about 15 schools a year </w:t>
      </w:r>
      <w:r w:rsidR="00263270">
        <w:t>are</w:t>
      </w:r>
      <w:r>
        <w:t xml:space="preserve"> changing from running OSHC themselves to engaging a third-party provider.</w:t>
      </w:r>
    </w:p>
    <w:p w:rsidR="007C75BD" w:rsidRPr="007359F5" w:rsidRDefault="007C75BD" w:rsidP="00EC4F08">
      <w:pPr>
        <w:pStyle w:val="Heading3"/>
        <w:rPr>
          <w:b w:val="0"/>
          <w:i/>
          <w:sz w:val="24"/>
          <w:szCs w:val="24"/>
        </w:rPr>
      </w:pPr>
      <w:r w:rsidRPr="007359F5">
        <w:rPr>
          <w:b w:val="0"/>
          <w:i/>
          <w:sz w:val="24"/>
          <w:szCs w:val="24"/>
        </w:rPr>
        <w:t>Regulatory framework</w:t>
      </w:r>
    </w:p>
    <w:p w:rsidR="007C75BD" w:rsidRDefault="007C75BD">
      <w:pPr>
        <w:pStyle w:val="Numbered"/>
      </w:pPr>
      <w:r>
        <w:t>Introduced on 1 January 2012, the National Quality Framework for Early Childhood Education and Care (</w:t>
      </w:r>
      <w:r w:rsidRPr="00BA4513">
        <w:rPr>
          <w:b/>
        </w:rPr>
        <w:t>NQF</w:t>
      </w:r>
      <w:r>
        <w:t>) provides a uniform national approach for the regulation and quality assessment processes for early childhood education and childcare services, including OSHC care.</w:t>
      </w:r>
      <w:r>
        <w:rPr>
          <w:rStyle w:val="FootnoteReference"/>
        </w:rPr>
        <w:footnoteReference w:id="7"/>
      </w:r>
    </w:p>
    <w:p w:rsidR="007C75BD" w:rsidRPr="00497AA2" w:rsidRDefault="00900D52">
      <w:pPr>
        <w:pStyle w:val="Numbered"/>
      </w:pPr>
      <w:r>
        <w:t>Regulatory authorities in each s</w:t>
      </w:r>
      <w:r w:rsidR="007C75BD">
        <w:t xml:space="preserve">tate and </w:t>
      </w:r>
      <w:r w:rsidR="00F0377D">
        <w:t>territory</w:t>
      </w:r>
      <w:r w:rsidR="007C75BD">
        <w:t xml:space="preserve"> administer the NQF. E</w:t>
      </w:r>
      <w:r w:rsidR="007C75BD" w:rsidRPr="006B203D">
        <w:t xml:space="preserve">ach </w:t>
      </w:r>
      <w:r>
        <w:t>s</w:t>
      </w:r>
      <w:r w:rsidR="007C75BD" w:rsidRPr="006B203D">
        <w:t xml:space="preserve">tate or </w:t>
      </w:r>
      <w:r w:rsidR="00F0377D">
        <w:t>territory</w:t>
      </w:r>
      <w:r w:rsidR="007C75BD" w:rsidRPr="006B203D">
        <w:t xml:space="preserve"> regulatory authority is usually responsible for granting service approvals to OSHC providers, undertaking quality assessments, rating OSHC providers, and ensuring compliance with relevant re</w:t>
      </w:r>
      <w:r w:rsidR="007C75BD">
        <w:t>gulation / legislation.  The regulatory authorities</w:t>
      </w:r>
      <w:r w:rsidR="007C75BD" w:rsidRPr="006B203D">
        <w:t xml:space="preserve"> are usually also </w:t>
      </w:r>
      <w:r w:rsidR="007C75BD" w:rsidRPr="00497AA2">
        <w:t>responsible for investigating incidents and compl</w:t>
      </w:r>
      <w:r w:rsidR="007C75BD">
        <w:t>aints involving OSHC providers.</w:t>
      </w:r>
    </w:p>
    <w:p w:rsidR="007C75BD" w:rsidRPr="00497AA2" w:rsidRDefault="007C75BD">
      <w:pPr>
        <w:pStyle w:val="Numbered"/>
      </w:pPr>
      <w:r w:rsidRPr="00497AA2">
        <w:t>The Australian Children’s Education and Care Quality Authority (</w:t>
      </w:r>
      <w:r w:rsidRPr="00AF3FBC">
        <w:rPr>
          <w:b/>
        </w:rPr>
        <w:t>ACECQA</w:t>
      </w:r>
      <w:r w:rsidRPr="00497AA2">
        <w:t xml:space="preserve">) oversees the implementation of the NQF and works with </w:t>
      </w:r>
      <w:r w:rsidR="00900D52">
        <w:t>s</w:t>
      </w:r>
      <w:r>
        <w:t>tate</w:t>
      </w:r>
      <w:r w:rsidRPr="00497AA2">
        <w:t xml:space="preserve"> and </w:t>
      </w:r>
      <w:r w:rsidR="00F0377D">
        <w:t>territory</w:t>
      </w:r>
      <w:r w:rsidRPr="00497AA2">
        <w:t xml:space="preserve"> regulatory authorities to administer the NQF.</w:t>
      </w:r>
      <w:r>
        <w:t xml:space="preserve"> ACECQA publishes information such as who holds the service approval to operate a particular OSHC site. The publicly available information includes </w:t>
      </w:r>
      <w:r w:rsidR="00A24783">
        <w:t>information</w:t>
      </w:r>
      <w:r>
        <w:t xml:space="preserve"> </w:t>
      </w:r>
      <w:r w:rsidR="00A24783">
        <w:t>about</w:t>
      </w:r>
      <w:r>
        <w:t xml:space="preserve"> ‘approved places’ (which the ACCC understands is based principally on the capacity of the space at which the service is provided) and quality ratings; but not actual attendances or any financial information, such as revenues or payments to schools. </w:t>
      </w:r>
    </w:p>
    <w:p w:rsidR="007C75BD" w:rsidRPr="007359F5" w:rsidRDefault="00900D52" w:rsidP="007C75BD">
      <w:pPr>
        <w:pStyle w:val="Heading3"/>
        <w:keepNext w:val="0"/>
        <w:rPr>
          <w:b w:val="0"/>
          <w:i/>
          <w:sz w:val="24"/>
          <w:szCs w:val="24"/>
        </w:rPr>
      </w:pPr>
      <w:r>
        <w:rPr>
          <w:b w:val="0"/>
          <w:i/>
          <w:sz w:val="24"/>
          <w:szCs w:val="24"/>
        </w:rPr>
        <w:t>Australian</w:t>
      </w:r>
      <w:r w:rsidR="007C75BD">
        <w:rPr>
          <w:b w:val="0"/>
          <w:i/>
          <w:sz w:val="24"/>
          <w:szCs w:val="24"/>
        </w:rPr>
        <w:t xml:space="preserve"> Government funding</w:t>
      </w:r>
    </w:p>
    <w:p w:rsidR="007C75BD" w:rsidRDefault="00900D52">
      <w:pPr>
        <w:pStyle w:val="Numbered"/>
      </w:pPr>
      <w:r>
        <w:t>The Australian (Commonwealth)</w:t>
      </w:r>
      <w:r w:rsidR="007C75BD" w:rsidRPr="00E97A24">
        <w:t xml:space="preserve"> Government subsidises the cost of </w:t>
      </w:r>
      <w:r w:rsidR="0011289F">
        <w:t xml:space="preserve">OSHC services (together with other </w:t>
      </w:r>
      <w:r w:rsidR="007C75BD">
        <w:t xml:space="preserve">approved </w:t>
      </w:r>
      <w:r w:rsidR="007C75BD" w:rsidRPr="00E97A24">
        <w:t xml:space="preserve">child care </w:t>
      </w:r>
      <w:r w:rsidR="007C75BD">
        <w:t>services</w:t>
      </w:r>
      <w:r w:rsidR="0011289F">
        <w:t>)</w:t>
      </w:r>
      <w:r w:rsidR="007C75BD">
        <w:t xml:space="preserve"> </w:t>
      </w:r>
      <w:r w:rsidR="007C75BD" w:rsidRPr="00E97A24">
        <w:t>for eligible families through the Child Care Benefit and the Child Care Rebate</w:t>
      </w:r>
      <w:r w:rsidR="007C75BD">
        <w:t>.</w:t>
      </w:r>
    </w:p>
    <w:p w:rsidR="007C75BD" w:rsidRDefault="007C75BD">
      <w:pPr>
        <w:pStyle w:val="Numbered"/>
      </w:pPr>
      <w:r>
        <w:t>The Child Care Benefit is a</w:t>
      </w:r>
      <w:r w:rsidRPr="0073737E">
        <w:t xml:space="preserve"> payment made by the Government to </w:t>
      </w:r>
      <w:r>
        <w:t xml:space="preserve">eligible </w:t>
      </w:r>
      <w:r w:rsidRPr="0073737E">
        <w:t xml:space="preserve">families </w:t>
      </w:r>
      <w:r w:rsidR="00B6375B">
        <w:t>(</w:t>
      </w:r>
      <w:r w:rsidR="00BB2ADC">
        <w:t>those that have</w:t>
      </w:r>
      <w:r w:rsidR="00B6375B">
        <w:t xml:space="preserve"> members working, looking for work or studying) </w:t>
      </w:r>
      <w:r w:rsidRPr="0073737E">
        <w:t>to assist with the cost of child care.</w:t>
      </w:r>
      <w:r>
        <w:rPr>
          <w:rStyle w:val="FootnoteReference"/>
        </w:rPr>
        <w:footnoteReference w:id="8"/>
      </w:r>
    </w:p>
    <w:p w:rsidR="007C75BD" w:rsidRDefault="007C75BD">
      <w:pPr>
        <w:pStyle w:val="Numbered"/>
      </w:pPr>
      <w:r>
        <w:t xml:space="preserve">The Child Care Rebate is </w:t>
      </w:r>
      <w:r w:rsidRPr="0073737E">
        <w:t xml:space="preserve">calculated based on the gap between the fees charged by </w:t>
      </w:r>
      <w:r>
        <w:t>a</w:t>
      </w:r>
      <w:r w:rsidRPr="0073737E">
        <w:t xml:space="preserve"> child care service and the </w:t>
      </w:r>
      <w:r>
        <w:t xml:space="preserve">Child Care Benefit received by families. </w:t>
      </w:r>
      <w:r w:rsidRPr="0073737E">
        <w:t xml:space="preserve">Families who satisfy the </w:t>
      </w:r>
      <w:r>
        <w:t xml:space="preserve">eligibility criteria </w:t>
      </w:r>
      <w:r w:rsidRPr="0073737E">
        <w:t xml:space="preserve">may be entitled to receive </w:t>
      </w:r>
      <w:r>
        <w:t>the Child Care Rebate</w:t>
      </w:r>
      <w:r w:rsidRPr="0073737E">
        <w:t xml:space="preserve"> for 50 per cent of all out-of-pocket costs up to an annual limit.</w:t>
      </w:r>
      <w:r>
        <w:rPr>
          <w:rStyle w:val="FootnoteReference"/>
        </w:rPr>
        <w:footnoteReference w:id="9"/>
      </w:r>
    </w:p>
    <w:p w:rsidR="007C75BD" w:rsidRPr="00497AA2" w:rsidRDefault="007C75BD">
      <w:pPr>
        <w:pStyle w:val="Numbered"/>
      </w:pPr>
      <w:r>
        <w:t>According to the Productivity Commission’s report on early childhood education and care, at that time the Government’s rebate, benefit and other measures funded slightly more than 60 per cent of OSHC fees.</w:t>
      </w:r>
      <w:r>
        <w:rPr>
          <w:rStyle w:val="FootnoteReference"/>
        </w:rPr>
        <w:footnoteReference w:id="10"/>
      </w:r>
    </w:p>
    <w:p w:rsidR="007C75BD" w:rsidRDefault="007C75BD" w:rsidP="00ED13EC">
      <w:pPr>
        <w:pStyle w:val="Heading3"/>
      </w:pPr>
      <w:r>
        <w:t xml:space="preserve">Other industry </w:t>
      </w:r>
      <w:r w:rsidRPr="009057A6">
        <w:t>participants</w:t>
      </w:r>
    </w:p>
    <w:p w:rsidR="007C75BD" w:rsidRDefault="007C75BD">
      <w:pPr>
        <w:pStyle w:val="Numbered"/>
      </w:pPr>
      <w:r>
        <w:t>There are three broad categories of OSHC providers:</w:t>
      </w:r>
    </w:p>
    <w:p w:rsidR="00F57475" w:rsidRDefault="005767E2" w:rsidP="00DA65FA">
      <w:pPr>
        <w:pStyle w:val="ABCList"/>
        <w:numPr>
          <w:ilvl w:val="0"/>
          <w:numId w:val="35"/>
        </w:numPr>
        <w:spacing w:before="240"/>
        <w:ind w:left="1418" w:hanging="425"/>
      </w:pPr>
      <w:proofErr w:type="gramStart"/>
      <w:r>
        <w:t>c</w:t>
      </w:r>
      <w:r w:rsidR="007C75BD">
        <w:t>orporate</w:t>
      </w:r>
      <w:proofErr w:type="gramEnd"/>
      <w:r w:rsidR="007C75BD">
        <w:t xml:space="preserve"> or for-profit</w:t>
      </w:r>
      <w:r w:rsidR="00F57475">
        <w:t>.</w:t>
      </w:r>
      <w:r w:rsidR="007C75BD">
        <w:t xml:space="preserve"> </w:t>
      </w:r>
      <w:r w:rsidR="00F57475">
        <w:t>F</w:t>
      </w:r>
      <w:r w:rsidR="007C75BD">
        <w:t>or example</w:t>
      </w:r>
    </w:p>
    <w:p w:rsidR="00F57475" w:rsidRPr="00FB7858" w:rsidRDefault="007C75BD" w:rsidP="00DA65FA">
      <w:pPr>
        <w:numPr>
          <w:ilvl w:val="0"/>
          <w:numId w:val="31"/>
        </w:numPr>
        <w:spacing w:before="240" w:after="120"/>
        <w:rPr>
          <w:rFonts w:ascii="Arial" w:hAnsi="Arial" w:cs="Arial"/>
          <w:sz w:val="22"/>
          <w:szCs w:val="22"/>
        </w:rPr>
      </w:pPr>
      <w:r w:rsidRPr="00FB7858">
        <w:rPr>
          <w:rFonts w:ascii="Arial" w:hAnsi="Arial" w:cs="Arial"/>
          <w:sz w:val="22"/>
          <w:szCs w:val="22"/>
        </w:rPr>
        <w:t>Camp Australia</w:t>
      </w:r>
      <w:r w:rsidR="00A14F01" w:rsidRPr="00FB7858">
        <w:rPr>
          <w:rFonts w:ascii="Arial" w:hAnsi="Arial" w:cs="Arial"/>
          <w:sz w:val="22"/>
          <w:szCs w:val="22"/>
        </w:rPr>
        <w:t xml:space="preserve"> </w:t>
      </w:r>
    </w:p>
    <w:p w:rsidR="00F57475" w:rsidRPr="00FB7858" w:rsidRDefault="007C75BD" w:rsidP="00DA65FA">
      <w:pPr>
        <w:numPr>
          <w:ilvl w:val="0"/>
          <w:numId w:val="31"/>
        </w:numPr>
        <w:spacing w:before="240" w:after="120"/>
        <w:ind w:left="2001" w:hanging="357"/>
        <w:rPr>
          <w:rFonts w:ascii="Arial" w:hAnsi="Arial" w:cs="Arial"/>
          <w:sz w:val="22"/>
          <w:szCs w:val="22"/>
        </w:rPr>
      </w:pPr>
      <w:r w:rsidRPr="00FB7858">
        <w:rPr>
          <w:rFonts w:ascii="Arial" w:hAnsi="Arial" w:cs="Arial"/>
          <w:sz w:val="22"/>
          <w:szCs w:val="22"/>
        </w:rPr>
        <w:t>JAG</w:t>
      </w:r>
      <w:r w:rsidR="00A14F01" w:rsidRPr="00FB7858">
        <w:rPr>
          <w:rFonts w:ascii="Arial" w:hAnsi="Arial" w:cs="Arial"/>
          <w:sz w:val="22"/>
          <w:szCs w:val="22"/>
        </w:rPr>
        <w:t xml:space="preserve"> </w:t>
      </w:r>
    </w:p>
    <w:p w:rsidR="00F57475" w:rsidRPr="00FB7858" w:rsidRDefault="007C75BD" w:rsidP="00DA65FA">
      <w:pPr>
        <w:numPr>
          <w:ilvl w:val="0"/>
          <w:numId w:val="31"/>
        </w:numPr>
        <w:spacing w:before="240" w:after="120"/>
        <w:ind w:left="2001" w:hanging="357"/>
        <w:rPr>
          <w:rFonts w:ascii="Arial" w:hAnsi="Arial" w:cs="Arial"/>
          <w:sz w:val="22"/>
          <w:szCs w:val="22"/>
        </w:rPr>
      </w:pPr>
      <w:r w:rsidRPr="00FB7858">
        <w:rPr>
          <w:rFonts w:ascii="Arial" w:hAnsi="Arial" w:cs="Arial"/>
          <w:sz w:val="22"/>
          <w:szCs w:val="22"/>
        </w:rPr>
        <w:t>Extend</w:t>
      </w:r>
      <w:r w:rsidR="00F57475" w:rsidRPr="00FB7858">
        <w:rPr>
          <w:rFonts w:ascii="Arial" w:hAnsi="Arial" w:cs="Arial"/>
          <w:sz w:val="22"/>
          <w:szCs w:val="22"/>
        </w:rPr>
        <w:t xml:space="preserve"> (</w:t>
      </w:r>
      <w:r w:rsidR="001D3D6D">
        <w:rPr>
          <w:rFonts w:ascii="Arial" w:hAnsi="Arial" w:cs="Arial"/>
          <w:sz w:val="22"/>
          <w:szCs w:val="22"/>
        </w:rPr>
        <w:t xml:space="preserve">operating in </w:t>
      </w:r>
      <w:r w:rsidR="00F57475" w:rsidRPr="00FB7858">
        <w:rPr>
          <w:rFonts w:ascii="Arial" w:hAnsi="Arial" w:cs="Arial"/>
          <w:sz w:val="22"/>
          <w:szCs w:val="22"/>
        </w:rPr>
        <w:t>four states)</w:t>
      </w:r>
    </w:p>
    <w:p w:rsidR="00F57475" w:rsidRPr="00FB7858" w:rsidRDefault="00F57475" w:rsidP="00DA65FA">
      <w:pPr>
        <w:numPr>
          <w:ilvl w:val="0"/>
          <w:numId w:val="31"/>
        </w:numPr>
        <w:spacing w:before="240" w:after="120"/>
        <w:ind w:left="2001" w:hanging="357"/>
        <w:rPr>
          <w:rFonts w:ascii="Arial" w:hAnsi="Arial" w:cs="Arial"/>
          <w:sz w:val="22"/>
          <w:szCs w:val="22"/>
        </w:rPr>
      </w:pPr>
      <w:proofErr w:type="spellStart"/>
      <w:r w:rsidRPr="00FB7858">
        <w:rPr>
          <w:rFonts w:ascii="Arial" w:hAnsi="Arial" w:cs="Arial"/>
          <w:sz w:val="22"/>
          <w:szCs w:val="22"/>
        </w:rPr>
        <w:t>PrimaryOSHCare</w:t>
      </w:r>
      <w:proofErr w:type="spellEnd"/>
      <w:r w:rsidRPr="00FB7858">
        <w:rPr>
          <w:rFonts w:ascii="Arial" w:hAnsi="Arial" w:cs="Arial"/>
          <w:sz w:val="22"/>
          <w:szCs w:val="22"/>
        </w:rPr>
        <w:t xml:space="preserve"> </w:t>
      </w:r>
      <w:r w:rsidR="00BB2ADC" w:rsidRPr="00FB7858">
        <w:rPr>
          <w:rFonts w:ascii="Arial" w:hAnsi="Arial" w:cs="Arial"/>
          <w:sz w:val="22"/>
          <w:szCs w:val="22"/>
        </w:rPr>
        <w:t>(</w:t>
      </w:r>
      <w:r w:rsidR="001D3D6D">
        <w:rPr>
          <w:rFonts w:ascii="Arial" w:hAnsi="Arial" w:cs="Arial"/>
          <w:sz w:val="22"/>
          <w:szCs w:val="22"/>
        </w:rPr>
        <w:t>operating</w:t>
      </w:r>
      <w:r w:rsidRPr="00FB7858">
        <w:rPr>
          <w:rFonts w:ascii="Arial" w:hAnsi="Arial" w:cs="Arial"/>
          <w:sz w:val="22"/>
          <w:szCs w:val="22"/>
        </w:rPr>
        <w:t xml:space="preserve"> in Sydney</w:t>
      </w:r>
      <w:r w:rsidR="00BB2ADC" w:rsidRPr="00FB7858">
        <w:rPr>
          <w:rFonts w:ascii="Arial" w:hAnsi="Arial" w:cs="Arial"/>
          <w:sz w:val="22"/>
          <w:szCs w:val="22"/>
        </w:rPr>
        <w:t>)</w:t>
      </w:r>
    </w:p>
    <w:p w:rsidR="00F57475" w:rsidRPr="00FB7858" w:rsidRDefault="00F57475" w:rsidP="00DA65FA">
      <w:pPr>
        <w:numPr>
          <w:ilvl w:val="0"/>
          <w:numId w:val="31"/>
        </w:numPr>
        <w:spacing w:before="240" w:after="120"/>
        <w:ind w:left="2001" w:hanging="357"/>
        <w:rPr>
          <w:rFonts w:ascii="Arial" w:hAnsi="Arial" w:cs="Arial"/>
          <w:sz w:val="22"/>
          <w:szCs w:val="22"/>
        </w:rPr>
      </w:pPr>
      <w:r w:rsidRPr="00FB7858">
        <w:rPr>
          <w:rFonts w:ascii="Arial" w:hAnsi="Arial" w:cs="Arial"/>
          <w:sz w:val="22"/>
          <w:szCs w:val="22"/>
        </w:rPr>
        <w:t xml:space="preserve">Sherpa Kids franchise network </w:t>
      </w:r>
      <w:r w:rsidR="00A14F01" w:rsidRPr="00FB7858">
        <w:rPr>
          <w:rFonts w:ascii="Arial" w:hAnsi="Arial" w:cs="Arial"/>
          <w:sz w:val="22"/>
          <w:szCs w:val="22"/>
        </w:rPr>
        <w:t>(</w:t>
      </w:r>
      <w:r w:rsidR="001D3D6D">
        <w:rPr>
          <w:rFonts w:ascii="Arial" w:hAnsi="Arial" w:cs="Arial"/>
          <w:sz w:val="22"/>
          <w:szCs w:val="22"/>
        </w:rPr>
        <w:t xml:space="preserve">operating in </w:t>
      </w:r>
      <w:r w:rsidR="00A14F01" w:rsidRPr="00FB7858">
        <w:rPr>
          <w:rFonts w:ascii="Arial" w:hAnsi="Arial" w:cs="Arial"/>
          <w:sz w:val="22"/>
          <w:szCs w:val="22"/>
        </w:rPr>
        <w:t>four s</w:t>
      </w:r>
      <w:r w:rsidRPr="00FB7858">
        <w:rPr>
          <w:rFonts w:ascii="Arial" w:hAnsi="Arial" w:cs="Arial"/>
          <w:sz w:val="22"/>
          <w:szCs w:val="22"/>
        </w:rPr>
        <w:t xml:space="preserve">tates / </w:t>
      </w:r>
      <w:r w:rsidR="00D2321F" w:rsidRPr="00FB7858">
        <w:rPr>
          <w:rFonts w:ascii="Arial" w:hAnsi="Arial" w:cs="Arial"/>
          <w:sz w:val="22"/>
          <w:szCs w:val="22"/>
        </w:rPr>
        <w:t>territories</w:t>
      </w:r>
      <w:r w:rsidRPr="00FB7858">
        <w:rPr>
          <w:rFonts w:ascii="Arial" w:hAnsi="Arial" w:cs="Arial"/>
          <w:sz w:val="22"/>
          <w:szCs w:val="22"/>
        </w:rPr>
        <w:t>)</w:t>
      </w:r>
    </w:p>
    <w:p w:rsidR="007C75BD" w:rsidRPr="00FB7858" w:rsidRDefault="007C75BD" w:rsidP="00DA65FA">
      <w:pPr>
        <w:numPr>
          <w:ilvl w:val="0"/>
          <w:numId w:val="31"/>
        </w:numPr>
        <w:spacing w:before="240" w:after="120"/>
        <w:ind w:left="2001" w:hanging="357"/>
        <w:rPr>
          <w:rFonts w:ascii="Arial" w:hAnsi="Arial" w:cs="Arial"/>
          <w:sz w:val="22"/>
          <w:szCs w:val="22"/>
        </w:rPr>
      </w:pPr>
      <w:r w:rsidRPr="00FB7858">
        <w:rPr>
          <w:rFonts w:ascii="Arial" w:hAnsi="Arial" w:cs="Arial"/>
          <w:sz w:val="22"/>
          <w:szCs w:val="22"/>
        </w:rPr>
        <w:t xml:space="preserve">After the Bell </w:t>
      </w:r>
      <w:r w:rsidR="00F57475" w:rsidRPr="00FB7858">
        <w:rPr>
          <w:rFonts w:ascii="Arial" w:hAnsi="Arial" w:cs="Arial"/>
          <w:sz w:val="22"/>
          <w:szCs w:val="22"/>
        </w:rPr>
        <w:t>(</w:t>
      </w:r>
      <w:r w:rsidR="001D3D6D">
        <w:rPr>
          <w:rFonts w:ascii="Arial" w:hAnsi="Arial" w:cs="Arial"/>
          <w:sz w:val="22"/>
          <w:szCs w:val="22"/>
        </w:rPr>
        <w:t xml:space="preserve">operating in </w:t>
      </w:r>
      <w:r w:rsidR="00F57475" w:rsidRPr="00FB7858">
        <w:rPr>
          <w:rFonts w:ascii="Arial" w:hAnsi="Arial" w:cs="Arial"/>
          <w:sz w:val="22"/>
          <w:szCs w:val="22"/>
        </w:rPr>
        <w:t xml:space="preserve">two </w:t>
      </w:r>
      <w:r w:rsidR="00A14F01" w:rsidRPr="00FB7858">
        <w:rPr>
          <w:rFonts w:ascii="Arial" w:hAnsi="Arial" w:cs="Arial"/>
          <w:sz w:val="22"/>
          <w:szCs w:val="22"/>
        </w:rPr>
        <w:t>s</w:t>
      </w:r>
      <w:r w:rsidR="00F57475" w:rsidRPr="00FB7858">
        <w:rPr>
          <w:rFonts w:ascii="Arial" w:hAnsi="Arial" w:cs="Arial"/>
          <w:sz w:val="22"/>
          <w:szCs w:val="22"/>
        </w:rPr>
        <w:t>tates)</w:t>
      </w:r>
    </w:p>
    <w:p w:rsidR="007C75BD" w:rsidRDefault="00F57475" w:rsidP="00DA65FA">
      <w:pPr>
        <w:pStyle w:val="ABCList"/>
        <w:spacing w:before="240"/>
        <w:ind w:left="1417" w:hanging="425"/>
      </w:pPr>
      <w:proofErr w:type="gramStart"/>
      <w:r>
        <w:t>n</w:t>
      </w:r>
      <w:r w:rsidR="007C75BD">
        <w:t>ot-for-profit</w:t>
      </w:r>
      <w:proofErr w:type="gramEnd"/>
      <w:r w:rsidR="007C75BD">
        <w:t xml:space="preserve"> and community. For example</w:t>
      </w:r>
      <w:r w:rsidR="005767E2">
        <w:t>:</w:t>
      </w:r>
    </w:p>
    <w:p w:rsidR="007C75BD" w:rsidRPr="00FB7858" w:rsidRDefault="007C75BD" w:rsidP="00DA65FA">
      <w:pPr>
        <w:numPr>
          <w:ilvl w:val="0"/>
          <w:numId w:val="32"/>
        </w:numPr>
        <w:spacing w:before="240" w:after="120"/>
        <w:rPr>
          <w:rFonts w:ascii="Arial" w:hAnsi="Arial" w:cs="Arial"/>
          <w:sz w:val="22"/>
          <w:szCs w:val="22"/>
        </w:rPr>
      </w:pPr>
      <w:proofErr w:type="gramStart"/>
      <w:r w:rsidRPr="00FB7858">
        <w:rPr>
          <w:rFonts w:ascii="Arial" w:hAnsi="Arial" w:cs="Arial"/>
          <w:sz w:val="22"/>
          <w:szCs w:val="22"/>
        </w:rPr>
        <w:t>various</w:t>
      </w:r>
      <w:proofErr w:type="gramEnd"/>
      <w:r w:rsidRPr="00FB7858">
        <w:rPr>
          <w:rFonts w:ascii="Arial" w:hAnsi="Arial" w:cs="Arial"/>
          <w:sz w:val="22"/>
          <w:szCs w:val="22"/>
        </w:rPr>
        <w:t xml:space="preserve"> Young Men’s Christian Associations (YMCAs) in regions across Australia</w:t>
      </w:r>
      <w:r w:rsidR="005767E2" w:rsidRPr="00FB7858">
        <w:rPr>
          <w:rFonts w:ascii="Arial" w:hAnsi="Arial" w:cs="Arial"/>
          <w:sz w:val="22"/>
          <w:szCs w:val="22"/>
        </w:rPr>
        <w:t>. The movement in Australia is a federation of 24 Member Associations</w:t>
      </w:r>
      <w:r w:rsidR="00F57475" w:rsidRPr="00FB7858">
        <w:rPr>
          <w:rFonts w:ascii="Arial" w:hAnsi="Arial" w:cs="Arial"/>
          <w:sz w:val="22"/>
          <w:szCs w:val="22"/>
        </w:rPr>
        <w:t>.</w:t>
      </w:r>
    </w:p>
    <w:p w:rsidR="007C75BD" w:rsidRPr="00D31090" w:rsidRDefault="007C75BD" w:rsidP="00DA65FA">
      <w:pPr>
        <w:numPr>
          <w:ilvl w:val="0"/>
          <w:numId w:val="32"/>
        </w:numPr>
        <w:spacing w:before="240" w:after="120"/>
        <w:ind w:left="2001" w:hanging="357"/>
        <w:rPr>
          <w:rFonts w:ascii="Arial" w:hAnsi="Arial" w:cs="Arial"/>
          <w:sz w:val="16"/>
          <w:szCs w:val="16"/>
        </w:rPr>
      </w:pPr>
      <w:r w:rsidRPr="00FB7858">
        <w:rPr>
          <w:rFonts w:ascii="Arial" w:hAnsi="Arial" w:cs="Arial"/>
          <w:sz w:val="22"/>
          <w:szCs w:val="22"/>
        </w:rPr>
        <w:t xml:space="preserve">the Police and Citizens Youth Clubs (PCYC) organisations in </w:t>
      </w:r>
      <w:r w:rsidR="00A14F01" w:rsidRPr="00FB7858">
        <w:rPr>
          <w:rFonts w:ascii="Arial" w:hAnsi="Arial" w:cs="Arial"/>
          <w:sz w:val="22"/>
          <w:szCs w:val="22"/>
        </w:rPr>
        <w:t>s</w:t>
      </w:r>
      <w:r w:rsidRPr="00FB7858">
        <w:rPr>
          <w:rFonts w:ascii="Arial" w:hAnsi="Arial" w:cs="Arial"/>
          <w:sz w:val="22"/>
          <w:szCs w:val="22"/>
        </w:rPr>
        <w:t xml:space="preserve">tates and </w:t>
      </w:r>
      <w:r w:rsidR="00D2321F" w:rsidRPr="00FB7858">
        <w:rPr>
          <w:rFonts w:ascii="Arial" w:hAnsi="Arial" w:cs="Arial"/>
          <w:sz w:val="22"/>
          <w:szCs w:val="22"/>
        </w:rPr>
        <w:t>territories</w:t>
      </w:r>
      <w:r w:rsidRPr="00FB7858">
        <w:rPr>
          <w:rFonts w:ascii="Arial" w:hAnsi="Arial" w:cs="Arial"/>
          <w:sz w:val="22"/>
          <w:szCs w:val="22"/>
        </w:rPr>
        <w:t xml:space="preserve"> including Queensland and NSW</w:t>
      </w:r>
      <w:bookmarkStart w:id="2" w:name="_GoBack"/>
      <w:r w:rsidR="005767E2" w:rsidRPr="00D31090">
        <w:rPr>
          <w:rFonts w:ascii="Arial" w:hAnsi="Arial" w:cs="Arial"/>
          <w:sz w:val="16"/>
          <w:szCs w:val="16"/>
        </w:rPr>
        <w:footnoteReference w:id="11"/>
      </w:r>
    </w:p>
    <w:bookmarkEnd w:id="2"/>
    <w:p w:rsidR="007C75BD" w:rsidRPr="00FB7858" w:rsidRDefault="007C75BD" w:rsidP="00DA65FA">
      <w:pPr>
        <w:numPr>
          <w:ilvl w:val="0"/>
          <w:numId w:val="32"/>
        </w:numPr>
        <w:spacing w:before="240" w:after="120"/>
        <w:ind w:left="2001" w:hanging="357"/>
        <w:rPr>
          <w:rFonts w:ascii="Arial" w:hAnsi="Arial" w:cs="Arial"/>
          <w:sz w:val="22"/>
          <w:szCs w:val="22"/>
        </w:rPr>
      </w:pPr>
      <w:r w:rsidRPr="00FB7858">
        <w:rPr>
          <w:rFonts w:ascii="Arial" w:hAnsi="Arial" w:cs="Arial"/>
          <w:sz w:val="22"/>
          <w:szCs w:val="22"/>
        </w:rPr>
        <w:t>religious</w:t>
      </w:r>
      <w:r w:rsidR="005767E2" w:rsidRPr="00FB7858">
        <w:rPr>
          <w:rFonts w:ascii="Arial" w:hAnsi="Arial" w:cs="Arial"/>
          <w:sz w:val="22"/>
          <w:szCs w:val="22"/>
        </w:rPr>
        <w:t>-affiliated</w:t>
      </w:r>
      <w:r w:rsidRPr="00FB7858">
        <w:rPr>
          <w:rFonts w:ascii="Arial" w:hAnsi="Arial" w:cs="Arial"/>
          <w:sz w:val="22"/>
          <w:szCs w:val="22"/>
        </w:rPr>
        <w:t xml:space="preserve"> groups</w:t>
      </w:r>
      <w:r w:rsidR="005767E2" w:rsidRPr="00FB7858">
        <w:rPr>
          <w:rFonts w:ascii="Arial" w:hAnsi="Arial" w:cs="Arial"/>
          <w:sz w:val="22"/>
          <w:szCs w:val="22"/>
        </w:rPr>
        <w:t xml:space="preserve">, such as Catholic support service </w:t>
      </w:r>
      <w:proofErr w:type="spellStart"/>
      <w:r w:rsidR="005767E2" w:rsidRPr="00FB7858">
        <w:rPr>
          <w:rFonts w:ascii="Arial" w:hAnsi="Arial" w:cs="Arial"/>
          <w:sz w:val="22"/>
          <w:szCs w:val="22"/>
        </w:rPr>
        <w:t>Centacare</w:t>
      </w:r>
      <w:proofErr w:type="spellEnd"/>
      <w:r w:rsidR="005767E2" w:rsidRPr="00FB7858">
        <w:rPr>
          <w:rFonts w:ascii="Arial" w:hAnsi="Arial" w:cs="Arial"/>
          <w:sz w:val="22"/>
          <w:szCs w:val="22"/>
        </w:rPr>
        <w:t xml:space="preserve"> Brisbane,</w:t>
      </w:r>
      <w:r w:rsidRPr="00FB7858">
        <w:rPr>
          <w:rFonts w:ascii="Arial" w:hAnsi="Arial" w:cs="Arial"/>
          <w:sz w:val="22"/>
          <w:szCs w:val="22"/>
        </w:rPr>
        <w:t xml:space="preserve"> and </w:t>
      </w:r>
    </w:p>
    <w:p w:rsidR="007C75BD" w:rsidRPr="00FB7858" w:rsidRDefault="007C75BD" w:rsidP="00DA65FA">
      <w:pPr>
        <w:numPr>
          <w:ilvl w:val="0"/>
          <w:numId w:val="32"/>
        </w:numPr>
        <w:spacing w:before="240" w:after="120"/>
        <w:ind w:left="2001" w:hanging="357"/>
        <w:rPr>
          <w:rFonts w:ascii="Arial" w:hAnsi="Arial" w:cs="Arial"/>
          <w:sz w:val="22"/>
          <w:szCs w:val="22"/>
        </w:rPr>
      </w:pPr>
      <w:proofErr w:type="gramStart"/>
      <w:r w:rsidRPr="00FB7858">
        <w:rPr>
          <w:rFonts w:ascii="Arial" w:hAnsi="Arial" w:cs="Arial"/>
          <w:sz w:val="22"/>
          <w:szCs w:val="22"/>
        </w:rPr>
        <w:t>local</w:t>
      </w:r>
      <w:proofErr w:type="gramEnd"/>
      <w:r w:rsidRPr="00FB7858">
        <w:rPr>
          <w:rFonts w:ascii="Arial" w:hAnsi="Arial" w:cs="Arial"/>
          <w:sz w:val="22"/>
          <w:szCs w:val="22"/>
        </w:rPr>
        <w:t xml:space="preserve"> councils</w:t>
      </w:r>
      <w:r w:rsidR="00D96D34" w:rsidRPr="00FB7858">
        <w:rPr>
          <w:rFonts w:ascii="Arial" w:hAnsi="Arial" w:cs="Arial"/>
          <w:sz w:val="22"/>
          <w:szCs w:val="22"/>
        </w:rPr>
        <w:t>, which run about 200 services across Australia.</w:t>
      </w:r>
    </w:p>
    <w:p w:rsidR="006F47C1" w:rsidRDefault="00F57475" w:rsidP="00DA65FA">
      <w:pPr>
        <w:pStyle w:val="ABCList"/>
        <w:spacing w:before="240"/>
        <w:ind w:left="1417" w:hanging="425"/>
      </w:pPr>
      <w:proofErr w:type="gramStart"/>
      <w:r>
        <w:t>s</w:t>
      </w:r>
      <w:r w:rsidR="007C75BD">
        <w:t>chools</w:t>
      </w:r>
      <w:proofErr w:type="gramEnd"/>
      <w:r w:rsidR="007C75BD">
        <w:t xml:space="preserve"> providing OSHC ‘in-house’.</w:t>
      </w:r>
    </w:p>
    <w:p w:rsidR="00032286" w:rsidRPr="00F525A1" w:rsidRDefault="00032286">
      <w:pPr>
        <w:pStyle w:val="Numbered"/>
      </w:pPr>
      <w:r>
        <w:t xml:space="preserve">The OSHC sector also contains a long tail of smaller providers not included in the above </w:t>
      </w:r>
      <w:r w:rsidR="001D3D6D">
        <w:t>list</w:t>
      </w:r>
      <w:r>
        <w:t>. These providers, numbering in the hundreds, operate one or a handful of sites only.</w:t>
      </w:r>
    </w:p>
    <w:p w:rsidR="00F57475" w:rsidRDefault="00726FFA">
      <w:pPr>
        <w:pStyle w:val="Numbered"/>
      </w:pPr>
      <w:r>
        <w:t>I</w:t>
      </w:r>
      <w:r w:rsidR="00475EB5">
        <w:t xml:space="preserve">n terms of </w:t>
      </w:r>
      <w:r w:rsidR="003D709F">
        <w:t xml:space="preserve">relative sizes </w:t>
      </w:r>
      <w:r w:rsidR="00475EB5">
        <w:t>based on sites, a merged</w:t>
      </w:r>
      <w:r w:rsidR="0088291B">
        <w:t xml:space="preserve"> Camp Australia is likely to be:</w:t>
      </w:r>
    </w:p>
    <w:p w:rsidR="00F57475" w:rsidRDefault="00475EB5" w:rsidP="00626538">
      <w:pPr>
        <w:pStyle w:val="Bulletpoint"/>
        <w:tabs>
          <w:tab w:val="num" w:pos="1418"/>
        </w:tabs>
        <w:ind w:left="1418" w:hanging="567"/>
      </w:pPr>
      <w:r>
        <w:t xml:space="preserve">more than </w:t>
      </w:r>
      <w:r w:rsidR="0005020A">
        <w:t>12</w:t>
      </w:r>
      <w:r>
        <w:t xml:space="preserve"> times the size of the next-largest for-profit provider, Extend</w:t>
      </w:r>
    </w:p>
    <w:p w:rsidR="00F57475" w:rsidRDefault="00475EB5" w:rsidP="00626538">
      <w:pPr>
        <w:pStyle w:val="Bulletpoint"/>
        <w:tabs>
          <w:tab w:val="num" w:pos="1418"/>
        </w:tabs>
        <w:ind w:left="1418" w:hanging="567"/>
      </w:pPr>
      <w:r>
        <w:t>about three times the size of the pool of services run by Australia’s various independently constituted YMCAs</w:t>
      </w:r>
    </w:p>
    <w:p w:rsidR="00F57475" w:rsidRDefault="00475EB5" w:rsidP="00626538">
      <w:pPr>
        <w:pStyle w:val="Bulletpoint"/>
        <w:tabs>
          <w:tab w:val="num" w:pos="1418"/>
        </w:tabs>
        <w:ind w:left="1418" w:hanging="567"/>
      </w:pPr>
      <w:r>
        <w:t xml:space="preserve">about eight times the size of the </w:t>
      </w:r>
      <w:r w:rsidR="00900D52">
        <w:t xml:space="preserve">pool of services run by the </w:t>
      </w:r>
      <w:r>
        <w:t xml:space="preserve">various </w:t>
      </w:r>
      <w:r w:rsidRPr="00613832">
        <w:t>PCYC</w:t>
      </w:r>
      <w:r>
        <w:t xml:space="preserve">s and </w:t>
      </w:r>
    </w:p>
    <w:p w:rsidR="00655021" w:rsidRDefault="00475EB5" w:rsidP="00626538">
      <w:pPr>
        <w:pStyle w:val="Bulletpoint"/>
        <w:tabs>
          <w:tab w:val="num" w:pos="1418"/>
        </w:tabs>
        <w:ind w:left="1418" w:hanging="567"/>
      </w:pPr>
      <w:proofErr w:type="gramStart"/>
      <w:r>
        <w:t>about</w:t>
      </w:r>
      <w:proofErr w:type="gramEnd"/>
      <w:r>
        <w:t xml:space="preserve"> nine times the size of </w:t>
      </w:r>
      <w:proofErr w:type="spellStart"/>
      <w:r>
        <w:t>Centacare</w:t>
      </w:r>
      <w:proofErr w:type="spellEnd"/>
      <w:r w:rsidR="00900D52">
        <w:t>, which is the largest religious-affiliated provider, focusing on parts of the Catholic School system in Queensland</w:t>
      </w:r>
      <w:r w:rsidR="001D68F3">
        <w:t>.</w:t>
      </w:r>
    </w:p>
    <w:p w:rsidR="00F3323F" w:rsidRDefault="00F3323F">
      <w:pPr>
        <w:pStyle w:val="Numbered"/>
      </w:pPr>
      <w:r>
        <w:t xml:space="preserve">However, collectively, small-scale providers and schools </w:t>
      </w:r>
      <w:r w:rsidR="001F6AD9">
        <w:t xml:space="preserve">would </w:t>
      </w:r>
      <w:r>
        <w:t xml:space="preserve">still operate </w:t>
      </w:r>
      <w:r w:rsidR="001F6AD9">
        <w:t xml:space="preserve">approximately </w:t>
      </w:r>
      <w:r>
        <w:t xml:space="preserve">three times as many sites </w:t>
      </w:r>
      <w:r w:rsidR="00192599">
        <w:t xml:space="preserve">nationally </w:t>
      </w:r>
      <w:r>
        <w:t>as a combined Camp Australia-JAG.</w:t>
      </w:r>
    </w:p>
    <w:p w:rsidR="001D68F3" w:rsidRDefault="001D68F3">
      <w:pPr>
        <w:pStyle w:val="Numbered"/>
      </w:pPr>
      <w:r>
        <w:t>Further details of the relative sizes of industry participants are provided below, under the heading ‘Market Concentration’.</w:t>
      </w:r>
    </w:p>
    <w:p w:rsidR="007C75BD" w:rsidRDefault="007C75BD" w:rsidP="007C75BD">
      <w:pPr>
        <w:pStyle w:val="Heading3"/>
      </w:pPr>
      <w:r>
        <w:t>Market inquiries</w:t>
      </w:r>
    </w:p>
    <w:p w:rsidR="007C75BD" w:rsidRDefault="007C75BD">
      <w:pPr>
        <w:pStyle w:val="Numbered"/>
      </w:pPr>
      <w:r>
        <w:t xml:space="preserve">To help in its assessment of mergers and acquisitions, the ACCC collects information from and has discussions with market participants, such as customers, suppliers, competitors, regulators and </w:t>
      </w:r>
      <w:r w:rsidR="00BC16B4">
        <w:t>industry</w:t>
      </w:r>
      <w:r>
        <w:t xml:space="preserve"> member organisations. </w:t>
      </w:r>
    </w:p>
    <w:p w:rsidR="007C75BD" w:rsidRDefault="007C75BD">
      <w:pPr>
        <w:pStyle w:val="Numbered"/>
      </w:pPr>
      <w:r>
        <w:t>Market inquiries to date in this matter have reveal</w:t>
      </w:r>
      <w:r w:rsidR="000124BC">
        <w:t>ed significant opposition to the proposed</w:t>
      </w:r>
      <w:r>
        <w:t xml:space="preserve"> </w:t>
      </w:r>
      <w:r w:rsidR="000124BC">
        <w:t>consolidation of Camp Australia and JAG</w:t>
      </w:r>
      <w:r>
        <w:t xml:space="preserve">. </w:t>
      </w:r>
    </w:p>
    <w:p w:rsidR="007C75BD" w:rsidRDefault="007C75BD">
      <w:pPr>
        <w:pStyle w:val="Numbered"/>
      </w:pPr>
      <w:r>
        <w:t>The ACCC has also received some market feedback that is neutral about the proposed merger or that otherwise indicates a lack of concern.</w:t>
      </w:r>
    </w:p>
    <w:p w:rsidR="007C75BD" w:rsidRDefault="007C75BD">
      <w:pPr>
        <w:pStyle w:val="Numbered"/>
      </w:pPr>
      <w:r>
        <w:t xml:space="preserve">The number of submissions the ACCC </w:t>
      </w:r>
      <w:r w:rsidR="00BC16B4">
        <w:t xml:space="preserve">receives </w:t>
      </w:r>
      <w:r>
        <w:t>is not necessarily an indicator of whether a proposed merger or acquisition raises ‘competition concerns’. In this case the number of submis</w:t>
      </w:r>
      <w:r w:rsidR="000124BC">
        <w:t>sions the ACCC has received</w:t>
      </w:r>
      <w:r>
        <w:t xml:space="preserve"> must be viewed in the context of a sector that involves hundreds of thousands of parents</w:t>
      </w:r>
      <w:r w:rsidR="002E488F">
        <w:t>, thousands of schools</w:t>
      </w:r>
      <w:r>
        <w:t xml:space="preserve"> and hundreds of providers. </w:t>
      </w:r>
    </w:p>
    <w:p w:rsidR="007C75BD" w:rsidRDefault="007C75BD">
      <w:pPr>
        <w:pStyle w:val="Numbered"/>
      </w:pPr>
      <w:r>
        <w:t>However, the ACCC notes that it has received more than 100 submissions from parents, expressing concerns that the merger will lead to, variously and amongst other things:</w:t>
      </w:r>
    </w:p>
    <w:p w:rsidR="007C75BD" w:rsidRDefault="007C75BD" w:rsidP="00626538">
      <w:pPr>
        <w:pStyle w:val="Bulletpoint"/>
        <w:tabs>
          <w:tab w:val="num" w:pos="1418"/>
        </w:tabs>
        <w:ind w:left="1418" w:hanging="567"/>
      </w:pPr>
      <w:r>
        <w:t>a drop in service quality</w:t>
      </w:r>
    </w:p>
    <w:p w:rsidR="007C75BD" w:rsidRDefault="007C75BD" w:rsidP="00626538">
      <w:pPr>
        <w:pStyle w:val="Bulletpoint"/>
        <w:tabs>
          <w:tab w:val="num" w:pos="1418"/>
        </w:tabs>
        <w:ind w:left="1418" w:hanging="567"/>
      </w:pPr>
      <w:r>
        <w:t>a rise in fees</w:t>
      </w:r>
    </w:p>
    <w:p w:rsidR="007C75BD" w:rsidRDefault="007C75BD" w:rsidP="00626538">
      <w:pPr>
        <w:pStyle w:val="Bulletpoint"/>
        <w:tabs>
          <w:tab w:val="num" w:pos="1418"/>
        </w:tabs>
        <w:ind w:left="1418" w:hanging="567"/>
      </w:pPr>
      <w:r>
        <w:t xml:space="preserve">a reduction in the bargaining power of schools, because a merged Camp Australia-JAG </w:t>
      </w:r>
      <w:r w:rsidR="00D62D11">
        <w:t xml:space="preserve">would </w:t>
      </w:r>
      <w:r>
        <w:t>be large and there will be a lack of alternatives</w:t>
      </w:r>
    </w:p>
    <w:p w:rsidR="007C75BD" w:rsidRDefault="007C75BD" w:rsidP="00626538">
      <w:pPr>
        <w:pStyle w:val="Bulletpoint"/>
        <w:tabs>
          <w:tab w:val="num" w:pos="1418"/>
        </w:tabs>
        <w:ind w:left="1418" w:hanging="567"/>
      </w:pPr>
      <w:proofErr w:type="gramStart"/>
      <w:r>
        <w:t>possibly</w:t>
      </w:r>
      <w:proofErr w:type="gramEnd"/>
      <w:r>
        <w:t xml:space="preserve"> forcing smaller providers out of the market.</w:t>
      </w:r>
    </w:p>
    <w:p w:rsidR="007C75BD" w:rsidRDefault="007C75BD">
      <w:pPr>
        <w:pStyle w:val="Numbered"/>
        <w:rPr>
          <w:color w:val="000000"/>
          <w:sz w:val="20"/>
          <w:szCs w:val="20"/>
          <w:lang w:eastAsia="en-AU"/>
        </w:rPr>
      </w:pPr>
      <w:r>
        <w:t xml:space="preserve">The ACCC was </w:t>
      </w:r>
      <w:r w:rsidR="000124BC">
        <w:t xml:space="preserve">also </w:t>
      </w:r>
      <w:r>
        <w:t>referred to an online petition opposing the merger, which has over 1000 signatories.</w:t>
      </w:r>
      <w:r w:rsidRPr="0051256B">
        <w:rPr>
          <w:color w:val="000000"/>
          <w:sz w:val="20"/>
          <w:szCs w:val="20"/>
          <w:lang w:eastAsia="en-AU"/>
        </w:rPr>
        <w:t xml:space="preserve"> </w:t>
      </w:r>
    </w:p>
    <w:p w:rsidR="00F57475" w:rsidRPr="002B3644" w:rsidRDefault="00D62D11">
      <w:pPr>
        <w:pStyle w:val="Numbered"/>
      </w:pPr>
      <w:r>
        <w:t>S</w:t>
      </w:r>
      <w:r w:rsidR="00F57475" w:rsidRPr="002B3644">
        <w:t xml:space="preserve">ome of the submissions from parents incorporated concerns </w:t>
      </w:r>
      <w:r w:rsidR="00D61542">
        <w:t>beyond those which</w:t>
      </w:r>
      <w:r w:rsidR="00F57475" w:rsidRPr="002B3644">
        <w:t xml:space="preserve"> the ACCC</w:t>
      </w:r>
      <w:r w:rsidR="00D61542">
        <w:t xml:space="preserve"> can consider</w:t>
      </w:r>
      <w:r w:rsidR="00F57475" w:rsidRPr="002B3644">
        <w:t>, such as concerns about foreign ownership.</w:t>
      </w:r>
    </w:p>
    <w:p w:rsidR="007C75BD" w:rsidRDefault="007C75BD">
      <w:pPr>
        <w:pStyle w:val="Numbered"/>
      </w:pPr>
      <w:r w:rsidRPr="00A570A7">
        <w:t xml:space="preserve">The ACCC notes </w:t>
      </w:r>
      <w:r>
        <w:t>that in its contacts with schools,</w:t>
      </w:r>
      <w:r w:rsidR="000124BC">
        <w:t xml:space="preserve"> about twice as many schools were</w:t>
      </w:r>
      <w:r>
        <w:t xml:space="preserve"> c</w:t>
      </w:r>
      <w:r w:rsidR="000124BC">
        <w:t>oncerned about the merger as were</w:t>
      </w:r>
      <w:r>
        <w:t xml:space="preserve"> unconcerned or undecided. </w:t>
      </w:r>
    </w:p>
    <w:p w:rsidR="007C75BD" w:rsidRPr="00251D63" w:rsidRDefault="007C75BD" w:rsidP="007C75BD">
      <w:pPr>
        <w:pStyle w:val="Heading3"/>
      </w:pPr>
      <w:r w:rsidRPr="00251D63">
        <w:t>Market definition</w:t>
      </w:r>
    </w:p>
    <w:p w:rsidR="007C75BD" w:rsidRPr="00F773D8" w:rsidRDefault="007C75BD">
      <w:pPr>
        <w:pStyle w:val="Numbered"/>
      </w:pPr>
      <w:r w:rsidRPr="00E614ED">
        <w:t>The ACCC’s preliminary view is that the markets relevant for assessing the competition effe</w:t>
      </w:r>
      <w:r w:rsidR="000124BC">
        <w:t>cts of the proposed merger are s</w:t>
      </w:r>
      <w:r w:rsidRPr="00E614ED">
        <w:t xml:space="preserve">tate and </w:t>
      </w:r>
      <w:r w:rsidR="00F0377D">
        <w:t>territory</w:t>
      </w:r>
      <w:r w:rsidRPr="00E614ED">
        <w:t xml:space="preserve">-based markets for </w:t>
      </w:r>
      <w:r w:rsidR="000124BC">
        <w:t>before and after-school care</w:t>
      </w:r>
      <w:r w:rsidR="00D62D11">
        <w:t xml:space="preserve"> for primary school children</w:t>
      </w:r>
      <w:r w:rsidRPr="00E614ED">
        <w:t>.</w:t>
      </w:r>
    </w:p>
    <w:p w:rsidR="007C75BD" w:rsidRPr="008222E7" w:rsidRDefault="007C75BD">
      <w:pPr>
        <w:pStyle w:val="Heading4"/>
        <w:numPr>
          <w:ilvl w:val="0"/>
          <w:numId w:val="0"/>
        </w:numPr>
      </w:pPr>
      <w:r w:rsidRPr="008222E7">
        <w:t xml:space="preserve">Product </w:t>
      </w:r>
      <w:r>
        <w:t>dimension</w:t>
      </w:r>
    </w:p>
    <w:p w:rsidR="007C75BD" w:rsidRDefault="007C75BD">
      <w:pPr>
        <w:pStyle w:val="Heading5"/>
        <w:numPr>
          <w:ilvl w:val="0"/>
          <w:numId w:val="0"/>
        </w:numPr>
      </w:pPr>
      <w:r>
        <w:t>Market</w:t>
      </w:r>
      <w:r w:rsidR="000124BC">
        <w:t>s</w:t>
      </w:r>
      <w:r>
        <w:t xml:space="preserve"> for the supply of </w:t>
      </w:r>
      <w:r w:rsidR="000124BC">
        <w:t>before and after-school care</w:t>
      </w:r>
    </w:p>
    <w:p w:rsidR="000124BC" w:rsidRDefault="000124BC">
      <w:pPr>
        <w:pStyle w:val="Numbered"/>
      </w:pPr>
      <w:r>
        <w:rPr>
          <w:lang w:eastAsia="en-AU"/>
        </w:rPr>
        <w:t>T</w:t>
      </w:r>
      <w:r w:rsidRPr="007E1ACE">
        <w:rPr>
          <w:lang w:eastAsia="en-AU"/>
        </w:rPr>
        <w:t xml:space="preserve">he ACCC’s starting point for delineating the relevant markets in which to assess the competitive effects of </w:t>
      </w:r>
      <w:r>
        <w:rPr>
          <w:lang w:eastAsia="en-AU"/>
        </w:rPr>
        <w:t>a</w:t>
      </w:r>
      <w:r w:rsidRPr="007E1ACE">
        <w:rPr>
          <w:lang w:eastAsia="en-AU"/>
        </w:rPr>
        <w:t xml:space="preserve"> proposed merger involves identifying the products actually or poten</w:t>
      </w:r>
      <w:r>
        <w:rPr>
          <w:lang w:eastAsia="en-AU"/>
        </w:rPr>
        <w:t>tially supplied by the merger parties.</w:t>
      </w:r>
    </w:p>
    <w:p w:rsidR="007C75BD" w:rsidRDefault="007C75BD">
      <w:pPr>
        <w:pStyle w:val="Numbered"/>
      </w:pPr>
      <w:r>
        <w:t xml:space="preserve">The first market definition question considered by the ACCC is whether </w:t>
      </w:r>
      <w:r w:rsidR="00D61542">
        <w:t xml:space="preserve">before and after-school </w:t>
      </w:r>
      <w:r w:rsidR="00800BC7">
        <w:t xml:space="preserve">care </w:t>
      </w:r>
      <w:r>
        <w:t xml:space="preserve">and vacation care are in the same market. </w:t>
      </w:r>
    </w:p>
    <w:p w:rsidR="00C524FC" w:rsidRDefault="00C524FC">
      <w:pPr>
        <w:pStyle w:val="Numbered"/>
      </w:pPr>
      <w:r>
        <w:t>The ACCC understands that:</w:t>
      </w:r>
    </w:p>
    <w:p w:rsidR="00C524FC" w:rsidRPr="003E7158" w:rsidRDefault="00C524FC" w:rsidP="00C524FC">
      <w:pPr>
        <w:pStyle w:val="Bulletpoint"/>
        <w:tabs>
          <w:tab w:val="num" w:pos="1418"/>
        </w:tabs>
        <w:ind w:left="1418" w:hanging="567"/>
      </w:pPr>
      <w:r>
        <w:t>t</w:t>
      </w:r>
      <w:r w:rsidRPr="003E7158">
        <w:t xml:space="preserve">here are many organisations (including the merger parties) that supply both </w:t>
      </w:r>
      <w:r>
        <w:t>before and after-school care</w:t>
      </w:r>
      <w:r w:rsidRPr="003E7158">
        <w:t xml:space="preserve"> and vacation care</w:t>
      </w:r>
    </w:p>
    <w:p w:rsidR="00C524FC" w:rsidRDefault="00C524FC" w:rsidP="00C524FC">
      <w:pPr>
        <w:pStyle w:val="Bulletpoint"/>
        <w:tabs>
          <w:tab w:val="num" w:pos="1418"/>
        </w:tabs>
        <w:ind w:left="1418" w:hanging="567"/>
      </w:pPr>
      <w:r>
        <w:t>schools often issue tenders for a single provider to provide both before and after-school care and vacation care at the school as part of a single tender process</w:t>
      </w:r>
    </w:p>
    <w:p w:rsidR="00C524FC" w:rsidRDefault="00C524FC" w:rsidP="00C524FC">
      <w:pPr>
        <w:pStyle w:val="Bulletpoint"/>
        <w:tabs>
          <w:tab w:val="num" w:pos="1418"/>
        </w:tabs>
        <w:ind w:left="1418" w:hanging="567"/>
      </w:pPr>
      <w:r>
        <w:t xml:space="preserve">there are few regulatory requirements preventing a supplier of before and after-school care from supplying vacation care, </w:t>
      </w:r>
    </w:p>
    <w:p w:rsidR="00C524FC" w:rsidRDefault="00C524FC" w:rsidP="00C524FC">
      <w:pPr>
        <w:pStyle w:val="Bulletpoint"/>
        <w:tabs>
          <w:tab w:val="num" w:pos="1418"/>
        </w:tabs>
        <w:ind w:left="1418" w:hanging="567"/>
      </w:pPr>
      <w:proofErr w:type="gramStart"/>
      <w:r>
        <w:t>there</w:t>
      </w:r>
      <w:proofErr w:type="gramEnd"/>
      <w:r>
        <w:t xml:space="preserve"> are few regulatory requirements preventing a vacation care provider licensed under the NQF from supplying before and after-school care.</w:t>
      </w:r>
    </w:p>
    <w:p w:rsidR="007C75BD" w:rsidRDefault="00C524FC">
      <w:pPr>
        <w:pStyle w:val="Numbered"/>
      </w:pPr>
      <w:r>
        <w:t>However, o</w:t>
      </w:r>
      <w:r w:rsidR="007C75BD">
        <w:t>n the basis of market inquiries, the ACCC understands that d</w:t>
      </w:r>
      <w:r w:rsidR="007C75BD" w:rsidRPr="008854CC">
        <w:t xml:space="preserve">emand from parents for vacation care for their children is </w:t>
      </w:r>
      <w:r w:rsidR="007C75BD">
        <w:t xml:space="preserve">very </w:t>
      </w:r>
      <w:r w:rsidR="007C75BD" w:rsidRPr="008854CC">
        <w:t xml:space="preserve">distinct from demand for school-term </w:t>
      </w:r>
      <w:r w:rsidR="00800BC7">
        <w:t>before and after-school care</w:t>
      </w:r>
      <w:r w:rsidR="007C75BD" w:rsidRPr="008854CC">
        <w:t>.</w:t>
      </w:r>
    </w:p>
    <w:p w:rsidR="007C75BD" w:rsidRPr="008854CC" w:rsidRDefault="007C75BD">
      <w:pPr>
        <w:pStyle w:val="Numbered"/>
      </w:pPr>
      <w:r w:rsidRPr="008854CC">
        <w:t xml:space="preserve">The ACCC takes the view that parents make decisions about </w:t>
      </w:r>
      <w:r>
        <w:t>before and after-school care</w:t>
      </w:r>
      <w:r w:rsidRPr="008854CC">
        <w:t xml:space="preserve"> and vacation care in different ways:</w:t>
      </w:r>
    </w:p>
    <w:p w:rsidR="007C75BD" w:rsidRPr="008854CC" w:rsidRDefault="007C75BD" w:rsidP="00626538">
      <w:pPr>
        <w:pStyle w:val="Bulletpoint"/>
        <w:tabs>
          <w:tab w:val="num" w:pos="1418"/>
        </w:tabs>
        <w:ind w:left="1418" w:hanging="567"/>
      </w:pPr>
      <w:r w:rsidRPr="008854CC">
        <w:t xml:space="preserve">Parents requiring </w:t>
      </w:r>
      <w:r>
        <w:t>before and after-school care</w:t>
      </w:r>
      <w:r w:rsidRPr="008854CC">
        <w:t xml:space="preserve"> ordinarily just use the provider their school has chosen.</w:t>
      </w:r>
    </w:p>
    <w:p w:rsidR="007C75BD" w:rsidRDefault="007C75BD" w:rsidP="00626538">
      <w:pPr>
        <w:pStyle w:val="Bulletpoint"/>
        <w:tabs>
          <w:tab w:val="num" w:pos="1418"/>
        </w:tabs>
        <w:ind w:left="1418" w:hanging="567"/>
      </w:pPr>
      <w:r w:rsidRPr="008854CC">
        <w:t xml:space="preserve">Parents wanting vacation care are likely to </w:t>
      </w:r>
      <w:r>
        <w:t xml:space="preserve">consider </w:t>
      </w:r>
      <w:r w:rsidRPr="008854CC">
        <w:t xml:space="preserve">various sites and options in local areas where they live or work, beyond just the provider at their child’s school. </w:t>
      </w:r>
      <w:r>
        <w:t xml:space="preserve">These alternative options may include </w:t>
      </w:r>
      <w:r w:rsidR="00FD5BCA">
        <w:t xml:space="preserve">licensed </w:t>
      </w:r>
      <w:r>
        <w:t>vacation care providers at other schools, or informal care provided by sporting camps or other recreational activities for children that will take up the majority of the working day.</w:t>
      </w:r>
      <w:r w:rsidR="00D61B2E">
        <w:t xml:space="preserve"> While the ACCC considers that there are significant differences between these alternate options and vacation care run by an OSHC provider at a school (the costs of which are eligible </w:t>
      </w:r>
      <w:r w:rsidR="000B7689">
        <w:t>for Australian Government Childcare Rebate and Benefit subsidies</w:t>
      </w:r>
      <w:r w:rsidR="00D61B2E">
        <w:t xml:space="preserve">), </w:t>
      </w:r>
      <w:r w:rsidR="00F859C3">
        <w:t xml:space="preserve">its preliminary view is that </w:t>
      </w:r>
      <w:r w:rsidR="00D61B2E">
        <w:t>these alternatives may be substitutable with vacation care for some parents.</w:t>
      </w:r>
    </w:p>
    <w:p w:rsidR="007C75BD" w:rsidRPr="008854CC" w:rsidRDefault="007C75BD" w:rsidP="00626538">
      <w:pPr>
        <w:pStyle w:val="Bulletpoint"/>
        <w:tabs>
          <w:tab w:val="num" w:pos="1418"/>
        </w:tabs>
        <w:ind w:left="1418" w:hanging="567"/>
      </w:pPr>
      <w:r>
        <w:t xml:space="preserve">Parents </w:t>
      </w:r>
      <w:r w:rsidRPr="008854CC">
        <w:t>may also more readily consider taking holidays themselves during school breaks to care for their children.</w:t>
      </w:r>
    </w:p>
    <w:p w:rsidR="00964D1A" w:rsidRDefault="007C75BD">
      <w:pPr>
        <w:pStyle w:val="Numbered"/>
      </w:pPr>
      <w:r w:rsidRPr="002343B7">
        <w:t>That is, the ACCC</w:t>
      </w:r>
      <w:r w:rsidR="00F859C3" w:rsidRPr="002343B7">
        <w:t>’s preliminary view is</w:t>
      </w:r>
      <w:r w:rsidRPr="002343B7">
        <w:t xml:space="preserve"> that there are </w:t>
      </w:r>
      <w:r w:rsidR="00F63B44" w:rsidRPr="002343B7">
        <w:t xml:space="preserve">additional </w:t>
      </w:r>
      <w:r w:rsidRPr="002343B7">
        <w:t>constraints on the supply of vacation care services that are not applicable to the supply of before and after school care.</w:t>
      </w:r>
    </w:p>
    <w:p w:rsidR="008B68F0" w:rsidRDefault="002343B7">
      <w:pPr>
        <w:pStyle w:val="Numbered"/>
      </w:pPr>
      <w:r>
        <w:t>On balance, t</w:t>
      </w:r>
      <w:r w:rsidR="007C75BD">
        <w:t xml:space="preserve">he ACCC’s </w:t>
      </w:r>
      <w:r w:rsidR="00D61542">
        <w:t xml:space="preserve">tentative </w:t>
      </w:r>
      <w:r w:rsidR="007C75BD">
        <w:t xml:space="preserve">preliminary view is that </w:t>
      </w:r>
      <w:r w:rsidR="00964D1A">
        <w:t xml:space="preserve">before and after-school care </w:t>
      </w:r>
      <w:r w:rsidR="007C75BD">
        <w:t>and vacation care are likely to be in separate markets</w:t>
      </w:r>
      <w:r w:rsidR="006468EF">
        <w:t>.</w:t>
      </w:r>
    </w:p>
    <w:p w:rsidR="00527BB1" w:rsidRDefault="008B68F0">
      <w:pPr>
        <w:pStyle w:val="Numbered"/>
      </w:pPr>
      <w:r>
        <w:t xml:space="preserve">Ultimately market definition is ‘purposive’, </w:t>
      </w:r>
      <w:r w:rsidR="006468EF">
        <w:t>that is, the relevant market definition depends upon the</w:t>
      </w:r>
      <w:r>
        <w:t xml:space="preserve"> particular conduct or structural change</w:t>
      </w:r>
      <w:r w:rsidR="006468EF">
        <w:t xml:space="preserve"> that is being considered</w:t>
      </w:r>
      <w:r>
        <w:t xml:space="preserve">. The ACCC considers </w:t>
      </w:r>
      <w:r w:rsidR="00700B1E">
        <w:t xml:space="preserve">in this case that </w:t>
      </w:r>
      <w:r>
        <w:t xml:space="preserve">the area of competition most affected by the proposed merger is that for before and after-school care. </w:t>
      </w:r>
    </w:p>
    <w:p w:rsidR="00A23CCA" w:rsidRDefault="00D61542">
      <w:pPr>
        <w:pStyle w:val="Numbered"/>
      </w:pPr>
      <w:r>
        <w:t>Mo</w:t>
      </w:r>
      <w:r w:rsidR="008B68F0">
        <w:t>st</w:t>
      </w:r>
      <w:r>
        <w:t xml:space="preserve"> fundamentally, the ACCC’s preliminary view is that it is unlikely that providers of purely vacation care (of which there appear to be few) </w:t>
      </w:r>
      <w:r w:rsidR="006468EF">
        <w:t>would</w:t>
      </w:r>
      <w:r>
        <w:t xml:space="preserve"> adequately constrain providers of before and after-school </w:t>
      </w:r>
      <w:r w:rsidR="004824F6">
        <w:t xml:space="preserve">care </w:t>
      </w:r>
      <w:r w:rsidR="006468EF">
        <w:t>by threatening to commence providing before and after-school care services</w:t>
      </w:r>
      <w:r>
        <w:t>.</w:t>
      </w:r>
    </w:p>
    <w:p w:rsidR="00A23CCA" w:rsidRDefault="00651E99">
      <w:pPr>
        <w:pStyle w:val="Numbered"/>
      </w:pPr>
      <w:r>
        <w:t>However, even if licensed vacation care was included in the same market as before and after-school care (</w:t>
      </w:r>
      <w:r w:rsidR="00527BB1">
        <w:t>that is,</w:t>
      </w:r>
      <w:r>
        <w:t xml:space="preserve"> there was a market for the supply of all OSHC services) it would be unlikely to affect the ACCC’s competition analysis significantly.</w:t>
      </w:r>
    </w:p>
    <w:p w:rsidR="007C75BD" w:rsidRPr="00610959" w:rsidRDefault="004824F6">
      <w:pPr>
        <w:pStyle w:val="Heading5"/>
        <w:numPr>
          <w:ilvl w:val="0"/>
          <w:numId w:val="0"/>
        </w:numPr>
        <w:rPr>
          <w:b/>
        </w:rPr>
      </w:pPr>
      <w:r>
        <w:t xml:space="preserve">Before and after-school care </w:t>
      </w:r>
      <w:r w:rsidR="007C75BD">
        <w:t xml:space="preserve">services are a distinct market from </w:t>
      </w:r>
      <w:r w:rsidR="007C75BD" w:rsidRPr="00610959">
        <w:t xml:space="preserve">other children’s care </w:t>
      </w:r>
      <w:r w:rsidR="00D61542">
        <w:t xml:space="preserve">services and </w:t>
      </w:r>
      <w:r w:rsidR="002E488F">
        <w:t xml:space="preserve">from </w:t>
      </w:r>
      <w:r w:rsidR="00D61542">
        <w:t xml:space="preserve">recreation </w:t>
      </w:r>
      <w:r w:rsidR="007C75BD" w:rsidRPr="00610959">
        <w:t>services</w:t>
      </w:r>
    </w:p>
    <w:p w:rsidR="007C75BD" w:rsidRDefault="007C75BD">
      <w:pPr>
        <w:pStyle w:val="Numbered"/>
      </w:pPr>
      <w:r w:rsidRPr="000D2007">
        <w:t>In determining the relevant product market, the ACCC has considered the extent to which</w:t>
      </w:r>
      <w:r>
        <w:t>:</w:t>
      </w:r>
    </w:p>
    <w:p w:rsidR="007C75BD" w:rsidRDefault="004824F6" w:rsidP="00626538">
      <w:pPr>
        <w:pStyle w:val="Bulletpoint"/>
        <w:tabs>
          <w:tab w:val="num" w:pos="1418"/>
        </w:tabs>
        <w:ind w:left="1418" w:hanging="567"/>
      </w:pPr>
      <w:r>
        <w:t xml:space="preserve">before and after-school care </w:t>
      </w:r>
      <w:r w:rsidR="007C75BD">
        <w:t>is substitutable for other types of children’s care services</w:t>
      </w:r>
      <w:r w:rsidR="00B4356D">
        <w:t>, such as nannies</w:t>
      </w:r>
    </w:p>
    <w:p w:rsidR="007C75BD" w:rsidRDefault="00B4356D" w:rsidP="00626538">
      <w:pPr>
        <w:pStyle w:val="Bulletpoint"/>
        <w:tabs>
          <w:tab w:val="num" w:pos="1418"/>
        </w:tabs>
        <w:ind w:left="1418" w:hanging="567"/>
      </w:pPr>
      <w:proofErr w:type="gramStart"/>
      <w:r>
        <w:t>s</w:t>
      </w:r>
      <w:r w:rsidR="007C75BD">
        <w:t>uppliers</w:t>
      </w:r>
      <w:proofErr w:type="gramEnd"/>
      <w:r w:rsidR="007C75BD">
        <w:t xml:space="preserve"> of other types of children’s care services</w:t>
      </w:r>
      <w:r>
        <w:t>, ranging from long-day-care</w:t>
      </w:r>
      <w:r w:rsidR="007C75BD">
        <w:t xml:space="preserve"> </w:t>
      </w:r>
      <w:r>
        <w:t xml:space="preserve">providers to sports-clinic providers, </w:t>
      </w:r>
      <w:r w:rsidR="007C75BD">
        <w:t xml:space="preserve">can constrain suppliers of </w:t>
      </w:r>
      <w:r w:rsidR="006C71BC">
        <w:t xml:space="preserve">before and after-school care </w:t>
      </w:r>
      <w:r w:rsidR="007C75BD">
        <w:t xml:space="preserve">services by entering tenders to provide </w:t>
      </w:r>
      <w:r w:rsidR="006C71BC">
        <w:t xml:space="preserve">before and after-school care </w:t>
      </w:r>
      <w:r w:rsidR="007C75BD">
        <w:t>services at schools</w:t>
      </w:r>
      <w:r>
        <w:t>.</w:t>
      </w:r>
    </w:p>
    <w:p w:rsidR="009D2703" w:rsidRDefault="007C75BD">
      <w:pPr>
        <w:pStyle w:val="Numbered"/>
      </w:pPr>
      <w:r w:rsidRPr="008854CC">
        <w:t xml:space="preserve">Consistent with the findings of previous ACCC reviews, </w:t>
      </w:r>
      <w:r>
        <w:t xml:space="preserve">the ACCC considers that </w:t>
      </w:r>
      <w:r w:rsidRPr="008854CC">
        <w:t xml:space="preserve">demand from parents for long day care and </w:t>
      </w:r>
      <w:r w:rsidR="00FD5BCA">
        <w:t xml:space="preserve">before and after-school care </w:t>
      </w:r>
      <w:r w:rsidRPr="008854CC">
        <w:t>are separate, being for children of a different age.</w:t>
      </w:r>
      <w:r w:rsidRPr="006D3FB7">
        <w:rPr>
          <w:vertAlign w:val="superscript"/>
        </w:rPr>
        <w:footnoteReference w:id="12"/>
      </w:r>
      <w:r w:rsidR="002E488F">
        <w:t xml:space="preserve"> </w:t>
      </w:r>
    </w:p>
    <w:p w:rsidR="007C75BD" w:rsidRPr="008854CC" w:rsidRDefault="007C75BD">
      <w:pPr>
        <w:pStyle w:val="Numbered"/>
      </w:pPr>
      <w:r>
        <w:t>T</w:t>
      </w:r>
      <w:r w:rsidRPr="008854CC">
        <w:t>he ACCC</w:t>
      </w:r>
      <w:r>
        <w:t xml:space="preserve"> also considers</w:t>
      </w:r>
      <w:r w:rsidRPr="008854CC">
        <w:t xml:space="preserve"> that informal care, such as nannies, babysitters and grandparents, are not </w:t>
      </w:r>
      <w:r>
        <w:t>sufficiently</w:t>
      </w:r>
      <w:r w:rsidRPr="008854CC">
        <w:t xml:space="preserve"> ‘close substitutes’ to be considered as part of the </w:t>
      </w:r>
      <w:r w:rsidR="008F6541">
        <w:t xml:space="preserve">before and after-school care </w:t>
      </w:r>
      <w:r w:rsidRPr="008854CC">
        <w:t>product market:</w:t>
      </w:r>
    </w:p>
    <w:p w:rsidR="007C75BD" w:rsidRPr="008854CC" w:rsidRDefault="007C75BD" w:rsidP="00626538">
      <w:pPr>
        <w:pStyle w:val="Bulletpoint"/>
        <w:tabs>
          <w:tab w:val="num" w:pos="1418"/>
        </w:tabs>
        <w:ind w:left="1418" w:hanging="567"/>
      </w:pPr>
      <w:r w:rsidRPr="008854CC">
        <w:t>Nannies and babysitters are different in that they provid</w:t>
      </w:r>
      <w:r w:rsidR="00F0498B">
        <w:t>e</w:t>
      </w:r>
      <w:r w:rsidRPr="008854CC">
        <w:t xml:space="preserve"> high</w:t>
      </w:r>
      <w:r w:rsidR="00F0498B">
        <w:t>-level,</w:t>
      </w:r>
      <w:r w:rsidRPr="008854CC">
        <w:t xml:space="preserve"> personalised care for a handful of children at a time,</w:t>
      </w:r>
      <w:r w:rsidRPr="00251D63" w:rsidDel="00981F3F">
        <w:rPr>
          <w:vertAlign w:val="superscript"/>
        </w:rPr>
        <w:t xml:space="preserve"> </w:t>
      </w:r>
      <w:r w:rsidRPr="008854CC">
        <w:t xml:space="preserve">generally at a </w:t>
      </w:r>
      <w:r>
        <w:t xml:space="preserve">significantly </w:t>
      </w:r>
      <w:r w:rsidRPr="008854CC">
        <w:t>higher price per hour of care</w:t>
      </w:r>
      <w:r w:rsidR="00B6375B">
        <w:t xml:space="preserve"> </w:t>
      </w:r>
      <w:r w:rsidR="00096D29">
        <w:t>(albeit they may care for one child or more than one child at the same total cost)</w:t>
      </w:r>
      <w:r w:rsidRPr="008854CC">
        <w:t>.</w:t>
      </w:r>
      <w:r w:rsidRPr="0079080F">
        <w:t xml:space="preserve"> </w:t>
      </w:r>
    </w:p>
    <w:p w:rsidR="007C75BD" w:rsidRDefault="007C75BD" w:rsidP="00626538">
      <w:pPr>
        <w:pStyle w:val="Bulletpoint"/>
        <w:tabs>
          <w:tab w:val="num" w:pos="1418"/>
        </w:tabs>
        <w:ind w:left="1418" w:hanging="567"/>
      </w:pPr>
      <w:r w:rsidRPr="008854CC">
        <w:t xml:space="preserve">Informal </w:t>
      </w:r>
      <w:r w:rsidR="00F0498B">
        <w:t>care</w:t>
      </w:r>
      <w:r>
        <w:t xml:space="preserve"> </w:t>
      </w:r>
      <w:r w:rsidRPr="008854CC">
        <w:t xml:space="preserve">provided by grandparents is usually unpaid, and is often used as a complement to formal </w:t>
      </w:r>
      <w:r>
        <w:t>care</w:t>
      </w:r>
      <w:r w:rsidRPr="008854CC">
        <w:t xml:space="preserve"> or is relied upon as a ‘fall-back’ option in the absence of access to formal </w:t>
      </w:r>
      <w:r>
        <w:t>care</w:t>
      </w:r>
      <w:r w:rsidRPr="008854CC">
        <w:t>.</w:t>
      </w:r>
    </w:p>
    <w:p w:rsidR="007C75BD" w:rsidRPr="003E7158" w:rsidRDefault="007C75BD">
      <w:pPr>
        <w:pStyle w:val="Numbered"/>
      </w:pPr>
      <w:r>
        <w:t xml:space="preserve">On </w:t>
      </w:r>
      <w:r w:rsidRPr="003E7158">
        <w:t>the supply side</w:t>
      </w:r>
      <w:r>
        <w:t xml:space="preserve">, the </w:t>
      </w:r>
      <w:r w:rsidRPr="003E7158">
        <w:t xml:space="preserve">national regulatory system is such that providers of long day care can tender to provide school-term </w:t>
      </w:r>
      <w:r w:rsidR="00FD5BCA">
        <w:t xml:space="preserve">before and after-school care </w:t>
      </w:r>
      <w:r w:rsidRPr="003E7158">
        <w:t xml:space="preserve">without requiring </w:t>
      </w:r>
      <w:r>
        <w:t xml:space="preserve">significantly </w:t>
      </w:r>
      <w:r w:rsidRPr="003E7158">
        <w:t>different regulatory approvals.</w:t>
      </w:r>
    </w:p>
    <w:p w:rsidR="007C75BD" w:rsidRDefault="007C75BD">
      <w:pPr>
        <w:pStyle w:val="Numbered"/>
      </w:pPr>
      <w:r>
        <w:t xml:space="preserve">However, the ACCC understands that there are relatively few providers of </w:t>
      </w:r>
      <w:r w:rsidR="009D2703">
        <w:t xml:space="preserve">both </w:t>
      </w:r>
      <w:r w:rsidR="00FD5BCA">
        <w:t xml:space="preserve">before and after-school care </w:t>
      </w:r>
      <w:r>
        <w:t>and long day care, or</w:t>
      </w:r>
      <w:r w:rsidR="009D2703">
        <w:t xml:space="preserve"> of </w:t>
      </w:r>
      <w:r w:rsidR="00FD5BCA">
        <w:t xml:space="preserve">before and after-school care </w:t>
      </w:r>
      <w:r w:rsidR="009D2703">
        <w:t>and</w:t>
      </w:r>
      <w:r>
        <w:t xml:space="preserve"> other types of children’s care. While there are some providers that supply both services, such as some YMCA chapters, these appear to be an exception</w:t>
      </w:r>
      <w:r w:rsidR="00EA126B">
        <w:t>.</w:t>
      </w:r>
      <w:r>
        <w:t xml:space="preserve"> For the most part, suppliers specialise in </w:t>
      </w:r>
      <w:proofErr w:type="gramStart"/>
      <w:r>
        <w:t xml:space="preserve">either the supply of </w:t>
      </w:r>
      <w:r w:rsidR="00FD5BCA">
        <w:t>before and</w:t>
      </w:r>
      <w:proofErr w:type="gramEnd"/>
      <w:r w:rsidR="00FD5BCA">
        <w:t xml:space="preserve"> after-school care (typically together with vacation care)</w:t>
      </w:r>
      <w:r>
        <w:t xml:space="preserve">, or in the supply of long day care, not both. Consistent with this, </w:t>
      </w:r>
      <w:r w:rsidR="00EA126B">
        <w:t xml:space="preserve">we have not identified any evidence to indicate </w:t>
      </w:r>
      <w:r w:rsidR="00B1034B">
        <w:t xml:space="preserve">that the entry of </w:t>
      </w:r>
      <w:r>
        <w:t xml:space="preserve">large and firmly established providers </w:t>
      </w:r>
      <w:r w:rsidR="000124BC">
        <w:t xml:space="preserve">of long day care </w:t>
      </w:r>
      <w:r>
        <w:t xml:space="preserve">to </w:t>
      </w:r>
      <w:r w:rsidR="00B1034B">
        <w:t xml:space="preserve">the </w:t>
      </w:r>
      <w:r w:rsidR="00FD5BCA">
        <w:t xml:space="preserve">before and after-school care </w:t>
      </w:r>
      <w:r w:rsidR="00B1034B">
        <w:t>markets is having a</w:t>
      </w:r>
      <w:r w:rsidR="008B6F81">
        <w:t xml:space="preserve"> significant</w:t>
      </w:r>
      <w:r w:rsidR="00B1034B">
        <w:t xml:space="preserve"> impact on competition</w:t>
      </w:r>
      <w:r>
        <w:t>.</w:t>
      </w:r>
    </w:p>
    <w:p w:rsidR="00B4356D" w:rsidRDefault="00B4356D">
      <w:pPr>
        <w:pStyle w:val="Numbered"/>
      </w:pPr>
      <w:r>
        <w:t xml:space="preserve">As stated in the background section, parents can consider sending their children to hobby, recreation and sports clubs and facilities before and after school. On the demand side, a differentiating feature is that these activities are not approved for Australian Government Childcare Rebate and Benefit subsidies, which </w:t>
      </w:r>
      <w:r w:rsidR="002B2342">
        <w:t>significantly reduce</w:t>
      </w:r>
      <w:r>
        <w:t xml:space="preserve"> the cost to parents of </w:t>
      </w:r>
      <w:r w:rsidR="002B2342">
        <w:t xml:space="preserve">licensed before and after-school care. </w:t>
      </w:r>
      <w:r w:rsidR="00FB069F">
        <w:t>Also, as noted earlier, i</w:t>
      </w:r>
      <w:r w:rsidR="002B2342">
        <w:t xml:space="preserve">t </w:t>
      </w:r>
      <w:r>
        <w:t xml:space="preserve">is unlikely children </w:t>
      </w:r>
      <w:r w:rsidR="00B6232C">
        <w:t xml:space="preserve">will attend </w:t>
      </w:r>
      <w:r>
        <w:t xml:space="preserve">these activities for </w:t>
      </w:r>
      <w:r w:rsidR="00B6232C">
        <w:t>more than a day or two at a time.</w:t>
      </w:r>
    </w:p>
    <w:p w:rsidR="000124BC" w:rsidRDefault="00B4356D">
      <w:pPr>
        <w:pStyle w:val="Numbered"/>
      </w:pPr>
      <w:r w:rsidRPr="00AB17D6">
        <w:t xml:space="preserve">On the supply side, the ACCC is aware of instances of sports-clinic providers becoming OSHC providers, including Camp Australia in its earliest days, and, more recently Kelly Club, which now </w:t>
      </w:r>
      <w:r w:rsidR="00AB17D6" w:rsidRPr="00AB17D6">
        <w:t xml:space="preserve">has </w:t>
      </w:r>
      <w:r w:rsidR="000124BC">
        <w:t>about 10</w:t>
      </w:r>
      <w:r w:rsidR="00AB17D6" w:rsidRPr="00AB17D6">
        <w:t xml:space="preserve"> OSHC service sites in Victoria.</w:t>
      </w:r>
      <w:r w:rsidRPr="00AB17D6">
        <w:t xml:space="preserve"> </w:t>
      </w:r>
      <w:r w:rsidR="00501058">
        <w:t xml:space="preserve">However, </w:t>
      </w:r>
      <w:r w:rsidR="00B34F0A">
        <w:t xml:space="preserve">we do not consider that </w:t>
      </w:r>
      <w:r w:rsidR="00501058">
        <w:t>sports-clinic and afternoon recreation club</w:t>
      </w:r>
      <w:r w:rsidR="00C91B4F">
        <w:t>s</w:t>
      </w:r>
      <w:r w:rsidR="00501058">
        <w:t xml:space="preserve"> </w:t>
      </w:r>
      <w:r w:rsidR="00B34F0A">
        <w:t xml:space="preserve">are </w:t>
      </w:r>
      <w:r w:rsidR="00501058">
        <w:t>in the same market</w:t>
      </w:r>
      <w:r w:rsidR="00B34F0A">
        <w:t>s</w:t>
      </w:r>
      <w:r w:rsidR="00501058">
        <w:t xml:space="preserve"> as before and after-school care services.</w:t>
      </w:r>
      <w:r w:rsidR="002964C9">
        <w:t xml:space="preserve"> </w:t>
      </w:r>
      <w:r w:rsidR="00B34F0A">
        <w:t xml:space="preserve">However, the </w:t>
      </w:r>
      <w:r w:rsidR="002964C9">
        <w:t xml:space="preserve">ACCC </w:t>
      </w:r>
      <w:r w:rsidR="00B34F0A">
        <w:t>recognises that they may be new entrants into these markets and it is considering them in that context.</w:t>
      </w:r>
    </w:p>
    <w:p w:rsidR="007C75BD" w:rsidRDefault="007C75BD">
      <w:pPr>
        <w:pStyle w:val="Numbered"/>
      </w:pPr>
      <w:r>
        <w:t>For th</w:t>
      </w:r>
      <w:r w:rsidR="00AB17D6">
        <w:t>e</w:t>
      </w:r>
      <w:r>
        <w:t>s</w:t>
      </w:r>
      <w:r w:rsidR="00AB17D6">
        <w:t>e</w:t>
      </w:r>
      <w:r>
        <w:t xml:space="preserve"> reason</w:t>
      </w:r>
      <w:r w:rsidR="00AB17D6">
        <w:t>s</w:t>
      </w:r>
      <w:r>
        <w:t xml:space="preserve">, the ACCC’s preliminary view is that the market for the supply of </w:t>
      </w:r>
      <w:r w:rsidR="00C91B4F">
        <w:t xml:space="preserve">before and after-school care </w:t>
      </w:r>
      <w:r>
        <w:t>services is distinct from markets for the supply of other children’s care services</w:t>
      </w:r>
      <w:r w:rsidR="002E488F">
        <w:t>;</w:t>
      </w:r>
      <w:r w:rsidR="00B4356D">
        <w:t xml:space="preserve"> and </w:t>
      </w:r>
      <w:r w:rsidR="00AB17D6">
        <w:t xml:space="preserve">for </w:t>
      </w:r>
      <w:r w:rsidR="00B4356D">
        <w:t>recreation services, such as sports clinics</w:t>
      </w:r>
      <w:r>
        <w:t>.</w:t>
      </w:r>
    </w:p>
    <w:p w:rsidR="007C75BD" w:rsidRPr="008902C7" w:rsidRDefault="007C75BD" w:rsidP="007C75BD">
      <w:pPr>
        <w:pStyle w:val="Heading3"/>
        <w:rPr>
          <w:b w:val="0"/>
          <w:i/>
          <w:sz w:val="24"/>
          <w:szCs w:val="24"/>
        </w:rPr>
      </w:pPr>
      <w:r>
        <w:rPr>
          <w:b w:val="0"/>
          <w:i/>
          <w:sz w:val="24"/>
          <w:szCs w:val="24"/>
        </w:rPr>
        <w:t xml:space="preserve">Schools that self-supply </w:t>
      </w:r>
      <w:r w:rsidR="00C91B4F" w:rsidRPr="00C91B4F">
        <w:rPr>
          <w:b w:val="0"/>
          <w:i/>
          <w:sz w:val="24"/>
          <w:szCs w:val="24"/>
        </w:rPr>
        <w:t xml:space="preserve">before and after-school care </w:t>
      </w:r>
    </w:p>
    <w:p w:rsidR="00191781" w:rsidRDefault="004F2C1C">
      <w:pPr>
        <w:pStyle w:val="Numbered"/>
        <w:rPr>
          <w:lang w:eastAsia="en-AU"/>
        </w:rPr>
      </w:pPr>
      <w:r>
        <w:rPr>
          <w:lang w:eastAsia="en-AU"/>
        </w:rPr>
        <w:t>The role</w:t>
      </w:r>
      <w:r w:rsidR="007226B5">
        <w:rPr>
          <w:lang w:eastAsia="en-AU"/>
        </w:rPr>
        <w:t xml:space="preserve"> of a school</w:t>
      </w:r>
      <w:r w:rsidR="00191781">
        <w:rPr>
          <w:lang w:eastAsia="en-AU"/>
        </w:rPr>
        <w:t xml:space="preserve"> </w:t>
      </w:r>
      <w:r>
        <w:rPr>
          <w:lang w:eastAsia="en-AU"/>
        </w:rPr>
        <w:t xml:space="preserve">in the supply of </w:t>
      </w:r>
      <w:r>
        <w:t xml:space="preserve">before and after-school care </w:t>
      </w:r>
      <w:r w:rsidR="00191781">
        <w:rPr>
          <w:lang w:eastAsia="en-AU"/>
        </w:rPr>
        <w:t xml:space="preserve">is complex and variable. As stated earlier, </w:t>
      </w:r>
      <w:r w:rsidR="007226B5">
        <w:rPr>
          <w:lang w:eastAsia="en-AU"/>
        </w:rPr>
        <w:t>schools</w:t>
      </w:r>
      <w:r w:rsidR="00191781">
        <w:rPr>
          <w:lang w:eastAsia="en-AU"/>
        </w:rPr>
        <w:t xml:space="preserve"> already have dual roles</w:t>
      </w:r>
      <w:r w:rsidR="003C1456">
        <w:rPr>
          <w:lang w:eastAsia="en-AU"/>
        </w:rPr>
        <w:t>:</w:t>
      </w:r>
      <w:r w:rsidR="00191781">
        <w:rPr>
          <w:lang w:eastAsia="en-AU"/>
        </w:rPr>
        <w:t xml:space="preserve"> as potential suppliers of space to the merger parties and other providers</w:t>
      </w:r>
      <w:r w:rsidR="007226B5">
        <w:rPr>
          <w:lang w:eastAsia="en-AU"/>
        </w:rPr>
        <w:t>;</w:t>
      </w:r>
      <w:r w:rsidR="00191781">
        <w:rPr>
          <w:lang w:eastAsia="en-AU"/>
        </w:rPr>
        <w:t xml:space="preserve"> and as agents of the customers, the parents</w:t>
      </w:r>
      <w:r w:rsidR="007226B5">
        <w:rPr>
          <w:lang w:eastAsia="en-AU"/>
        </w:rPr>
        <w:t>,</w:t>
      </w:r>
      <w:r w:rsidR="00191781">
        <w:rPr>
          <w:lang w:eastAsia="en-AU"/>
        </w:rPr>
        <w:t xml:space="preserve"> in determining </w:t>
      </w:r>
      <w:r>
        <w:t xml:space="preserve">before and after-school care </w:t>
      </w:r>
      <w:r w:rsidR="00191781">
        <w:rPr>
          <w:lang w:eastAsia="en-AU"/>
        </w:rPr>
        <w:t xml:space="preserve">arrangements at the school. </w:t>
      </w:r>
      <w:r w:rsidR="00377DB9">
        <w:rPr>
          <w:lang w:eastAsia="en-AU"/>
        </w:rPr>
        <w:t>But t</w:t>
      </w:r>
      <w:r w:rsidR="00191781">
        <w:rPr>
          <w:lang w:eastAsia="en-AU"/>
        </w:rPr>
        <w:t xml:space="preserve">hirdly, </w:t>
      </w:r>
      <w:r w:rsidR="005E1368">
        <w:rPr>
          <w:lang w:eastAsia="en-AU"/>
        </w:rPr>
        <w:t xml:space="preserve">they can also provide a </w:t>
      </w:r>
      <w:r w:rsidR="005E1368">
        <w:t>before and after-school care service themselves</w:t>
      </w:r>
      <w:r w:rsidR="007226B5">
        <w:rPr>
          <w:lang w:eastAsia="en-AU"/>
        </w:rPr>
        <w:t>.</w:t>
      </w:r>
      <w:r w:rsidR="00191781">
        <w:rPr>
          <w:lang w:eastAsia="en-AU"/>
        </w:rPr>
        <w:t xml:space="preserve"> </w:t>
      </w:r>
    </w:p>
    <w:p w:rsidR="006D61EA" w:rsidRDefault="005F430A">
      <w:pPr>
        <w:pStyle w:val="Numbered"/>
        <w:rPr>
          <w:lang w:eastAsia="en-AU"/>
        </w:rPr>
      </w:pPr>
      <w:r>
        <w:rPr>
          <w:lang w:eastAsia="en-AU"/>
        </w:rPr>
        <w:t xml:space="preserve">A key issue for the ACCC’s review is the extent to which a school could credibly threaten to </w:t>
      </w:r>
      <w:r w:rsidR="006D61EA">
        <w:rPr>
          <w:lang w:eastAsia="en-AU"/>
        </w:rPr>
        <w:t>continue to self-supply</w:t>
      </w:r>
      <w:r>
        <w:rPr>
          <w:lang w:eastAsia="en-AU"/>
        </w:rPr>
        <w:t>, or revert to the self-supply of,</w:t>
      </w:r>
      <w:r w:rsidR="006D61EA">
        <w:rPr>
          <w:lang w:eastAsia="en-AU"/>
        </w:rPr>
        <w:t xml:space="preserve"> </w:t>
      </w:r>
      <w:r>
        <w:t>before and after-school care services during negotiations with external before and after-school care providers</w:t>
      </w:r>
      <w:r w:rsidR="006D61EA">
        <w:rPr>
          <w:lang w:eastAsia="en-AU"/>
        </w:rPr>
        <w:t xml:space="preserve">. </w:t>
      </w:r>
      <w:r w:rsidR="006E7E72">
        <w:rPr>
          <w:lang w:eastAsia="en-AU"/>
        </w:rPr>
        <w:t xml:space="preserve">The ACCC understands that, as would be expected, Camp Australia and JAG are actively marketing their services to schools that do not yet host </w:t>
      </w:r>
      <w:r>
        <w:t>before and after-school care</w:t>
      </w:r>
      <w:r>
        <w:rPr>
          <w:lang w:eastAsia="en-AU"/>
        </w:rPr>
        <w:t xml:space="preserve"> </w:t>
      </w:r>
      <w:r w:rsidR="006E7E72">
        <w:rPr>
          <w:lang w:eastAsia="en-AU"/>
        </w:rPr>
        <w:t xml:space="preserve">or </w:t>
      </w:r>
      <w:proofErr w:type="gramStart"/>
      <w:r w:rsidR="006E7E72">
        <w:rPr>
          <w:lang w:eastAsia="en-AU"/>
        </w:rPr>
        <w:t>that run</w:t>
      </w:r>
      <w:proofErr w:type="gramEnd"/>
      <w:r w:rsidR="006E7E72">
        <w:rPr>
          <w:lang w:eastAsia="en-AU"/>
        </w:rPr>
        <w:t xml:space="preserve"> it themselves. </w:t>
      </w:r>
      <w:r>
        <w:rPr>
          <w:lang w:eastAsia="en-AU"/>
        </w:rPr>
        <w:t xml:space="preserve">If schools can credibly threaten to supply </w:t>
      </w:r>
      <w:r>
        <w:t xml:space="preserve">before and after-school care in-house, the merger parties </w:t>
      </w:r>
      <w:r w:rsidR="006E7E72">
        <w:rPr>
          <w:lang w:eastAsia="en-AU"/>
        </w:rPr>
        <w:t>would need to offer terms that make it more attractive to the school to use them than to self-supply.</w:t>
      </w:r>
    </w:p>
    <w:p w:rsidR="001B03D7" w:rsidRDefault="005C50A3">
      <w:pPr>
        <w:pStyle w:val="Numbered"/>
        <w:rPr>
          <w:lang w:eastAsia="en-AU"/>
        </w:rPr>
      </w:pPr>
      <w:r>
        <w:rPr>
          <w:lang w:eastAsia="en-AU"/>
        </w:rPr>
        <w:t>M</w:t>
      </w:r>
      <w:r w:rsidR="001B03D7">
        <w:rPr>
          <w:lang w:eastAsia="en-AU"/>
        </w:rPr>
        <w:t xml:space="preserve">any schools historically supplied </w:t>
      </w:r>
      <w:r w:rsidR="00F7012E">
        <w:t xml:space="preserve">before and after-school care </w:t>
      </w:r>
      <w:r w:rsidR="001B03D7">
        <w:rPr>
          <w:lang w:eastAsia="en-AU"/>
        </w:rPr>
        <w:t xml:space="preserve">services in-house. However, increasing industry regulatory requirements are driving an industry trend towards outsourcing. The ACCC understands that this is </w:t>
      </w:r>
      <w:r w:rsidR="00F0377D">
        <w:rPr>
          <w:lang w:eastAsia="en-AU"/>
        </w:rPr>
        <w:t xml:space="preserve">predominantly </w:t>
      </w:r>
      <w:r w:rsidR="001B03D7">
        <w:rPr>
          <w:lang w:eastAsia="en-AU"/>
        </w:rPr>
        <w:t xml:space="preserve">a </w:t>
      </w:r>
      <w:r w:rsidR="00F7012E">
        <w:rPr>
          <w:lang w:eastAsia="en-AU"/>
        </w:rPr>
        <w:t>“</w:t>
      </w:r>
      <w:r w:rsidR="001B03D7">
        <w:rPr>
          <w:lang w:eastAsia="en-AU"/>
        </w:rPr>
        <w:t>one-way trend</w:t>
      </w:r>
      <w:r w:rsidR="00F7012E">
        <w:rPr>
          <w:lang w:eastAsia="en-AU"/>
        </w:rPr>
        <w:t>”</w:t>
      </w:r>
      <w:r w:rsidR="001B03D7">
        <w:rPr>
          <w:lang w:eastAsia="en-AU"/>
        </w:rPr>
        <w:t>; schools that have outsourced their needs in the past rarely return to supplying those services in-house.</w:t>
      </w:r>
    </w:p>
    <w:p w:rsidR="00377DB9" w:rsidRPr="00D47DB8" w:rsidRDefault="00377DB9">
      <w:pPr>
        <w:pStyle w:val="Numbered"/>
      </w:pPr>
      <w:r>
        <w:t>T</w:t>
      </w:r>
      <w:r w:rsidRPr="00E513F2">
        <w:t>he ACCC’s preliminary view</w:t>
      </w:r>
      <w:r>
        <w:t>, based on market inquiries,</w:t>
      </w:r>
      <w:r w:rsidRPr="00E513F2">
        <w:t xml:space="preserve"> is that th</w:t>
      </w:r>
      <w:r>
        <w:t>is</w:t>
      </w:r>
      <w:r w:rsidRPr="00E513F2">
        <w:t xml:space="preserve"> general trend towards fewer schools providing in-house </w:t>
      </w:r>
      <w:r w:rsidR="00D660C9">
        <w:t xml:space="preserve">before and after-school care </w:t>
      </w:r>
      <w:r>
        <w:t>is likely to continue.</w:t>
      </w:r>
      <w:r>
        <w:rPr>
          <w:lang w:eastAsia="en-AU"/>
        </w:rPr>
        <w:t xml:space="preserve"> Factors in this apparent trend are:</w:t>
      </w:r>
    </w:p>
    <w:p w:rsidR="00377DB9" w:rsidRPr="006063E1" w:rsidRDefault="00377DB9" w:rsidP="009B006B">
      <w:pPr>
        <w:pStyle w:val="Bulletpoint"/>
        <w:tabs>
          <w:tab w:val="num" w:pos="1418"/>
        </w:tabs>
        <w:ind w:left="1418" w:hanging="567"/>
      </w:pPr>
      <w:r w:rsidRPr="006063E1">
        <w:t xml:space="preserve">the time, cost and compliance burdens </w:t>
      </w:r>
      <w:r>
        <w:t>for</w:t>
      </w:r>
      <w:r w:rsidRPr="006063E1">
        <w:t xml:space="preserve"> schools running an </w:t>
      </w:r>
      <w:r w:rsidR="00D660C9">
        <w:t xml:space="preserve">before and after-school care </w:t>
      </w:r>
      <w:r w:rsidRPr="006063E1">
        <w:t>service</w:t>
      </w:r>
      <w:r>
        <w:t>, most acutely if that falls on parents and / or on teaching and administrative staff, including the principal,</w:t>
      </w:r>
      <w:r w:rsidRPr="006063E1">
        <w:t xml:space="preserve"> and</w:t>
      </w:r>
    </w:p>
    <w:p w:rsidR="00377DB9" w:rsidRPr="00377DB9" w:rsidRDefault="00377DB9" w:rsidP="009B006B">
      <w:pPr>
        <w:pStyle w:val="Bulletpoint"/>
        <w:tabs>
          <w:tab w:val="num" w:pos="1418"/>
        </w:tabs>
        <w:ind w:left="1418" w:hanging="567"/>
      </w:pPr>
      <w:proofErr w:type="gramStart"/>
      <w:r w:rsidRPr="008F1C89">
        <w:t>the</w:t>
      </w:r>
      <w:proofErr w:type="gramEnd"/>
      <w:r w:rsidRPr="008F1C89">
        <w:t xml:space="preserve"> assumption of risk implicit in running a service in-house that can otherwise be shifted to an outside provider.</w:t>
      </w:r>
    </w:p>
    <w:p w:rsidR="001B03D7" w:rsidRDefault="001B03D7">
      <w:pPr>
        <w:pStyle w:val="Numbered"/>
      </w:pPr>
      <w:r>
        <w:rPr>
          <w:lang w:eastAsia="en-AU"/>
        </w:rPr>
        <w:t>Based on this trend</w:t>
      </w:r>
      <w:r w:rsidR="00377DB9">
        <w:rPr>
          <w:lang w:eastAsia="en-AU"/>
        </w:rPr>
        <w:t xml:space="preserve"> continuing</w:t>
      </w:r>
      <w:r>
        <w:rPr>
          <w:lang w:eastAsia="en-AU"/>
        </w:rPr>
        <w:t xml:space="preserve">, the ACCC considers that the threat of schools choosing to operate </w:t>
      </w:r>
      <w:r w:rsidR="00D660C9">
        <w:t xml:space="preserve">before and after-school care </w:t>
      </w:r>
      <w:r>
        <w:rPr>
          <w:lang w:eastAsia="en-AU"/>
        </w:rPr>
        <w:t>services in-house is unlikely to provide a</w:t>
      </w:r>
      <w:r w:rsidR="00377DB9">
        <w:rPr>
          <w:lang w:eastAsia="en-AU"/>
        </w:rPr>
        <w:t>n adequate</w:t>
      </w:r>
      <w:r>
        <w:rPr>
          <w:lang w:eastAsia="en-AU"/>
        </w:rPr>
        <w:t xml:space="preserve"> constraint on </w:t>
      </w:r>
      <w:r w:rsidR="00377DB9">
        <w:rPr>
          <w:lang w:eastAsia="en-AU"/>
        </w:rPr>
        <w:t>a merged Camp Australia-JAG.</w:t>
      </w:r>
    </w:p>
    <w:p w:rsidR="007C75BD" w:rsidRDefault="00096D29">
      <w:pPr>
        <w:pStyle w:val="Numbered"/>
      </w:pPr>
      <w:r w:rsidRPr="003C1456">
        <w:t xml:space="preserve">The ACCC also understands that there are certain schools, particularly smaller rural schools, which are considered unprofitable for a </w:t>
      </w:r>
      <w:r w:rsidR="00E22204">
        <w:t xml:space="preserve">before and after-school care </w:t>
      </w:r>
      <w:r w:rsidRPr="003C1456">
        <w:t xml:space="preserve">service. For these schools, the only options might be ‘in-house’ services or no service. </w:t>
      </w:r>
      <w:r w:rsidR="007C75BD" w:rsidRPr="003C1456">
        <w:t xml:space="preserve">The Productivity Commission found in 2015 that </w:t>
      </w:r>
      <w:proofErr w:type="gramStart"/>
      <w:r w:rsidR="007C75BD" w:rsidRPr="003C1456">
        <w:t>low  demand</w:t>
      </w:r>
      <w:proofErr w:type="gramEnd"/>
      <w:r w:rsidR="007C75BD" w:rsidRPr="003C1456">
        <w:t xml:space="preserve"> in rural and regional areas can make OSHC services there unviable</w:t>
      </w:r>
      <w:r w:rsidR="007C75BD">
        <w:t>.</w:t>
      </w:r>
      <w:r w:rsidR="007C75BD">
        <w:rPr>
          <w:rStyle w:val="FootnoteReference"/>
        </w:rPr>
        <w:footnoteReference w:id="13"/>
      </w:r>
    </w:p>
    <w:p w:rsidR="003C1456" w:rsidRDefault="00E22204">
      <w:pPr>
        <w:pStyle w:val="Numbered"/>
        <w:rPr>
          <w:lang w:eastAsia="en-AU"/>
        </w:rPr>
      </w:pPr>
      <w:r>
        <w:t>T</w:t>
      </w:r>
      <w:r w:rsidR="003C1456">
        <w:rPr>
          <w:lang w:eastAsia="en-AU"/>
        </w:rPr>
        <w:t>he ACCC’s preliminary view is</w:t>
      </w:r>
      <w:r>
        <w:rPr>
          <w:lang w:eastAsia="en-AU"/>
        </w:rPr>
        <w:t xml:space="preserve"> therefore</w:t>
      </w:r>
      <w:r w:rsidR="003C1456">
        <w:rPr>
          <w:lang w:eastAsia="en-AU"/>
        </w:rPr>
        <w:t xml:space="preserve"> that schools that self-</w:t>
      </w:r>
      <w:r w:rsidR="0081778A">
        <w:rPr>
          <w:lang w:eastAsia="en-AU"/>
        </w:rPr>
        <w:t>suppl</w:t>
      </w:r>
      <w:r w:rsidR="004C5E83">
        <w:rPr>
          <w:lang w:eastAsia="en-AU"/>
        </w:rPr>
        <w:t>y</w:t>
      </w:r>
      <w:r w:rsidR="0081778A">
        <w:rPr>
          <w:lang w:eastAsia="en-AU"/>
        </w:rPr>
        <w:t xml:space="preserve"> </w:t>
      </w:r>
      <w:r w:rsidR="0081778A">
        <w:t xml:space="preserve">before and after-school care </w:t>
      </w:r>
      <w:r w:rsidR="003C1456">
        <w:rPr>
          <w:lang w:eastAsia="en-AU"/>
        </w:rPr>
        <w:t>services should not be considered part of the market contested by the merger parties.</w:t>
      </w:r>
      <w:r w:rsidR="0081778A">
        <w:rPr>
          <w:lang w:eastAsia="en-AU"/>
        </w:rPr>
        <w:t xml:space="preserve"> </w:t>
      </w:r>
      <w:r w:rsidR="0081778A">
        <w:t>However, the ACCC’s competition analysis is unlikely to be affected significantly by whether or not schools that self-supply before and after-school care are treated as part of the contestable market. In either case, the key question for the ACCC is the extent to which the threat of self-supply could constrain the merger parties.</w:t>
      </w:r>
      <w:r w:rsidR="00CF19BF">
        <w:t xml:space="preserve"> This issue is discussed in the section </w:t>
      </w:r>
      <w:r w:rsidR="000614FC">
        <w:t xml:space="preserve">below </w:t>
      </w:r>
      <w:r w:rsidR="00CF19BF">
        <w:t xml:space="preserve">on ‘countervailing power’. </w:t>
      </w:r>
    </w:p>
    <w:p w:rsidR="007C75BD" w:rsidRDefault="007C75BD" w:rsidP="007C75BD">
      <w:pPr>
        <w:pStyle w:val="Numberedparagraph11"/>
        <w:numPr>
          <w:ilvl w:val="0"/>
          <w:numId w:val="0"/>
        </w:numPr>
        <w:shd w:val="clear" w:color="auto" w:fill="D9D9D9"/>
      </w:pPr>
      <w:bookmarkStart w:id="3" w:name="_Toc451421452"/>
      <w:r>
        <w:t>The ACCC invites comments from market participants on its preliminary views about the relevant product markets.  In particular, the ACCC invites comments on:</w:t>
      </w:r>
    </w:p>
    <w:p w:rsidR="007C75BD" w:rsidRDefault="007C75BD">
      <w:pPr>
        <w:pStyle w:val="commentbox"/>
        <w:numPr>
          <w:ilvl w:val="0"/>
          <w:numId w:val="6"/>
        </w:numPr>
      </w:pPr>
      <w:proofErr w:type="gramStart"/>
      <w:r>
        <w:t>what</w:t>
      </w:r>
      <w:proofErr w:type="gramEnd"/>
      <w:r>
        <w:t xml:space="preserve"> alternatives parents or schools are willing to consider if the service levels of Camp Australia or J</w:t>
      </w:r>
      <w:r w:rsidR="00711E73">
        <w:t>AG</w:t>
      </w:r>
      <w:r>
        <w:t xml:space="preserve"> deteriorate as a result of the proposed merger?</w:t>
      </w:r>
    </w:p>
    <w:p w:rsidR="007C75BD" w:rsidRDefault="008231DD">
      <w:pPr>
        <w:pStyle w:val="commentbox"/>
        <w:numPr>
          <w:ilvl w:val="0"/>
          <w:numId w:val="6"/>
        </w:numPr>
      </w:pPr>
      <w:r>
        <w:t xml:space="preserve">How likely and prevalent is it that </w:t>
      </w:r>
      <w:r w:rsidR="007C75BD">
        <w:t xml:space="preserve">long day care providers </w:t>
      </w:r>
      <w:r>
        <w:t xml:space="preserve">can and do switch </w:t>
      </w:r>
      <w:r w:rsidR="007C75BD">
        <w:t>to competin</w:t>
      </w:r>
      <w:r>
        <w:t>g</w:t>
      </w:r>
      <w:r w:rsidR="007C75BD">
        <w:t xml:space="preserve"> in </w:t>
      </w:r>
      <w:r w:rsidR="00702DDD">
        <w:t>before and after-school care</w:t>
      </w:r>
      <w:r w:rsidR="00702DDD" w:rsidDel="00702DDD">
        <w:t xml:space="preserve"> </w:t>
      </w:r>
      <w:r w:rsidR="007C75BD">
        <w:t>markets?</w:t>
      </w:r>
      <w:r>
        <w:t xml:space="preserve"> Please provide examples.</w:t>
      </w:r>
    </w:p>
    <w:p w:rsidR="007C75BD" w:rsidRDefault="00702DDD">
      <w:pPr>
        <w:pStyle w:val="commentbox"/>
        <w:numPr>
          <w:ilvl w:val="0"/>
          <w:numId w:val="6"/>
        </w:numPr>
      </w:pPr>
      <w:r>
        <w:t xml:space="preserve">How credible is the threat of a school </w:t>
      </w:r>
      <w:r w:rsidRPr="004C5E83">
        <w:t>continuing</w:t>
      </w:r>
      <w:r>
        <w:t xml:space="preserve"> to supplying before and after-school care in-house to obtain a better deal from an external provider?</w:t>
      </w:r>
      <w:r w:rsidR="008231DD">
        <w:t xml:space="preserve"> </w:t>
      </w:r>
      <w:r w:rsidR="004C5E83">
        <w:t xml:space="preserve">Or </w:t>
      </w:r>
      <w:r w:rsidRPr="004C5E83">
        <w:t>reverting</w:t>
      </w:r>
      <w:r>
        <w:t xml:space="preserve"> to supplying care in-house to obtain a better deal</w:t>
      </w:r>
      <w:r w:rsidR="004C5E83">
        <w:t>?</w:t>
      </w:r>
      <w:r>
        <w:t xml:space="preserve"> What factors affect the credibility of these threats?</w:t>
      </w:r>
    </w:p>
    <w:p w:rsidR="007C75BD" w:rsidRPr="008222E7" w:rsidRDefault="007C75BD" w:rsidP="002A4456">
      <w:pPr>
        <w:pStyle w:val="Heading4"/>
        <w:keepNext/>
        <w:numPr>
          <w:ilvl w:val="0"/>
          <w:numId w:val="0"/>
        </w:numPr>
      </w:pPr>
      <w:r w:rsidRPr="008222E7">
        <w:t>Geographic</w:t>
      </w:r>
      <w:bookmarkEnd w:id="3"/>
      <w:r w:rsidRPr="008222E7">
        <w:t xml:space="preserve"> </w:t>
      </w:r>
      <w:r>
        <w:t>dimension</w:t>
      </w:r>
    </w:p>
    <w:p w:rsidR="00521B3B" w:rsidRDefault="007C75BD">
      <w:pPr>
        <w:pStyle w:val="Numbered"/>
      </w:pPr>
      <w:r>
        <w:t>The ACCC’s preliminary view is that the markets relevant for assessing the competition effe</w:t>
      </w:r>
      <w:r w:rsidR="00BE2676">
        <w:t>cts of the proposed merger are s</w:t>
      </w:r>
      <w:r>
        <w:t xml:space="preserve">tate and </w:t>
      </w:r>
      <w:r w:rsidR="00F0377D">
        <w:t>territory</w:t>
      </w:r>
      <w:r>
        <w:t>-based</w:t>
      </w:r>
      <w:r w:rsidR="00C71BC6">
        <w:t>.</w:t>
      </w:r>
      <w:r>
        <w:t xml:space="preserve"> </w:t>
      </w:r>
      <w:r w:rsidR="00C71BC6">
        <w:t>H</w:t>
      </w:r>
      <w:r>
        <w:t>owever</w:t>
      </w:r>
      <w:r w:rsidR="00521B3B">
        <w:t>:</w:t>
      </w:r>
    </w:p>
    <w:p w:rsidR="00005D7D" w:rsidRDefault="00005D7D" w:rsidP="002A4456">
      <w:pPr>
        <w:pStyle w:val="ABCList"/>
        <w:numPr>
          <w:ilvl w:val="0"/>
          <w:numId w:val="45"/>
        </w:numPr>
        <w:spacing w:before="240"/>
        <w:ind w:left="1418" w:hanging="425"/>
      </w:pPr>
      <w:r>
        <w:t>T</w:t>
      </w:r>
      <w:r w:rsidR="007C75BD" w:rsidRPr="00CD4B4C">
        <w:t xml:space="preserve">here </w:t>
      </w:r>
      <w:r w:rsidR="007C75BD">
        <w:t xml:space="preserve">also </w:t>
      </w:r>
      <w:r w:rsidR="007C75BD" w:rsidRPr="00CD4B4C">
        <w:t xml:space="preserve">appear to be local </w:t>
      </w:r>
      <w:r w:rsidR="007C75BD">
        <w:t>aspects</w:t>
      </w:r>
      <w:r w:rsidR="007C75BD" w:rsidRPr="00CD4B4C">
        <w:t xml:space="preserve"> </w:t>
      </w:r>
      <w:r w:rsidR="007C75BD">
        <w:t xml:space="preserve">to </w:t>
      </w:r>
      <w:r w:rsidR="007C75BD" w:rsidRPr="00CD4B4C">
        <w:t>competition</w:t>
      </w:r>
      <w:r>
        <w:t>,</w:t>
      </w:r>
      <w:r w:rsidR="007C75BD">
        <w:t xml:space="preserve"> which are explained below</w:t>
      </w:r>
      <w:r w:rsidR="002A4456">
        <w:t>.</w:t>
      </w:r>
    </w:p>
    <w:p w:rsidR="00521B3B" w:rsidRDefault="00005D7D" w:rsidP="002A4456">
      <w:pPr>
        <w:pStyle w:val="ABCList"/>
        <w:numPr>
          <w:ilvl w:val="0"/>
          <w:numId w:val="45"/>
        </w:numPr>
        <w:spacing w:before="240"/>
        <w:ind w:left="1418" w:hanging="425"/>
      </w:pPr>
      <w:r>
        <w:t>It is possible that there is a national area of competition in some respects.</w:t>
      </w:r>
    </w:p>
    <w:p w:rsidR="007C75BD" w:rsidRDefault="00521B3B">
      <w:pPr>
        <w:pStyle w:val="Numbered"/>
      </w:pPr>
      <w:r>
        <w:t>T</w:t>
      </w:r>
      <w:r w:rsidR="00BE2676">
        <w:t xml:space="preserve">he ACCC remains open to the possibility that </w:t>
      </w:r>
      <w:r w:rsidR="00005D7D">
        <w:t>the relevant market or markets differ in respects to its preliminary view.</w:t>
      </w:r>
    </w:p>
    <w:p w:rsidR="007C75BD" w:rsidRDefault="007C75BD">
      <w:pPr>
        <w:pStyle w:val="Numbered"/>
      </w:pPr>
      <w:r>
        <w:t xml:space="preserve">The ACCC recognises that the NQF is a national framework and that there are no legal or regulatory barriers to inter-state supply of </w:t>
      </w:r>
      <w:r w:rsidR="00365020">
        <w:t>before and after-school care</w:t>
      </w:r>
      <w:r w:rsidR="00365020" w:rsidDel="00365020">
        <w:t xml:space="preserve"> </w:t>
      </w:r>
      <w:r>
        <w:t xml:space="preserve">services. Consistent with this, in theory, a provider with approval to operate in one part of Australia can tender to provide </w:t>
      </w:r>
      <w:r w:rsidR="00365020">
        <w:t xml:space="preserve">before and after-school care </w:t>
      </w:r>
      <w:r>
        <w:t>services at any other school in Australia.</w:t>
      </w:r>
    </w:p>
    <w:p w:rsidR="007C75BD" w:rsidRDefault="007C75BD">
      <w:pPr>
        <w:pStyle w:val="Numbered"/>
      </w:pPr>
      <w:r>
        <w:t>However, the ACCC’s current view is that competition does not occur on a national basis. W</w:t>
      </w:r>
      <w:r w:rsidRPr="00754651">
        <w:t xml:space="preserve">hile the merger parties are present in most </w:t>
      </w:r>
      <w:r w:rsidR="00BB4705">
        <w:t>s</w:t>
      </w:r>
      <w:r w:rsidRPr="00754651">
        <w:t xml:space="preserve">tates and </w:t>
      </w:r>
      <w:r w:rsidR="00D2321F">
        <w:t>territories</w:t>
      </w:r>
      <w:r w:rsidRPr="00754651">
        <w:t>, their competitors typically have a less</w:t>
      </w:r>
      <w:r>
        <w:t xml:space="preserve"> extensive geographic footprint. Rather, m</w:t>
      </w:r>
      <w:r w:rsidRPr="005F2639">
        <w:t>ost of the larger competitors to the merger parties have</w:t>
      </w:r>
      <w:r>
        <w:t xml:space="preserve"> one or two</w:t>
      </w:r>
      <w:r w:rsidRPr="005F2639">
        <w:t xml:space="preserve"> ‘home’ </w:t>
      </w:r>
      <w:r w:rsidR="00F37809">
        <w:t>s</w:t>
      </w:r>
      <w:r>
        <w:t>tate</w:t>
      </w:r>
      <w:r w:rsidRPr="005F2639">
        <w:t>s in which the majority of their schools are based</w:t>
      </w:r>
      <w:r>
        <w:t>. For example:</w:t>
      </w:r>
    </w:p>
    <w:p w:rsidR="00A11D9B" w:rsidRDefault="00A11D9B" w:rsidP="009B006B">
      <w:pPr>
        <w:pStyle w:val="Bulletpoint"/>
        <w:tabs>
          <w:tab w:val="num" w:pos="1418"/>
        </w:tabs>
        <w:ind w:left="1418" w:hanging="567"/>
      </w:pPr>
      <w:r>
        <w:t xml:space="preserve">PCYC branded </w:t>
      </w:r>
      <w:r w:rsidR="00711E73">
        <w:t xml:space="preserve">services </w:t>
      </w:r>
      <w:r>
        <w:t xml:space="preserve">are predominantly based in Queensland and NSW. These are run by separate, independent PCYC </w:t>
      </w:r>
      <w:r w:rsidR="00BB4705">
        <w:t>organisations in each of these s</w:t>
      </w:r>
      <w:r>
        <w:t>tates. There is no single multi-State competitor ‘PCYC’.</w:t>
      </w:r>
    </w:p>
    <w:p w:rsidR="00A11D9B" w:rsidRDefault="00A11D9B" w:rsidP="009B006B">
      <w:pPr>
        <w:pStyle w:val="Bulletpoint"/>
        <w:tabs>
          <w:tab w:val="num" w:pos="1418"/>
        </w:tabs>
        <w:ind w:left="1418" w:hanging="567"/>
      </w:pPr>
      <w:r>
        <w:t xml:space="preserve">While there are YMCA-branded services across Australia, these are operated by separate associations in various regions across Australia, including often more than one in each </w:t>
      </w:r>
      <w:r w:rsidR="00F37809">
        <w:t>s</w:t>
      </w:r>
      <w:r>
        <w:t>tate. There is no single competitor ‘YMCA’</w:t>
      </w:r>
      <w:r w:rsidR="00BB4705">
        <w:t xml:space="preserve"> (however, the ACCC has received submissions that the various YMCAs share many practices and approaches)</w:t>
      </w:r>
      <w:r>
        <w:t>.</w:t>
      </w:r>
      <w:r w:rsidR="008F05A6">
        <w:t xml:space="preserve"> </w:t>
      </w:r>
    </w:p>
    <w:p w:rsidR="007C75BD" w:rsidRDefault="007C75BD" w:rsidP="009B006B">
      <w:pPr>
        <w:pStyle w:val="Bulletpoint"/>
        <w:tabs>
          <w:tab w:val="num" w:pos="1418"/>
        </w:tabs>
        <w:ind w:left="1418" w:hanging="567"/>
      </w:pPr>
      <w:r>
        <w:t>Extend is predominantly based in Victoria and NSW</w:t>
      </w:r>
      <w:r w:rsidR="00BB4705">
        <w:t>.</w:t>
      </w:r>
    </w:p>
    <w:p w:rsidR="007C75BD" w:rsidRDefault="007C75BD" w:rsidP="009B006B">
      <w:pPr>
        <w:pStyle w:val="Bulletpoint"/>
        <w:tabs>
          <w:tab w:val="num" w:pos="1418"/>
        </w:tabs>
        <w:ind w:left="1418" w:hanging="567"/>
      </w:pPr>
      <w:proofErr w:type="spellStart"/>
      <w:r>
        <w:t>PrimaryOSHCare</w:t>
      </w:r>
      <w:proofErr w:type="spellEnd"/>
      <w:r>
        <w:t xml:space="preserve"> focuses on Sydney</w:t>
      </w:r>
      <w:r w:rsidR="00711E73">
        <w:t>;</w:t>
      </w:r>
      <w:r>
        <w:t xml:space="preserve"> and Cubbyhouse describes its locations as in the Hills District and North Shore of Sydney and the NSW Central Coast.</w:t>
      </w:r>
      <w:r>
        <w:rPr>
          <w:rStyle w:val="FootnoteReference"/>
        </w:rPr>
        <w:footnoteReference w:id="14"/>
      </w:r>
    </w:p>
    <w:p w:rsidR="007C75BD" w:rsidRDefault="007C75BD" w:rsidP="009B006B">
      <w:pPr>
        <w:pStyle w:val="Bulletpoint"/>
        <w:tabs>
          <w:tab w:val="num" w:pos="1418"/>
        </w:tabs>
        <w:ind w:left="1418" w:hanging="567"/>
      </w:pPr>
      <w:r>
        <w:t>The bulk of After the Bell’s sites are in Victoria (16</w:t>
      </w:r>
      <w:r w:rsidR="00A11D9B">
        <w:t xml:space="preserve"> there;</w:t>
      </w:r>
      <w:r>
        <w:t xml:space="preserve"> and three in NSW).</w:t>
      </w:r>
      <w:r w:rsidDel="00B87AF4">
        <w:t xml:space="preserve"> </w:t>
      </w:r>
    </w:p>
    <w:p w:rsidR="007C75BD" w:rsidRDefault="007C75BD">
      <w:pPr>
        <w:pStyle w:val="Numbered"/>
      </w:pPr>
      <w:r>
        <w:t xml:space="preserve">The ACCC is aware that the growth path for many </w:t>
      </w:r>
      <w:r w:rsidR="00365020">
        <w:t>before and after-school care</w:t>
      </w:r>
      <w:r w:rsidR="00365020" w:rsidDel="00365020">
        <w:t xml:space="preserve"> </w:t>
      </w:r>
      <w:r>
        <w:t xml:space="preserve">suppliers is to establish themselves in a particular region and then expand geographically. In this manner, Camp Australia has expanded from its original beginnings as a Victorian-based supplier. However, the ACCC understands that </w:t>
      </w:r>
      <w:r w:rsidR="00365020">
        <w:t>before and after-school care</w:t>
      </w:r>
      <w:r w:rsidR="00365020" w:rsidDel="00365020">
        <w:t xml:space="preserve"> </w:t>
      </w:r>
      <w:r>
        <w:t>supplie</w:t>
      </w:r>
      <w:r w:rsidR="00873027">
        <w:t>r</w:t>
      </w:r>
      <w:r>
        <w:t>s</w:t>
      </w:r>
      <w:r w:rsidR="00873027">
        <w:t>,</w:t>
      </w:r>
      <w:r>
        <w:t xml:space="preserve"> other than the merger parties</w:t>
      </w:r>
      <w:r w:rsidR="00873027">
        <w:t>,</w:t>
      </w:r>
      <w:r>
        <w:t xml:space="preserve"> have been less </w:t>
      </w:r>
      <w:r w:rsidRPr="005F2639">
        <w:t xml:space="preserve">effective competitors in tenders for schools located outside of their home </w:t>
      </w:r>
      <w:r w:rsidR="00F37809">
        <w:t>s</w:t>
      </w:r>
      <w:r>
        <w:t>tates</w:t>
      </w:r>
      <w:r w:rsidRPr="005F2639">
        <w:t>.</w:t>
      </w:r>
    </w:p>
    <w:p w:rsidR="007C75BD" w:rsidRDefault="007C75BD">
      <w:pPr>
        <w:pStyle w:val="Numbered"/>
      </w:pPr>
      <w:r>
        <w:t>The ACCC understands that factors that limit the geographic scope of competition are:</w:t>
      </w:r>
    </w:p>
    <w:p w:rsidR="007C75BD" w:rsidRDefault="007C75BD" w:rsidP="009B006B">
      <w:pPr>
        <w:pStyle w:val="Bulletpoint"/>
        <w:tabs>
          <w:tab w:val="num" w:pos="1418"/>
        </w:tabs>
        <w:ind w:left="1418" w:hanging="567"/>
      </w:pPr>
      <w:r>
        <w:t xml:space="preserve">limits on the geographic </w:t>
      </w:r>
      <w:r w:rsidR="000331F0">
        <w:t>reach</w:t>
      </w:r>
      <w:r>
        <w:t xml:space="preserve"> of a supplier’s reputation</w:t>
      </w:r>
    </w:p>
    <w:p w:rsidR="007C75BD" w:rsidRDefault="007C75BD" w:rsidP="009B006B">
      <w:pPr>
        <w:pStyle w:val="Bulletpoint"/>
        <w:tabs>
          <w:tab w:val="num" w:pos="1418"/>
        </w:tabs>
        <w:ind w:left="1418" w:hanging="567"/>
      </w:pPr>
      <w:proofErr w:type="gramStart"/>
      <w:r>
        <w:t>economies</w:t>
      </w:r>
      <w:proofErr w:type="gramEnd"/>
      <w:r>
        <w:t xml:space="preserve"> of density in supply of OSHC services.</w:t>
      </w:r>
    </w:p>
    <w:p w:rsidR="007C75BD" w:rsidRDefault="007C75BD">
      <w:pPr>
        <w:pStyle w:val="Numbered"/>
      </w:pPr>
      <w:r>
        <w:t xml:space="preserve">These factors are discussed in greater detail below. </w:t>
      </w:r>
    </w:p>
    <w:p w:rsidR="007C75BD" w:rsidRDefault="007C75BD">
      <w:pPr>
        <w:pStyle w:val="Numbered"/>
      </w:pPr>
      <w:r>
        <w:t xml:space="preserve">The ACCC’s market inquiries </w:t>
      </w:r>
      <w:r w:rsidR="008231DD">
        <w:t>indicate</w:t>
      </w:r>
      <w:r>
        <w:t xml:space="preserve"> that a provider may gain a reputation based on their performance in an area (such as a regional city, part of a </w:t>
      </w:r>
      <w:r w:rsidR="00873027">
        <w:t>s</w:t>
      </w:r>
      <w:r>
        <w:t xml:space="preserve">tate capital city, or throughout a whole </w:t>
      </w:r>
      <w:r w:rsidR="00873027">
        <w:t>s</w:t>
      </w:r>
      <w:r>
        <w:t xml:space="preserve">tate). This reputation or brand recognition may spread organically throughout the area as parents and principals talk to their friends, family and colleagues. It may also develop through the sponsorship of regional and </w:t>
      </w:r>
      <w:r w:rsidR="00873027">
        <w:t>s</w:t>
      </w:r>
      <w:r>
        <w:t xml:space="preserve">tate-based professional networks such as principals’ conferences. However, </w:t>
      </w:r>
      <w:r w:rsidR="00F37809">
        <w:t xml:space="preserve">it is likely that </w:t>
      </w:r>
      <w:r>
        <w:t>this reputation effect diminishes the further away you travel from the schools at which the provider operates.</w:t>
      </w:r>
    </w:p>
    <w:p w:rsidR="007C75BD" w:rsidRDefault="007C75BD">
      <w:pPr>
        <w:pStyle w:val="Numbered"/>
      </w:pPr>
      <w:r>
        <w:t>Where a provider has a positive reputation, it is said that the provider is more likely to be:</w:t>
      </w:r>
    </w:p>
    <w:p w:rsidR="007C75BD" w:rsidRPr="003C6DE2" w:rsidRDefault="007C75BD" w:rsidP="009B006B">
      <w:pPr>
        <w:pStyle w:val="Bulletpoint"/>
        <w:tabs>
          <w:tab w:val="num" w:pos="1418"/>
        </w:tabs>
        <w:ind w:left="1418" w:hanging="567"/>
      </w:pPr>
      <w:r w:rsidRPr="003C6DE2">
        <w:t>asked to tender for a service in the local area</w:t>
      </w:r>
    </w:p>
    <w:p w:rsidR="007C75BD" w:rsidRPr="003C6DE2" w:rsidRDefault="007C75BD" w:rsidP="009B006B">
      <w:pPr>
        <w:pStyle w:val="Bulletpoint"/>
        <w:tabs>
          <w:tab w:val="num" w:pos="1418"/>
        </w:tabs>
        <w:ind w:left="1418" w:hanging="567"/>
      </w:pPr>
      <w:proofErr w:type="gramStart"/>
      <w:r w:rsidRPr="003C6DE2">
        <w:t>successful</w:t>
      </w:r>
      <w:proofErr w:type="gramEnd"/>
      <w:r w:rsidRPr="003C6DE2">
        <w:t xml:space="preserve"> in tenders it enters.</w:t>
      </w:r>
    </w:p>
    <w:p w:rsidR="007C75BD" w:rsidRDefault="007C75BD">
      <w:pPr>
        <w:pStyle w:val="Numbered"/>
      </w:pPr>
      <w:r>
        <w:t>This localised reputation is more relevant to smaller and medium</w:t>
      </w:r>
      <w:r w:rsidR="00F37809">
        <w:t>-</w:t>
      </w:r>
      <w:r>
        <w:t xml:space="preserve">size providers than to the merger parties. It can mean that a small provider with a strong reputation in, say, Newcastle, NSW would be a significantly weaker competitor in a tender to provide </w:t>
      </w:r>
      <w:r w:rsidR="00365020">
        <w:t>before and after-school care</w:t>
      </w:r>
      <w:r>
        <w:t xml:space="preserve"> </w:t>
      </w:r>
      <w:r w:rsidR="00365020">
        <w:t xml:space="preserve">at </w:t>
      </w:r>
      <w:r>
        <w:t xml:space="preserve">a school in Sydney’s Sutherland region than another competitor that was already present in the region. For larger providers that have a </w:t>
      </w:r>
      <w:r w:rsidR="00873027">
        <w:t>s</w:t>
      </w:r>
      <w:r>
        <w:t xml:space="preserve">tate-wide reputation, it means that they are a more effective competitor when tendering within the </w:t>
      </w:r>
      <w:r w:rsidR="00F37809">
        <w:t>s</w:t>
      </w:r>
      <w:r>
        <w:t xml:space="preserve">tate in which they have the reputation than when tendering in other </w:t>
      </w:r>
      <w:r w:rsidR="00F37809">
        <w:t>s</w:t>
      </w:r>
      <w:r>
        <w:t xml:space="preserve">tates and </w:t>
      </w:r>
      <w:r w:rsidR="00D2321F">
        <w:t>territories</w:t>
      </w:r>
      <w:r>
        <w:t>.</w:t>
      </w:r>
    </w:p>
    <w:p w:rsidR="007C75BD" w:rsidRDefault="007C75BD">
      <w:pPr>
        <w:pStyle w:val="Numbered"/>
      </w:pPr>
      <w:r>
        <w:t xml:space="preserve">In contrast, national </w:t>
      </w:r>
      <w:r w:rsidR="00AB79D3">
        <w:t xml:space="preserve">/ near-national </w:t>
      </w:r>
      <w:r>
        <w:t xml:space="preserve">providers of </w:t>
      </w:r>
      <w:r w:rsidR="00365020">
        <w:t>before and after-school care</w:t>
      </w:r>
      <w:r w:rsidR="00365020" w:rsidDel="00365020">
        <w:t xml:space="preserve"> </w:t>
      </w:r>
      <w:r>
        <w:t>such as the merger parties tend to have brand recognition in all parts of the country, even when tendering in a local area in which they do not provide any existing services.</w:t>
      </w:r>
    </w:p>
    <w:p w:rsidR="007C75BD" w:rsidRDefault="007C75BD">
      <w:pPr>
        <w:pStyle w:val="Numbered"/>
      </w:pPr>
      <w:r>
        <w:t>T</w:t>
      </w:r>
      <w:r w:rsidRPr="005F2639">
        <w:t>he ACCC has been told that there are economies of density in the supply of OSHC services that come from being able to deploy workers and regional managers flexibly around a group of sites in a similar geographic region. A competitor expanding outside of its home region may therefore have a higher cost base than other firms against which it is tendering</w:t>
      </w:r>
      <w:r>
        <w:t>.</w:t>
      </w:r>
      <w:r w:rsidR="00F37809">
        <w:t xml:space="preserve"> The ACCC is continuing to consider how significant these economies are.</w:t>
      </w:r>
    </w:p>
    <w:p w:rsidR="00702DDD" w:rsidRDefault="00702DDD">
      <w:pPr>
        <w:pStyle w:val="Numbered"/>
      </w:pPr>
      <w:r>
        <w:t xml:space="preserve">An example of where the merger parties appear to be creating clusters are the eastern suburbs of Melbourne, which has many ‘independent schools’ and which is where Camp Australia began. Based on publicly available information, Camp Australia and JAG combined would operate about two thirds of the sites in that area (more than 100 of the about 150 services in that area). </w:t>
      </w:r>
    </w:p>
    <w:p w:rsidR="007C75BD" w:rsidRDefault="007C75BD">
      <w:pPr>
        <w:pStyle w:val="Numbered"/>
      </w:pPr>
      <w:r>
        <w:t>The ACCC is still considering the implications of the local aspects of competition for its analysis.</w:t>
      </w:r>
      <w:r w:rsidR="00950559">
        <w:t xml:space="preserve"> In particular, the ACCC is considering the extent to which competitors to the merger parties identified in the following section of the document are stronger or weaker competitors to the merger parties based on the extent of overlap between their geographic footprint and those of the merger parties.</w:t>
      </w:r>
    </w:p>
    <w:p w:rsidR="007C75BD" w:rsidRDefault="007C75BD" w:rsidP="007C75BD">
      <w:pPr>
        <w:pStyle w:val="Numberedparagraph11"/>
        <w:numPr>
          <w:ilvl w:val="0"/>
          <w:numId w:val="0"/>
        </w:numPr>
        <w:shd w:val="clear" w:color="auto" w:fill="D9D9D9"/>
      </w:pPr>
      <w:r>
        <w:t>The ACCC invites comments from market participants on its preliminary views about the relevant geographic markets.  In particular, the ACCC invites comments on:</w:t>
      </w:r>
    </w:p>
    <w:p w:rsidR="007C75BD" w:rsidRDefault="007C75BD">
      <w:pPr>
        <w:pStyle w:val="commentbox"/>
        <w:numPr>
          <w:ilvl w:val="0"/>
          <w:numId w:val="7"/>
        </w:numPr>
      </w:pPr>
      <w:r>
        <w:t xml:space="preserve">If you are a school that engages an outside provider for </w:t>
      </w:r>
      <w:r w:rsidR="005535A4">
        <w:t xml:space="preserve">before and after-school </w:t>
      </w:r>
      <w:r>
        <w:t xml:space="preserve">care, for </w:t>
      </w:r>
      <w:proofErr w:type="gramStart"/>
      <w:r>
        <w:t>your</w:t>
      </w:r>
      <w:proofErr w:type="gramEnd"/>
      <w:r>
        <w:t xml:space="preserve"> most recent </w:t>
      </w:r>
      <w:r w:rsidR="00E84AC3">
        <w:t>contract</w:t>
      </w:r>
      <w:r>
        <w:t>:</w:t>
      </w:r>
      <w:r w:rsidR="00491E09">
        <w:t xml:space="preserve"> </w:t>
      </w:r>
      <w:r>
        <w:t>How did you decide who participated in your selection process?</w:t>
      </w:r>
      <w:r w:rsidR="00491E09">
        <w:t xml:space="preserve"> </w:t>
      </w:r>
      <w:r>
        <w:t xml:space="preserve">Was the apparent ‘home </w:t>
      </w:r>
      <w:r w:rsidR="00873027">
        <w:t>s</w:t>
      </w:r>
      <w:r>
        <w:t>tate’ or main area of operations of a provider a factor in your selection?</w:t>
      </w:r>
    </w:p>
    <w:p w:rsidR="007C75BD" w:rsidRDefault="007C75BD">
      <w:pPr>
        <w:pStyle w:val="commentbox"/>
        <w:numPr>
          <w:ilvl w:val="0"/>
          <w:numId w:val="7"/>
        </w:numPr>
      </w:pPr>
      <w:r>
        <w:t>If you are an OSHC provider, what determines or influences the locations in which you are prepared to market and provide your services?</w:t>
      </w:r>
    </w:p>
    <w:p w:rsidR="00030A8D" w:rsidRDefault="00030A8D">
      <w:pPr>
        <w:pStyle w:val="commentbox"/>
        <w:numPr>
          <w:ilvl w:val="0"/>
          <w:numId w:val="7"/>
        </w:numPr>
      </w:pPr>
      <w:r>
        <w:t>To what extent are the levels of fees charged to parents and payments made to schools influenced by factors at the local, state / territory and / or national levels?</w:t>
      </w:r>
    </w:p>
    <w:p w:rsidR="007C75BD" w:rsidRPr="0039035E" w:rsidRDefault="007C75BD" w:rsidP="007C75BD">
      <w:pPr>
        <w:pStyle w:val="Heading2"/>
        <w:pBdr>
          <w:bottom w:val="none" w:sz="0" w:space="0" w:color="auto"/>
        </w:pBdr>
        <w:spacing w:before="360" w:line="240" w:lineRule="atLeast"/>
        <w:jc w:val="left"/>
        <w:rPr>
          <w:rFonts w:cs="Times New Roman"/>
          <w:color w:val="51626F"/>
          <w:szCs w:val="30"/>
        </w:rPr>
      </w:pPr>
      <w:r w:rsidRPr="0039035E">
        <w:rPr>
          <w:rFonts w:cs="Times New Roman"/>
          <w:color w:val="51626F"/>
          <w:szCs w:val="30"/>
        </w:rPr>
        <w:t>Issue of concern: reduction in competition in the supply of Out of School Hours Care</w:t>
      </w:r>
    </w:p>
    <w:p w:rsidR="007C75BD" w:rsidRDefault="007C75BD">
      <w:pPr>
        <w:pStyle w:val="Numbered"/>
      </w:pPr>
      <w:r>
        <w:t xml:space="preserve">Based upon its inquiries to date, the ACCC’s preliminary view is that the proposed merger is likely to substantially lessen competition in </w:t>
      </w:r>
      <w:r w:rsidR="00764859">
        <w:t xml:space="preserve">certain </w:t>
      </w:r>
      <w:r>
        <w:t xml:space="preserve">markets for the supply of </w:t>
      </w:r>
      <w:r w:rsidR="005C6AA7">
        <w:t>before and after-school care</w:t>
      </w:r>
      <w:r>
        <w:t>.</w:t>
      </w:r>
    </w:p>
    <w:p w:rsidR="005B07AC" w:rsidRDefault="00E84AC3">
      <w:pPr>
        <w:pStyle w:val="Numbered"/>
      </w:pPr>
      <w:r>
        <w:t xml:space="preserve">As stated in the introduction, </w:t>
      </w:r>
      <w:r w:rsidR="00B42AA1">
        <w:t xml:space="preserve">the </w:t>
      </w:r>
      <w:r w:rsidR="005B07AC">
        <w:t>ACCC’s preliminary view is that there:</w:t>
      </w:r>
    </w:p>
    <w:p w:rsidR="005B07AC" w:rsidRDefault="005B07AC" w:rsidP="009B006B">
      <w:pPr>
        <w:pStyle w:val="Bulletpoint"/>
        <w:tabs>
          <w:tab w:val="num" w:pos="1418"/>
        </w:tabs>
        <w:ind w:left="1418" w:hanging="567"/>
      </w:pPr>
      <w:r>
        <w:t xml:space="preserve">are issues of concern applying to NSW, Queensland, Victoria and WA, </w:t>
      </w:r>
      <w:r w:rsidR="000331F0">
        <w:t xml:space="preserve">which are </w:t>
      </w:r>
      <w:r>
        <w:t xml:space="preserve">large markets where </w:t>
      </w:r>
      <w:r w:rsidR="008433E7">
        <w:t xml:space="preserve">before and after-school care is well established and </w:t>
      </w:r>
      <w:r>
        <w:t>Camp Australia and JAG are</w:t>
      </w:r>
      <w:r w:rsidR="008433E7">
        <w:t xml:space="preserve"> by far the largest providers of before and after-school care services and are each other’s</w:t>
      </w:r>
      <w:r>
        <w:t xml:space="preserve"> close</w:t>
      </w:r>
      <w:r w:rsidR="000331F0">
        <w:t>st</w:t>
      </w:r>
      <w:r>
        <w:t xml:space="preserve"> competitor</w:t>
      </w:r>
      <w:r w:rsidR="008433E7">
        <w:t>.</w:t>
      </w:r>
    </w:p>
    <w:p w:rsidR="00E84AC3" w:rsidRDefault="005B07AC" w:rsidP="009B006B">
      <w:pPr>
        <w:pStyle w:val="Bulletpoint"/>
        <w:tabs>
          <w:tab w:val="num" w:pos="1418"/>
        </w:tabs>
        <w:ind w:left="1418" w:hanging="567"/>
      </w:pPr>
      <w:proofErr w:type="gramStart"/>
      <w:r>
        <w:t>may</w:t>
      </w:r>
      <w:proofErr w:type="gramEnd"/>
      <w:r>
        <w:t xml:space="preserve"> be concerns with regard to SA, which is a relatively ‘immature’ market for third-party providers, and the ACT, which is a particularly fragmented market, if assessed by the number of sites. The ACCC continues to investigate the potential significance of a loss of competition between Camp Australia and JAG in these markets. </w:t>
      </w:r>
    </w:p>
    <w:p w:rsidR="007C75BD" w:rsidRPr="00DA2D19" w:rsidRDefault="007C75BD">
      <w:pPr>
        <w:pStyle w:val="Numbered"/>
      </w:pPr>
      <w:r>
        <w:t xml:space="preserve">Most of the material in this section of the paper is relevant to the merger parties’ operations in all parts of Australia. To the extent that there are relevant differences between the situation in various </w:t>
      </w:r>
      <w:r w:rsidR="00764859">
        <w:t>s</w:t>
      </w:r>
      <w:r>
        <w:t xml:space="preserve">tates and </w:t>
      </w:r>
      <w:r w:rsidR="00D2321F">
        <w:t>territories</w:t>
      </w:r>
      <w:r>
        <w:t xml:space="preserve">, this is </w:t>
      </w:r>
      <w:r w:rsidR="00521B3B">
        <w:t>identified in the discussion below.</w:t>
      </w:r>
    </w:p>
    <w:p w:rsidR="007C75BD" w:rsidRPr="00D47DB8" w:rsidDel="00C16FD5" w:rsidRDefault="007C75BD" w:rsidP="007C75BD">
      <w:pPr>
        <w:pStyle w:val="Heading3"/>
      </w:pPr>
      <w:r w:rsidRPr="00D47DB8" w:rsidDel="00C16FD5">
        <w:t>Market concentration</w:t>
      </w:r>
    </w:p>
    <w:p w:rsidR="005B41CC" w:rsidRPr="00AD3EB9" w:rsidRDefault="005B41CC">
      <w:pPr>
        <w:pStyle w:val="Numbered"/>
      </w:pPr>
      <w:r>
        <w:t>T</w:t>
      </w:r>
      <w:r w:rsidRPr="0069283A">
        <w:t xml:space="preserve">he </w:t>
      </w:r>
      <w:r>
        <w:t xml:space="preserve">market concentration </w:t>
      </w:r>
      <w:r w:rsidRPr="0069283A">
        <w:t xml:space="preserve">figures </w:t>
      </w:r>
      <w:r>
        <w:t xml:space="preserve">most readily available to the ACCC and market participants </w:t>
      </w:r>
      <w:r w:rsidRPr="0069283A">
        <w:t xml:space="preserve">are </w:t>
      </w:r>
      <w:r>
        <w:t xml:space="preserve">the site </w:t>
      </w:r>
      <w:r w:rsidRPr="0069283A">
        <w:t>number</w:t>
      </w:r>
      <w:r>
        <w:t>s</w:t>
      </w:r>
      <w:r w:rsidRPr="0069283A">
        <w:t xml:space="preserve"> </w:t>
      </w:r>
      <w:r>
        <w:t>for providers.</w:t>
      </w:r>
      <w:r w:rsidRPr="00400ACF">
        <w:t xml:space="preserve"> </w:t>
      </w:r>
      <w:r>
        <w:t xml:space="preserve">The ACCC's preliminary view is that site numbers are an imperfect measure for 'market share', as the ACCC considers that schools that generate more revenue should be given more weight than those generating less revenue. </w:t>
      </w:r>
      <w:r w:rsidRPr="00F8179D">
        <w:t>Based on its market inquiries to d</w:t>
      </w:r>
      <w:r>
        <w:t xml:space="preserve">ate, the ACCC understands that the </w:t>
      </w:r>
      <w:r w:rsidRPr="00F8179D">
        <w:t xml:space="preserve">merger parties may on average have greater student numbers </w:t>
      </w:r>
      <w:r>
        <w:t xml:space="preserve">per school </w:t>
      </w:r>
      <w:r w:rsidRPr="00F8179D">
        <w:t xml:space="preserve">and generate greater revenues </w:t>
      </w:r>
      <w:r>
        <w:t xml:space="preserve">per school </w:t>
      </w:r>
      <w:r w:rsidRPr="00F8179D">
        <w:t>than their competitors.</w:t>
      </w:r>
      <w:r>
        <w:t xml:space="preserve"> </w:t>
      </w:r>
    </w:p>
    <w:p w:rsidR="005B41CC" w:rsidRDefault="005B41CC">
      <w:pPr>
        <w:pStyle w:val="Numbered"/>
      </w:pPr>
      <w:r>
        <w:t xml:space="preserve">In the absence of such information, the ACCC has at this stage focussed on site numbers. </w:t>
      </w:r>
    </w:p>
    <w:p w:rsidR="005B41CC" w:rsidRDefault="005B41CC">
      <w:pPr>
        <w:pStyle w:val="Numbered"/>
      </w:pPr>
      <w:r>
        <w:t>The ACCC has received submissions that the merger would leave the industry with nine ‘large providers’ having or associated with 25 or more sites (including YMCA autonomous chapters in aggregate and the franchised Sherpa network). Their relative size by site numbers is represented</w:t>
      </w:r>
      <w:r w:rsidR="00AC27D5">
        <w:t xml:space="preserve"> in Figure 1 below</w:t>
      </w:r>
      <w:r>
        <w:t>. However, it is important to recognise that there are many smaller providers, which may provide a competitive constraint locally, which are not included in these figures.</w:t>
      </w:r>
    </w:p>
    <w:p w:rsidR="004341D4" w:rsidRDefault="005B41CC" w:rsidP="00EB3784">
      <w:pPr>
        <w:pStyle w:val="Charttitle"/>
      </w:pPr>
      <w:r>
        <w:t xml:space="preserve">Figure </w:t>
      </w:r>
      <w:fldSimple w:instr=" SEQ Figure \* ARABIC ">
        <w:r w:rsidR="00334C05">
          <w:rPr>
            <w:noProof/>
          </w:rPr>
          <w:t>1</w:t>
        </w:r>
      </w:fldSimple>
      <w:r>
        <w:t xml:space="preserve">: </w:t>
      </w:r>
      <w:r w:rsidR="004341D4">
        <w:t>Approximate n</w:t>
      </w:r>
      <w:r>
        <w:t>umber of sites controlled by “large providers” nationally</w:t>
      </w:r>
      <w:r w:rsidRPr="00EB3784">
        <w:rPr>
          <w:rStyle w:val="FootnoteReference"/>
        </w:rPr>
        <w:footnoteReference w:id="15"/>
      </w:r>
    </w:p>
    <w:p w:rsidR="005B41CC" w:rsidRDefault="004341D4" w:rsidP="00AC27D5">
      <w:pPr>
        <w:pStyle w:val="Charttitle"/>
        <w:keepNext/>
        <w:rPr>
          <w:color w:val="1B2F6F"/>
        </w:rPr>
      </w:pPr>
      <w:r>
        <w:rPr>
          <w:lang w:eastAsia="en-AU"/>
        </w:rPr>
        <w:fldChar w:fldCharType="begin"/>
      </w:r>
      <w:r>
        <w:rPr>
          <w:lang w:eastAsia="en-AU"/>
        </w:rPr>
        <w:instrText xml:space="preserve"> INCLUDEPICTURE  "cid:image001.png@01D31140.ED906A00" \* MERGEFORMATINET </w:instrText>
      </w:r>
      <w:r>
        <w:rPr>
          <w:lang w:eastAsia="en-AU"/>
        </w:rPr>
        <w:fldChar w:fldCharType="separate"/>
      </w:r>
      <w:r w:rsidR="00B94C0F">
        <w:rPr>
          <w:b w:val="0"/>
          <w:lang w:eastAsia="en-AU"/>
        </w:rPr>
        <w:fldChar w:fldCharType="begin"/>
      </w:r>
      <w:r w:rsidR="00B94C0F">
        <w:rPr>
          <w:lang w:eastAsia="en-AU"/>
        </w:rPr>
        <w:instrText xml:space="preserve"> INCLUDEPICTURE  "cid:image001.png@01D31140.ED906A00" \* MERGEFORMATINET </w:instrText>
      </w:r>
      <w:r w:rsidR="00B94C0F">
        <w:rPr>
          <w:b w:val="0"/>
          <w:lang w:eastAsia="en-AU"/>
        </w:rPr>
        <w:fldChar w:fldCharType="separate"/>
      </w:r>
      <w:r w:rsidR="0024074E">
        <w:rPr>
          <w:lang w:eastAsia="en-AU"/>
        </w:rPr>
        <w:fldChar w:fldCharType="begin"/>
      </w:r>
      <w:r w:rsidR="0024074E">
        <w:rPr>
          <w:lang w:eastAsia="en-AU"/>
        </w:rPr>
        <w:instrText xml:space="preserve"> INCLUDEPICTURE  "cid:image001.png@01D31140.ED906A00" \* MERGEFORMATINET </w:instrText>
      </w:r>
      <w:r w:rsidR="0024074E">
        <w:rPr>
          <w:lang w:eastAsia="en-AU"/>
        </w:rPr>
        <w:fldChar w:fldCharType="separate"/>
      </w:r>
      <w:r w:rsidR="00031F7A">
        <w:rPr>
          <w:b w:val="0"/>
          <w:lang w:eastAsia="en-AU"/>
        </w:rPr>
        <w:fldChar w:fldCharType="begin"/>
      </w:r>
      <w:r w:rsidR="00031F7A">
        <w:rPr>
          <w:lang w:eastAsia="en-AU"/>
        </w:rPr>
        <w:instrText xml:space="preserve"> INCLUDEPICTURE  "cid:image001.png@01D31140.ED906A00" \* MERGEFORMATINET </w:instrText>
      </w:r>
      <w:r w:rsidR="00031F7A">
        <w:rPr>
          <w:b w:val="0"/>
          <w:lang w:eastAsia="en-AU"/>
        </w:rPr>
        <w:fldChar w:fldCharType="separate"/>
      </w:r>
      <w:r w:rsidR="009A09AB">
        <w:rPr>
          <w:lang w:eastAsia="en-AU"/>
        </w:rPr>
        <w:fldChar w:fldCharType="begin"/>
      </w:r>
      <w:r w:rsidR="009A09AB">
        <w:rPr>
          <w:lang w:eastAsia="en-AU"/>
        </w:rPr>
        <w:instrText xml:space="preserve"> INCLUDEPICTURE  "cid:image001.png@01D31140.ED906A00" \* MERGEFORMATINET </w:instrText>
      </w:r>
      <w:r w:rsidR="009A09AB">
        <w:rPr>
          <w:lang w:eastAsia="en-AU"/>
        </w:rPr>
        <w:fldChar w:fldCharType="separate"/>
      </w:r>
      <w:r w:rsidR="0041683E">
        <w:rPr>
          <w:b w:val="0"/>
          <w:lang w:eastAsia="en-AU"/>
        </w:rPr>
        <w:fldChar w:fldCharType="begin"/>
      </w:r>
      <w:r w:rsidR="0041683E">
        <w:rPr>
          <w:lang w:eastAsia="en-AU"/>
        </w:rPr>
        <w:instrText xml:space="preserve"> INCLUDEPICTURE  "cid:image001.png@01D31140.ED906A00" \* MERGEFORMATINET </w:instrText>
      </w:r>
      <w:r w:rsidR="0041683E">
        <w:rPr>
          <w:b w:val="0"/>
          <w:lang w:eastAsia="en-AU"/>
        </w:rPr>
        <w:fldChar w:fldCharType="separate"/>
      </w:r>
      <w:r w:rsidR="00EB3784">
        <w:rPr>
          <w:lang w:eastAsia="en-AU"/>
        </w:rPr>
        <w:fldChar w:fldCharType="begin"/>
      </w:r>
      <w:r w:rsidR="00EB3784">
        <w:rPr>
          <w:lang w:eastAsia="en-AU"/>
        </w:rPr>
        <w:instrText xml:space="preserve"> INCLUDEPICTURE  "cid:image001.png@01D31140.ED906A00" \* MERGEFORMATINET </w:instrText>
      </w:r>
      <w:r w:rsidR="00EB3784">
        <w:rPr>
          <w:lang w:eastAsia="en-AU"/>
        </w:rPr>
        <w:fldChar w:fldCharType="separate"/>
      </w:r>
      <w:r w:rsidR="002E654D">
        <w:rPr>
          <w:lang w:eastAsia="en-AU"/>
        </w:rPr>
        <w:fldChar w:fldCharType="begin"/>
      </w:r>
      <w:r w:rsidR="002E654D">
        <w:rPr>
          <w:lang w:eastAsia="en-AU"/>
        </w:rPr>
        <w:instrText xml:space="preserve"> INCLUDEPICTURE  "cid:image001.png@01D31140.ED906A00" \* MERGEFORMATINET </w:instrText>
      </w:r>
      <w:r w:rsidR="002E654D">
        <w:rPr>
          <w:lang w:eastAsia="en-AU"/>
        </w:rPr>
        <w:fldChar w:fldCharType="separate"/>
      </w:r>
      <w:r w:rsidR="001F531B">
        <w:rPr>
          <w:lang w:eastAsia="en-AU"/>
        </w:rPr>
        <w:fldChar w:fldCharType="begin"/>
      </w:r>
      <w:r w:rsidR="001F531B">
        <w:rPr>
          <w:lang w:eastAsia="en-AU"/>
        </w:rPr>
        <w:instrText xml:space="preserve"> INCLUDEPICTURE  "cid:image001.png@01D31140.ED906A00" \* MERGEFORMATINET </w:instrText>
      </w:r>
      <w:r w:rsidR="001F531B">
        <w:rPr>
          <w:lang w:eastAsia="en-AU"/>
        </w:rPr>
        <w:fldChar w:fldCharType="separate"/>
      </w:r>
      <w:r w:rsidR="00334C05">
        <w:rPr>
          <w:lang w:eastAsia="en-AU"/>
        </w:rPr>
        <w:fldChar w:fldCharType="begin"/>
      </w:r>
      <w:r w:rsidR="00334C05">
        <w:rPr>
          <w:lang w:eastAsia="en-AU"/>
        </w:rPr>
        <w:instrText xml:space="preserve"> </w:instrText>
      </w:r>
      <w:r w:rsidR="00334C05">
        <w:rPr>
          <w:lang w:eastAsia="en-AU"/>
        </w:rPr>
        <w:instrText>INCLUDEPICTURE  "cid:image001.png@01D31140.ED906A00" \* MERGEFORMATINET</w:instrText>
      </w:r>
      <w:r w:rsidR="00334C05">
        <w:rPr>
          <w:lang w:eastAsia="en-AU"/>
        </w:rPr>
        <w:instrText xml:space="preserve"> </w:instrText>
      </w:r>
      <w:r w:rsidR="00334C05">
        <w:rPr>
          <w:lang w:eastAsia="en-AU"/>
        </w:rPr>
        <w:fldChar w:fldCharType="separate"/>
      </w:r>
      <w:r w:rsidR="00D31090">
        <w:rPr>
          <w:lang w:eastAsia="en-AU"/>
        </w:rPr>
        <w:pict>
          <v:shape id="_x0000_i1026" type="#_x0000_t75" alt="" style="width:421.15pt;height:323.3pt">
            <v:imagedata r:id="rId10" r:href="rId11"/>
          </v:shape>
        </w:pict>
      </w:r>
      <w:r w:rsidR="00334C05">
        <w:rPr>
          <w:lang w:eastAsia="en-AU"/>
        </w:rPr>
        <w:fldChar w:fldCharType="end"/>
      </w:r>
      <w:r w:rsidR="001F531B">
        <w:rPr>
          <w:lang w:eastAsia="en-AU"/>
        </w:rPr>
        <w:fldChar w:fldCharType="end"/>
      </w:r>
      <w:r w:rsidR="002E654D">
        <w:rPr>
          <w:lang w:eastAsia="en-AU"/>
        </w:rPr>
        <w:fldChar w:fldCharType="end"/>
      </w:r>
      <w:r w:rsidR="00EB3784">
        <w:rPr>
          <w:lang w:eastAsia="en-AU"/>
        </w:rPr>
        <w:fldChar w:fldCharType="end"/>
      </w:r>
      <w:r w:rsidR="0041683E">
        <w:rPr>
          <w:b w:val="0"/>
          <w:lang w:eastAsia="en-AU"/>
        </w:rPr>
        <w:fldChar w:fldCharType="end"/>
      </w:r>
      <w:r w:rsidR="009A09AB">
        <w:rPr>
          <w:lang w:eastAsia="en-AU"/>
        </w:rPr>
        <w:fldChar w:fldCharType="end"/>
      </w:r>
      <w:r w:rsidR="00031F7A">
        <w:rPr>
          <w:b w:val="0"/>
          <w:lang w:eastAsia="en-AU"/>
        </w:rPr>
        <w:fldChar w:fldCharType="end"/>
      </w:r>
      <w:r w:rsidR="0024074E">
        <w:rPr>
          <w:lang w:eastAsia="en-AU"/>
        </w:rPr>
        <w:fldChar w:fldCharType="end"/>
      </w:r>
      <w:r w:rsidR="00B94C0F">
        <w:rPr>
          <w:b w:val="0"/>
          <w:lang w:eastAsia="en-AU"/>
        </w:rPr>
        <w:fldChar w:fldCharType="end"/>
      </w:r>
      <w:r>
        <w:rPr>
          <w:lang w:eastAsia="en-AU"/>
        </w:rPr>
        <w:fldChar w:fldCharType="end"/>
      </w:r>
    </w:p>
    <w:p w:rsidR="005B41CC" w:rsidRDefault="005B41CC">
      <w:pPr>
        <w:pStyle w:val="Numbered"/>
      </w:pPr>
      <w:r>
        <w:t xml:space="preserve">As noted above, the ACCC considers it likely that in-house or ‘self-supply’ should not be considered part of the market, and purely vacation care providers (or which there are few) should not be part of the market.  Table </w:t>
      </w:r>
      <w:r w:rsidR="00031F7A">
        <w:t xml:space="preserve">1 </w:t>
      </w:r>
      <w:r>
        <w:t>shows the ACCC’s estimates of market shares, based on number of sites, after excluding:</w:t>
      </w:r>
    </w:p>
    <w:p w:rsidR="005B41CC" w:rsidRDefault="005B41CC" w:rsidP="005B41CC">
      <w:pPr>
        <w:pStyle w:val="Bulletpoint"/>
        <w:tabs>
          <w:tab w:val="num" w:pos="1418"/>
        </w:tabs>
        <w:ind w:left="1418" w:hanging="567"/>
      </w:pPr>
      <w:r>
        <w:t xml:space="preserve">‘in-house’ supply or ‘self-supply’ (schools running services themselves) </w:t>
      </w:r>
    </w:p>
    <w:p w:rsidR="005B41CC" w:rsidRDefault="005B41CC" w:rsidP="005B41CC">
      <w:pPr>
        <w:pStyle w:val="Bulletpoint"/>
        <w:tabs>
          <w:tab w:val="num" w:pos="1418"/>
        </w:tabs>
        <w:ind w:left="1418" w:hanging="567"/>
      </w:pPr>
      <w:r>
        <w:t>off-site supply (services involving students being transported to and from an OSHC site not at their school) and</w:t>
      </w:r>
    </w:p>
    <w:p w:rsidR="005B41CC" w:rsidRDefault="005B41CC" w:rsidP="005B41CC">
      <w:pPr>
        <w:pStyle w:val="Bulletpoint"/>
        <w:tabs>
          <w:tab w:val="num" w:pos="1418"/>
        </w:tabs>
        <w:ind w:left="1418" w:hanging="567"/>
      </w:pPr>
      <w:proofErr w:type="gramStart"/>
      <w:r>
        <w:t>purely</w:t>
      </w:r>
      <w:proofErr w:type="gramEnd"/>
      <w:r>
        <w:t xml:space="preserve"> vacation-care providers (of which there are few). </w:t>
      </w:r>
    </w:p>
    <w:p w:rsidR="005B41CC" w:rsidRDefault="005B41CC" w:rsidP="00EB3784">
      <w:pPr>
        <w:pStyle w:val="Tabletitle"/>
        <w:pageBreakBefore/>
      </w:pPr>
      <w:r>
        <w:t xml:space="preserve">Table </w:t>
      </w:r>
      <w:r w:rsidR="00031F7A">
        <w:t>1</w:t>
      </w:r>
      <w:r w:rsidRPr="00655021">
        <w:t>:  Market share for onsi</w:t>
      </w:r>
      <w:r>
        <w:t>te OSHC per state; excluding ‘in-house’ operators and vacation-</w:t>
      </w:r>
      <w:r w:rsidRPr="00655021">
        <w:t>care providers</w:t>
      </w:r>
      <w:r>
        <w:rPr>
          <w:rStyle w:val="FootnoteReference"/>
        </w:rPr>
        <w:footnoteReference w:id="16"/>
      </w:r>
    </w:p>
    <w:tbl>
      <w:tblPr>
        <w:tblW w:w="8706" w:type="dxa"/>
        <w:tblInd w:w="108" w:type="dxa"/>
        <w:tblLayout w:type="fixed"/>
        <w:tblLook w:val="04A0" w:firstRow="1" w:lastRow="0" w:firstColumn="1" w:lastColumn="0" w:noHBand="0" w:noVBand="1"/>
      </w:tblPr>
      <w:tblGrid>
        <w:gridCol w:w="1418"/>
        <w:gridCol w:w="1041"/>
        <w:gridCol w:w="1041"/>
        <w:gridCol w:w="1041"/>
        <w:gridCol w:w="1041"/>
        <w:gridCol w:w="1041"/>
        <w:gridCol w:w="1041"/>
        <w:gridCol w:w="1042"/>
      </w:tblGrid>
      <w:tr w:rsidR="005B41CC" w:rsidTr="00EB3784">
        <w:trPr>
          <w:trHeight w:val="300"/>
        </w:trPr>
        <w:tc>
          <w:tcPr>
            <w:tcW w:w="1418" w:type="dxa"/>
            <w:tcBorders>
              <w:top w:val="nil"/>
              <w:left w:val="nil"/>
              <w:right w:val="nil"/>
            </w:tcBorders>
            <w:shd w:val="clear" w:color="000000" w:fill="D9D9D9"/>
            <w:noWrap/>
            <w:vAlign w:val="bottom"/>
            <w:hideMark/>
          </w:tcPr>
          <w:p w:rsidR="005B41CC" w:rsidRPr="002E654D" w:rsidRDefault="005B41CC" w:rsidP="002E654D">
            <w:pPr>
              <w:spacing w:beforeLines="60" w:before="144" w:afterLines="60" w:after="144"/>
              <w:rPr>
                <w:rFonts w:ascii="Arial" w:hAnsi="Arial" w:cs="Arial"/>
                <w:color w:val="000000"/>
                <w:sz w:val="22"/>
                <w:szCs w:val="22"/>
              </w:rPr>
            </w:pPr>
          </w:p>
        </w:tc>
        <w:tc>
          <w:tcPr>
            <w:tcW w:w="1041" w:type="dxa"/>
            <w:tcBorders>
              <w:top w:val="nil"/>
              <w:left w:val="nil"/>
              <w:right w:val="nil"/>
            </w:tcBorders>
            <w:shd w:val="clear" w:color="000000" w:fill="D9D9D9"/>
            <w:noWrap/>
            <w:vAlign w:val="bottom"/>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VIC</w:t>
            </w:r>
          </w:p>
        </w:tc>
        <w:tc>
          <w:tcPr>
            <w:tcW w:w="1041" w:type="dxa"/>
            <w:tcBorders>
              <w:top w:val="nil"/>
              <w:left w:val="nil"/>
              <w:right w:val="nil"/>
            </w:tcBorders>
            <w:shd w:val="clear" w:color="000000" w:fill="D9D9D9"/>
            <w:noWrap/>
            <w:vAlign w:val="bottom"/>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WA</w:t>
            </w:r>
          </w:p>
        </w:tc>
        <w:tc>
          <w:tcPr>
            <w:tcW w:w="1041" w:type="dxa"/>
            <w:tcBorders>
              <w:top w:val="nil"/>
              <w:left w:val="nil"/>
              <w:right w:val="nil"/>
            </w:tcBorders>
            <w:shd w:val="clear" w:color="000000" w:fill="D9D9D9"/>
            <w:noWrap/>
            <w:vAlign w:val="bottom"/>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SA</w:t>
            </w:r>
          </w:p>
        </w:tc>
        <w:tc>
          <w:tcPr>
            <w:tcW w:w="1041" w:type="dxa"/>
            <w:tcBorders>
              <w:top w:val="nil"/>
              <w:left w:val="nil"/>
              <w:right w:val="nil"/>
            </w:tcBorders>
            <w:shd w:val="clear" w:color="000000" w:fill="D9D9D9"/>
            <w:noWrap/>
            <w:vAlign w:val="bottom"/>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QLD</w:t>
            </w:r>
          </w:p>
        </w:tc>
        <w:tc>
          <w:tcPr>
            <w:tcW w:w="1041" w:type="dxa"/>
            <w:tcBorders>
              <w:top w:val="nil"/>
              <w:left w:val="nil"/>
              <w:right w:val="nil"/>
            </w:tcBorders>
            <w:shd w:val="clear" w:color="000000" w:fill="D9D9D9"/>
            <w:noWrap/>
            <w:vAlign w:val="bottom"/>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NSW</w:t>
            </w:r>
          </w:p>
        </w:tc>
        <w:tc>
          <w:tcPr>
            <w:tcW w:w="1041" w:type="dxa"/>
            <w:tcBorders>
              <w:top w:val="nil"/>
              <w:left w:val="nil"/>
              <w:right w:val="nil"/>
            </w:tcBorders>
            <w:shd w:val="clear" w:color="000000" w:fill="D9D9D9"/>
            <w:noWrap/>
            <w:vAlign w:val="bottom"/>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ACT</w:t>
            </w:r>
          </w:p>
        </w:tc>
        <w:tc>
          <w:tcPr>
            <w:tcW w:w="1042" w:type="dxa"/>
            <w:tcBorders>
              <w:top w:val="nil"/>
              <w:left w:val="nil"/>
              <w:right w:val="nil"/>
            </w:tcBorders>
            <w:shd w:val="clear" w:color="000000" w:fill="D9D9D9"/>
            <w:noWrap/>
            <w:vAlign w:val="bottom"/>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National</w:t>
            </w:r>
          </w:p>
        </w:tc>
      </w:tr>
      <w:tr w:rsidR="005B41CC" w:rsidTr="00EB3784">
        <w:trPr>
          <w:trHeight w:val="300"/>
        </w:trPr>
        <w:tc>
          <w:tcPr>
            <w:tcW w:w="1418" w:type="dxa"/>
            <w:tcBorders>
              <w:top w:val="nil"/>
              <w:left w:val="nil"/>
              <w:bottom w:val="dotted" w:sz="4" w:space="0" w:color="auto"/>
              <w:right w:val="nil"/>
            </w:tcBorders>
            <w:shd w:val="clear" w:color="auto" w:fill="auto"/>
            <w:noWrap/>
            <w:vAlign w:val="bottom"/>
            <w:hideMark/>
          </w:tcPr>
          <w:p w:rsidR="005B41CC" w:rsidRPr="002E654D" w:rsidRDefault="005B41CC" w:rsidP="002E654D">
            <w:pPr>
              <w:spacing w:beforeLines="60" w:before="144" w:afterLines="60" w:after="144"/>
              <w:rPr>
                <w:rFonts w:ascii="Arial" w:hAnsi="Arial" w:cs="Arial"/>
                <w:color w:val="000000"/>
                <w:sz w:val="22"/>
                <w:szCs w:val="22"/>
              </w:rPr>
            </w:pPr>
            <w:r w:rsidRPr="002E654D">
              <w:rPr>
                <w:rFonts w:ascii="Arial" w:hAnsi="Arial" w:cs="Arial"/>
                <w:color w:val="000000"/>
                <w:sz w:val="22"/>
                <w:szCs w:val="22"/>
              </w:rPr>
              <w:t>Camp Australia</w:t>
            </w:r>
          </w:p>
        </w:tc>
        <w:tc>
          <w:tcPr>
            <w:tcW w:w="1041" w:type="dxa"/>
            <w:tcBorders>
              <w:top w:val="nil"/>
              <w:left w:val="nil"/>
              <w:bottom w:val="dotted" w:sz="4" w:space="0" w:color="auto"/>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48%</w:t>
            </w:r>
          </w:p>
        </w:tc>
        <w:tc>
          <w:tcPr>
            <w:tcW w:w="1041" w:type="dxa"/>
            <w:tcBorders>
              <w:top w:val="nil"/>
              <w:left w:val="nil"/>
              <w:bottom w:val="dotted" w:sz="4" w:space="0" w:color="auto"/>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26%</w:t>
            </w:r>
          </w:p>
        </w:tc>
        <w:tc>
          <w:tcPr>
            <w:tcW w:w="1041" w:type="dxa"/>
            <w:tcBorders>
              <w:top w:val="nil"/>
              <w:left w:val="nil"/>
              <w:bottom w:val="dotted" w:sz="4" w:space="0" w:color="auto"/>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44%</w:t>
            </w:r>
          </w:p>
        </w:tc>
        <w:tc>
          <w:tcPr>
            <w:tcW w:w="1041" w:type="dxa"/>
            <w:tcBorders>
              <w:top w:val="nil"/>
              <w:left w:val="nil"/>
              <w:bottom w:val="dotted" w:sz="4" w:space="0" w:color="auto"/>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13%</w:t>
            </w:r>
          </w:p>
        </w:tc>
        <w:tc>
          <w:tcPr>
            <w:tcW w:w="1041" w:type="dxa"/>
            <w:tcBorders>
              <w:top w:val="nil"/>
              <w:left w:val="nil"/>
              <w:bottom w:val="dotted" w:sz="4" w:space="0" w:color="auto"/>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16%</w:t>
            </w:r>
          </w:p>
        </w:tc>
        <w:tc>
          <w:tcPr>
            <w:tcW w:w="1041" w:type="dxa"/>
            <w:tcBorders>
              <w:top w:val="nil"/>
              <w:left w:val="nil"/>
              <w:bottom w:val="dotted" w:sz="4" w:space="0" w:color="auto"/>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5%</w:t>
            </w:r>
          </w:p>
        </w:tc>
        <w:tc>
          <w:tcPr>
            <w:tcW w:w="1042" w:type="dxa"/>
            <w:tcBorders>
              <w:top w:val="nil"/>
              <w:left w:val="nil"/>
              <w:bottom w:val="dotted" w:sz="4" w:space="0" w:color="auto"/>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27%</w:t>
            </w:r>
          </w:p>
        </w:tc>
      </w:tr>
      <w:tr w:rsidR="005B41CC" w:rsidTr="00EB3784">
        <w:trPr>
          <w:trHeight w:val="300"/>
        </w:trPr>
        <w:tc>
          <w:tcPr>
            <w:tcW w:w="1418" w:type="dxa"/>
            <w:tcBorders>
              <w:top w:val="dotted" w:sz="4" w:space="0" w:color="auto"/>
              <w:left w:val="nil"/>
              <w:right w:val="nil"/>
            </w:tcBorders>
            <w:shd w:val="clear" w:color="auto" w:fill="auto"/>
            <w:noWrap/>
            <w:vAlign w:val="bottom"/>
            <w:hideMark/>
          </w:tcPr>
          <w:p w:rsidR="005B41CC" w:rsidRPr="002E654D" w:rsidRDefault="005B41CC" w:rsidP="002E654D">
            <w:pPr>
              <w:spacing w:beforeLines="60" w:before="144" w:afterLines="60" w:after="144"/>
              <w:rPr>
                <w:rFonts w:ascii="Arial" w:hAnsi="Arial" w:cs="Arial"/>
                <w:color w:val="000000"/>
                <w:sz w:val="22"/>
                <w:szCs w:val="22"/>
              </w:rPr>
            </w:pPr>
            <w:r w:rsidRPr="002E654D">
              <w:rPr>
                <w:rFonts w:ascii="Arial" w:hAnsi="Arial" w:cs="Arial"/>
                <w:color w:val="000000"/>
                <w:sz w:val="22"/>
                <w:szCs w:val="22"/>
              </w:rPr>
              <w:t>Junior Adventures Group</w:t>
            </w:r>
          </w:p>
        </w:tc>
        <w:tc>
          <w:tcPr>
            <w:tcW w:w="1041" w:type="dxa"/>
            <w:tcBorders>
              <w:top w:val="dotted" w:sz="4" w:space="0" w:color="auto"/>
              <w:left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17%</w:t>
            </w:r>
          </w:p>
        </w:tc>
        <w:tc>
          <w:tcPr>
            <w:tcW w:w="1041" w:type="dxa"/>
            <w:tcBorders>
              <w:top w:val="dotted" w:sz="4" w:space="0" w:color="auto"/>
              <w:left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30%</w:t>
            </w:r>
          </w:p>
        </w:tc>
        <w:tc>
          <w:tcPr>
            <w:tcW w:w="1041" w:type="dxa"/>
            <w:tcBorders>
              <w:top w:val="dotted" w:sz="4" w:space="0" w:color="auto"/>
              <w:left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3%</w:t>
            </w:r>
          </w:p>
        </w:tc>
        <w:tc>
          <w:tcPr>
            <w:tcW w:w="1041" w:type="dxa"/>
            <w:tcBorders>
              <w:top w:val="dotted" w:sz="4" w:space="0" w:color="auto"/>
              <w:left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13%</w:t>
            </w:r>
          </w:p>
        </w:tc>
        <w:tc>
          <w:tcPr>
            <w:tcW w:w="1041" w:type="dxa"/>
            <w:tcBorders>
              <w:top w:val="dotted" w:sz="4" w:space="0" w:color="auto"/>
              <w:left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6%</w:t>
            </w:r>
          </w:p>
        </w:tc>
        <w:tc>
          <w:tcPr>
            <w:tcW w:w="1041" w:type="dxa"/>
            <w:tcBorders>
              <w:top w:val="dotted" w:sz="4" w:space="0" w:color="auto"/>
              <w:left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5%</w:t>
            </w:r>
          </w:p>
        </w:tc>
        <w:tc>
          <w:tcPr>
            <w:tcW w:w="1042" w:type="dxa"/>
            <w:tcBorders>
              <w:top w:val="dotted" w:sz="4" w:space="0" w:color="auto"/>
              <w:left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13%</w:t>
            </w:r>
          </w:p>
        </w:tc>
      </w:tr>
      <w:tr w:rsidR="005B41CC" w:rsidTr="00EB3784">
        <w:trPr>
          <w:trHeight w:val="300"/>
        </w:trPr>
        <w:tc>
          <w:tcPr>
            <w:tcW w:w="1418" w:type="dxa"/>
            <w:tcBorders>
              <w:top w:val="nil"/>
              <w:left w:val="nil"/>
              <w:bottom w:val="nil"/>
              <w:right w:val="nil"/>
            </w:tcBorders>
            <w:shd w:val="pct5" w:color="auto" w:fill="F2F2F2"/>
            <w:noWrap/>
            <w:vAlign w:val="bottom"/>
            <w:hideMark/>
          </w:tcPr>
          <w:p w:rsidR="005B41CC" w:rsidRPr="002E654D" w:rsidRDefault="005B41CC" w:rsidP="002E654D">
            <w:pPr>
              <w:pStyle w:val="Tabletext"/>
              <w:spacing w:beforeLines="60" w:before="144" w:afterLines="60" w:after="144"/>
              <w:rPr>
                <w:rFonts w:cs="Arial"/>
                <w:lang w:eastAsia="en-AU"/>
              </w:rPr>
            </w:pPr>
            <w:r w:rsidRPr="002E654D">
              <w:rPr>
                <w:rFonts w:cs="Arial"/>
                <w:lang w:eastAsia="en-AU"/>
              </w:rPr>
              <w:t>Merged Entity</w:t>
            </w:r>
          </w:p>
        </w:tc>
        <w:tc>
          <w:tcPr>
            <w:tcW w:w="1041" w:type="dxa"/>
            <w:tcBorders>
              <w:top w:val="nil"/>
              <w:left w:val="nil"/>
              <w:bottom w:val="nil"/>
              <w:right w:val="nil"/>
            </w:tcBorders>
            <w:shd w:val="pct5" w:color="auto" w:fill="F2F2F2"/>
            <w:noWrap/>
            <w:hideMark/>
          </w:tcPr>
          <w:p w:rsidR="005B41CC" w:rsidRPr="002E654D" w:rsidRDefault="005B41CC" w:rsidP="002E654D">
            <w:pPr>
              <w:pStyle w:val="Tabletext"/>
              <w:spacing w:beforeLines="60" w:before="144" w:afterLines="60" w:after="144"/>
              <w:jc w:val="center"/>
              <w:rPr>
                <w:rFonts w:cs="Arial"/>
                <w:lang w:eastAsia="en-AU"/>
              </w:rPr>
            </w:pPr>
            <w:r w:rsidRPr="002E654D">
              <w:rPr>
                <w:rFonts w:cs="Arial"/>
                <w:lang w:eastAsia="en-AU"/>
              </w:rPr>
              <w:t>65%</w:t>
            </w:r>
          </w:p>
        </w:tc>
        <w:tc>
          <w:tcPr>
            <w:tcW w:w="1041" w:type="dxa"/>
            <w:tcBorders>
              <w:top w:val="nil"/>
              <w:left w:val="nil"/>
              <w:bottom w:val="nil"/>
              <w:right w:val="nil"/>
            </w:tcBorders>
            <w:shd w:val="pct5" w:color="auto" w:fill="F2F2F2"/>
            <w:noWrap/>
            <w:hideMark/>
          </w:tcPr>
          <w:p w:rsidR="005B41CC" w:rsidRPr="002E654D" w:rsidRDefault="005B41CC" w:rsidP="002E654D">
            <w:pPr>
              <w:pStyle w:val="Tabletext"/>
              <w:spacing w:beforeLines="60" w:before="144" w:afterLines="60" w:after="144"/>
              <w:jc w:val="center"/>
              <w:rPr>
                <w:rFonts w:cs="Arial"/>
                <w:lang w:eastAsia="en-AU"/>
              </w:rPr>
            </w:pPr>
            <w:r w:rsidRPr="002E654D">
              <w:rPr>
                <w:rFonts w:cs="Arial"/>
                <w:lang w:eastAsia="en-AU"/>
              </w:rPr>
              <w:t>57%</w:t>
            </w:r>
          </w:p>
        </w:tc>
        <w:tc>
          <w:tcPr>
            <w:tcW w:w="1041" w:type="dxa"/>
            <w:tcBorders>
              <w:top w:val="nil"/>
              <w:left w:val="nil"/>
              <w:bottom w:val="nil"/>
              <w:right w:val="nil"/>
            </w:tcBorders>
            <w:shd w:val="pct5" w:color="auto" w:fill="F2F2F2"/>
            <w:noWrap/>
            <w:hideMark/>
          </w:tcPr>
          <w:p w:rsidR="005B41CC" w:rsidRPr="002E654D" w:rsidRDefault="005B41CC" w:rsidP="002E654D">
            <w:pPr>
              <w:pStyle w:val="Tabletext"/>
              <w:spacing w:beforeLines="60" w:before="144" w:afterLines="60" w:after="144"/>
              <w:jc w:val="center"/>
              <w:rPr>
                <w:rFonts w:cs="Arial"/>
                <w:lang w:eastAsia="en-AU"/>
              </w:rPr>
            </w:pPr>
            <w:r w:rsidRPr="002E654D">
              <w:rPr>
                <w:rFonts w:cs="Arial"/>
                <w:lang w:eastAsia="en-AU"/>
              </w:rPr>
              <w:t>46%</w:t>
            </w:r>
          </w:p>
        </w:tc>
        <w:tc>
          <w:tcPr>
            <w:tcW w:w="1041" w:type="dxa"/>
            <w:tcBorders>
              <w:top w:val="nil"/>
              <w:left w:val="nil"/>
              <w:bottom w:val="nil"/>
              <w:right w:val="nil"/>
            </w:tcBorders>
            <w:shd w:val="pct5" w:color="auto" w:fill="F2F2F2"/>
            <w:noWrap/>
            <w:hideMark/>
          </w:tcPr>
          <w:p w:rsidR="005B41CC" w:rsidRPr="002E654D" w:rsidRDefault="005B41CC" w:rsidP="002E654D">
            <w:pPr>
              <w:pStyle w:val="Tabletext"/>
              <w:spacing w:beforeLines="60" w:before="144" w:afterLines="60" w:after="144"/>
              <w:jc w:val="center"/>
              <w:rPr>
                <w:rFonts w:cs="Arial"/>
                <w:lang w:eastAsia="en-AU"/>
              </w:rPr>
            </w:pPr>
            <w:r w:rsidRPr="002E654D">
              <w:rPr>
                <w:rFonts w:cs="Arial"/>
                <w:lang w:eastAsia="en-AU"/>
              </w:rPr>
              <w:t>27%</w:t>
            </w:r>
          </w:p>
        </w:tc>
        <w:tc>
          <w:tcPr>
            <w:tcW w:w="1041" w:type="dxa"/>
            <w:tcBorders>
              <w:top w:val="nil"/>
              <w:left w:val="nil"/>
              <w:bottom w:val="nil"/>
              <w:right w:val="nil"/>
            </w:tcBorders>
            <w:shd w:val="pct5" w:color="auto" w:fill="F2F2F2"/>
            <w:noWrap/>
            <w:hideMark/>
          </w:tcPr>
          <w:p w:rsidR="005B41CC" w:rsidRPr="002E654D" w:rsidRDefault="005B41CC" w:rsidP="002E654D">
            <w:pPr>
              <w:pStyle w:val="Tabletext"/>
              <w:spacing w:beforeLines="60" w:before="144" w:afterLines="60" w:after="144"/>
              <w:jc w:val="center"/>
              <w:rPr>
                <w:rFonts w:cs="Arial"/>
                <w:lang w:eastAsia="en-AU"/>
              </w:rPr>
            </w:pPr>
            <w:r w:rsidRPr="002E654D">
              <w:rPr>
                <w:rFonts w:cs="Arial"/>
                <w:lang w:eastAsia="en-AU"/>
              </w:rPr>
              <w:t>22%</w:t>
            </w:r>
          </w:p>
        </w:tc>
        <w:tc>
          <w:tcPr>
            <w:tcW w:w="1041" w:type="dxa"/>
            <w:tcBorders>
              <w:top w:val="nil"/>
              <w:left w:val="nil"/>
              <w:bottom w:val="nil"/>
              <w:right w:val="nil"/>
            </w:tcBorders>
            <w:shd w:val="pct5" w:color="auto" w:fill="F2F2F2"/>
            <w:noWrap/>
            <w:hideMark/>
          </w:tcPr>
          <w:p w:rsidR="005B41CC" w:rsidRPr="002E654D" w:rsidRDefault="005B41CC" w:rsidP="002E654D">
            <w:pPr>
              <w:pStyle w:val="Tabletext"/>
              <w:spacing w:beforeLines="60" w:before="144" w:afterLines="60" w:after="144"/>
              <w:jc w:val="center"/>
              <w:rPr>
                <w:rFonts w:cs="Arial"/>
                <w:lang w:eastAsia="en-AU"/>
              </w:rPr>
            </w:pPr>
            <w:r w:rsidRPr="002E654D">
              <w:rPr>
                <w:rFonts w:cs="Arial"/>
                <w:lang w:eastAsia="en-AU"/>
              </w:rPr>
              <w:t>10%</w:t>
            </w:r>
          </w:p>
        </w:tc>
        <w:tc>
          <w:tcPr>
            <w:tcW w:w="1042" w:type="dxa"/>
            <w:tcBorders>
              <w:top w:val="nil"/>
              <w:left w:val="nil"/>
              <w:bottom w:val="nil"/>
              <w:right w:val="nil"/>
            </w:tcBorders>
            <w:shd w:val="pct5" w:color="auto" w:fill="F2F2F2"/>
            <w:noWrap/>
            <w:hideMark/>
          </w:tcPr>
          <w:p w:rsidR="005B41CC" w:rsidRPr="002E654D" w:rsidRDefault="005B41CC" w:rsidP="002E654D">
            <w:pPr>
              <w:pStyle w:val="Tabletext"/>
              <w:spacing w:beforeLines="60" w:before="144" w:afterLines="60" w:after="144"/>
              <w:jc w:val="center"/>
              <w:rPr>
                <w:rFonts w:cs="Arial"/>
              </w:rPr>
            </w:pPr>
            <w:r w:rsidRPr="002E654D">
              <w:rPr>
                <w:rFonts w:cs="Arial"/>
                <w:lang w:eastAsia="en-AU"/>
              </w:rPr>
              <w:t>40%</w:t>
            </w:r>
          </w:p>
        </w:tc>
      </w:tr>
      <w:tr w:rsidR="005B41CC" w:rsidTr="00EB3784">
        <w:trPr>
          <w:trHeight w:val="300"/>
        </w:trPr>
        <w:tc>
          <w:tcPr>
            <w:tcW w:w="1418" w:type="dxa"/>
            <w:tcBorders>
              <w:top w:val="nil"/>
              <w:left w:val="nil"/>
              <w:bottom w:val="nil"/>
              <w:right w:val="nil"/>
            </w:tcBorders>
            <w:shd w:val="clear" w:color="auto" w:fill="auto"/>
            <w:noWrap/>
            <w:vAlign w:val="bottom"/>
            <w:hideMark/>
          </w:tcPr>
          <w:p w:rsidR="005B41CC" w:rsidRPr="002E654D" w:rsidRDefault="005B41CC" w:rsidP="002E654D">
            <w:pPr>
              <w:spacing w:beforeLines="60" w:before="144" w:afterLines="60" w:after="144"/>
              <w:rPr>
                <w:rFonts w:ascii="Arial" w:hAnsi="Arial" w:cs="Arial"/>
                <w:color w:val="000000"/>
                <w:sz w:val="22"/>
                <w:szCs w:val="22"/>
              </w:rPr>
            </w:pPr>
            <w:r w:rsidRPr="002E654D">
              <w:rPr>
                <w:rFonts w:ascii="Arial" w:hAnsi="Arial" w:cs="Arial"/>
                <w:color w:val="000000"/>
                <w:sz w:val="22"/>
                <w:szCs w:val="22"/>
              </w:rPr>
              <w:t xml:space="preserve">Other providers </w:t>
            </w:r>
          </w:p>
        </w:tc>
        <w:tc>
          <w:tcPr>
            <w:tcW w:w="1041" w:type="dxa"/>
            <w:tcBorders>
              <w:top w:val="nil"/>
              <w:left w:val="nil"/>
              <w:bottom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35%</w:t>
            </w:r>
          </w:p>
        </w:tc>
        <w:tc>
          <w:tcPr>
            <w:tcW w:w="1041" w:type="dxa"/>
            <w:tcBorders>
              <w:top w:val="nil"/>
              <w:left w:val="nil"/>
              <w:bottom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43%</w:t>
            </w:r>
          </w:p>
        </w:tc>
        <w:tc>
          <w:tcPr>
            <w:tcW w:w="1041" w:type="dxa"/>
            <w:tcBorders>
              <w:top w:val="nil"/>
              <w:left w:val="nil"/>
              <w:bottom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54%</w:t>
            </w:r>
          </w:p>
        </w:tc>
        <w:tc>
          <w:tcPr>
            <w:tcW w:w="1041" w:type="dxa"/>
            <w:tcBorders>
              <w:top w:val="nil"/>
              <w:left w:val="nil"/>
              <w:bottom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73%</w:t>
            </w:r>
          </w:p>
        </w:tc>
        <w:tc>
          <w:tcPr>
            <w:tcW w:w="1041" w:type="dxa"/>
            <w:tcBorders>
              <w:top w:val="nil"/>
              <w:left w:val="nil"/>
              <w:bottom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78%</w:t>
            </w:r>
          </w:p>
        </w:tc>
        <w:tc>
          <w:tcPr>
            <w:tcW w:w="1041" w:type="dxa"/>
            <w:tcBorders>
              <w:top w:val="nil"/>
              <w:left w:val="nil"/>
              <w:bottom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90%</w:t>
            </w:r>
          </w:p>
        </w:tc>
        <w:tc>
          <w:tcPr>
            <w:tcW w:w="1042" w:type="dxa"/>
            <w:tcBorders>
              <w:top w:val="nil"/>
              <w:left w:val="nil"/>
              <w:bottom w:val="nil"/>
              <w:right w:val="nil"/>
            </w:tcBorders>
            <w:shd w:val="clear" w:color="auto" w:fill="auto"/>
            <w:noWrap/>
            <w:hideMark/>
          </w:tcPr>
          <w:p w:rsidR="005B41CC" w:rsidRPr="002E654D" w:rsidRDefault="005B41CC" w:rsidP="002E654D">
            <w:pPr>
              <w:spacing w:beforeLines="60" w:before="144" w:afterLines="60" w:after="144"/>
              <w:jc w:val="center"/>
              <w:rPr>
                <w:rFonts w:ascii="Arial" w:hAnsi="Arial" w:cs="Arial"/>
                <w:color w:val="000000"/>
                <w:sz w:val="22"/>
                <w:szCs w:val="22"/>
              </w:rPr>
            </w:pPr>
            <w:r w:rsidRPr="002E654D">
              <w:rPr>
                <w:rFonts w:ascii="Arial" w:hAnsi="Arial" w:cs="Arial"/>
                <w:color w:val="000000"/>
                <w:sz w:val="22"/>
                <w:szCs w:val="22"/>
              </w:rPr>
              <w:t>60%</w:t>
            </w:r>
          </w:p>
        </w:tc>
      </w:tr>
    </w:tbl>
    <w:p w:rsidR="005B41CC" w:rsidRDefault="005B41CC" w:rsidP="00EB3784">
      <w:pPr>
        <w:pStyle w:val="Numbered"/>
        <w:spacing w:after="240"/>
      </w:pPr>
      <w:r>
        <w:t>Camp Australia and JAG have submitted</w:t>
      </w:r>
      <w:r w:rsidR="00F0175B">
        <w:t xml:space="preserve"> alternative data to the ACCC. </w:t>
      </w:r>
      <w:r>
        <w:t xml:space="preserve">The data includes all OSHC providers (including self-supply) and </w:t>
      </w:r>
      <w:r w:rsidR="00CB5C6C">
        <w:t>OSHC-approved</w:t>
      </w:r>
      <w:r>
        <w:t xml:space="preserve"> vacation care providers. Table 2 below presents this data on a </w:t>
      </w:r>
      <w:r w:rsidR="00F0175B">
        <w:t>state-by-state basis.</w:t>
      </w:r>
    </w:p>
    <w:p w:rsidR="005B41CC" w:rsidRPr="002B3644" w:rsidRDefault="005B41CC" w:rsidP="00EB3784">
      <w:pPr>
        <w:pStyle w:val="TableHeading"/>
        <w:spacing w:before="240"/>
      </w:pPr>
      <w:r w:rsidRPr="002B3644">
        <w:t>T</w:t>
      </w:r>
      <w:r>
        <w:t>able 2</w:t>
      </w:r>
      <w:r w:rsidRPr="002B3644">
        <w:t xml:space="preserve">: Parties’ estimates – </w:t>
      </w:r>
      <w:r>
        <w:t>shares</w:t>
      </w:r>
      <w:r w:rsidRPr="002B3644">
        <w:t xml:space="preserve"> of school</w:t>
      </w:r>
      <w:r>
        <w:t xml:space="preserve"> location</w:t>
      </w:r>
      <w:r w:rsidRPr="002B3644">
        <w:t>s serviced, by provider</w:t>
      </w:r>
      <w:r>
        <w:t xml:space="preserve"> (all OSHC services, including vacation care only sites, and in-house OSHC services)</w:t>
      </w:r>
      <w:r>
        <w:rPr>
          <w:rStyle w:val="FootnoteReference"/>
        </w:rPr>
        <w:footnoteReference w:id="17"/>
      </w:r>
      <w:r w:rsidRPr="002B3644">
        <w:t xml:space="preserve"> </w:t>
      </w:r>
    </w:p>
    <w:tbl>
      <w:tblPr>
        <w:tblW w:w="84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349"/>
        <w:gridCol w:w="1350"/>
        <w:gridCol w:w="1349"/>
        <w:gridCol w:w="1350"/>
        <w:gridCol w:w="1350"/>
      </w:tblGrid>
      <w:tr w:rsidR="005B41CC" w:rsidRPr="002B3644" w:rsidTr="005B41CC">
        <w:trPr>
          <w:trHeight w:val="589"/>
        </w:trPr>
        <w:tc>
          <w:tcPr>
            <w:tcW w:w="1716" w:type="dxa"/>
            <w:shd w:val="clear" w:color="auto" w:fill="A6A6A6"/>
            <w:noWrap/>
            <w:vAlign w:val="bottom"/>
            <w:hideMark/>
          </w:tcPr>
          <w:p w:rsidR="005B41CC" w:rsidRPr="002B3644" w:rsidRDefault="005B41CC" w:rsidP="00521B3B">
            <w:pPr>
              <w:spacing w:before="80" w:after="80"/>
              <w:rPr>
                <w:rFonts w:ascii="Calibri" w:hAnsi="Calibri" w:cs="Calibri"/>
                <w:b/>
                <w:bCs/>
                <w:color w:val="000000"/>
                <w:lang w:eastAsia="en-AU"/>
              </w:rPr>
            </w:pPr>
            <w:r w:rsidRPr="002B3644">
              <w:rPr>
                <w:rFonts w:ascii="Calibri" w:hAnsi="Calibri" w:cs="Calibri"/>
                <w:b/>
                <w:bCs/>
                <w:color w:val="000000"/>
                <w:lang w:eastAsia="en-AU"/>
              </w:rPr>
              <w:t> </w:t>
            </w:r>
          </w:p>
          <w:p w:rsidR="005B41CC" w:rsidRPr="002B3644" w:rsidRDefault="005B41CC" w:rsidP="00521B3B">
            <w:pPr>
              <w:spacing w:before="80" w:after="80"/>
              <w:rPr>
                <w:rFonts w:ascii="Calibri" w:hAnsi="Calibri" w:cs="Calibri"/>
                <w:b/>
                <w:bCs/>
                <w:color w:val="000000"/>
                <w:lang w:eastAsia="en-AU"/>
              </w:rPr>
            </w:pPr>
            <w:r w:rsidRPr="002B3644">
              <w:rPr>
                <w:rFonts w:ascii="Calibri" w:hAnsi="Calibri" w:cs="Calibri"/>
                <w:b/>
                <w:bCs/>
                <w:color w:val="000000"/>
                <w:lang w:eastAsia="en-AU"/>
              </w:rPr>
              <w:t> </w:t>
            </w:r>
          </w:p>
        </w:tc>
        <w:tc>
          <w:tcPr>
            <w:tcW w:w="1349" w:type="dxa"/>
            <w:shd w:val="clear" w:color="auto" w:fill="A6A6A6"/>
            <w:vAlign w:val="bottom"/>
            <w:hideMark/>
          </w:tcPr>
          <w:p w:rsidR="005B41CC" w:rsidRPr="002B3644" w:rsidRDefault="005B41CC" w:rsidP="00521B3B">
            <w:pPr>
              <w:spacing w:before="80" w:after="80"/>
              <w:rPr>
                <w:rFonts w:ascii="Calibri" w:hAnsi="Calibri" w:cs="Calibri"/>
                <w:b/>
                <w:bCs/>
                <w:color w:val="000000"/>
                <w:lang w:eastAsia="en-AU"/>
              </w:rPr>
            </w:pPr>
            <w:r w:rsidRPr="002B3644">
              <w:rPr>
                <w:rFonts w:ascii="Calibri" w:hAnsi="Calibri" w:cs="Calibri"/>
                <w:b/>
                <w:bCs/>
                <w:color w:val="000000"/>
                <w:lang w:eastAsia="en-AU"/>
              </w:rPr>
              <w:t>CA</w:t>
            </w:r>
          </w:p>
        </w:tc>
        <w:tc>
          <w:tcPr>
            <w:tcW w:w="1350" w:type="dxa"/>
            <w:shd w:val="clear" w:color="auto" w:fill="A6A6A6"/>
            <w:noWrap/>
            <w:vAlign w:val="bottom"/>
            <w:hideMark/>
          </w:tcPr>
          <w:p w:rsidR="005B41CC" w:rsidRPr="002B3644" w:rsidRDefault="005B41CC" w:rsidP="00521B3B">
            <w:pPr>
              <w:spacing w:before="80" w:after="80"/>
              <w:rPr>
                <w:rFonts w:ascii="Calibri" w:hAnsi="Calibri" w:cs="Calibri"/>
                <w:b/>
                <w:bCs/>
                <w:color w:val="000000"/>
                <w:lang w:eastAsia="en-AU"/>
              </w:rPr>
            </w:pPr>
            <w:r w:rsidRPr="002B3644">
              <w:rPr>
                <w:rFonts w:ascii="Calibri" w:hAnsi="Calibri" w:cs="Calibri"/>
                <w:b/>
                <w:bCs/>
                <w:color w:val="000000"/>
                <w:lang w:eastAsia="en-AU"/>
              </w:rPr>
              <w:t>JAG</w:t>
            </w:r>
          </w:p>
        </w:tc>
        <w:tc>
          <w:tcPr>
            <w:tcW w:w="1349" w:type="dxa"/>
            <w:shd w:val="clear" w:color="auto" w:fill="A6A6A6"/>
          </w:tcPr>
          <w:p w:rsidR="005B41CC" w:rsidRPr="002B3644" w:rsidRDefault="005B41CC" w:rsidP="00521B3B">
            <w:pPr>
              <w:spacing w:before="80" w:after="80"/>
              <w:rPr>
                <w:rFonts w:ascii="Calibri" w:hAnsi="Calibri" w:cs="Calibri"/>
                <w:b/>
                <w:bCs/>
                <w:color w:val="000000"/>
                <w:lang w:eastAsia="en-AU"/>
              </w:rPr>
            </w:pPr>
            <w:r w:rsidRPr="002B3644">
              <w:rPr>
                <w:rFonts w:ascii="Calibri" w:hAnsi="Calibri" w:cs="Calibri"/>
                <w:b/>
                <w:bCs/>
                <w:color w:val="000000"/>
                <w:lang w:eastAsia="en-AU"/>
              </w:rPr>
              <w:t>Merged Entity</w:t>
            </w:r>
          </w:p>
        </w:tc>
        <w:tc>
          <w:tcPr>
            <w:tcW w:w="1350" w:type="dxa"/>
            <w:shd w:val="clear" w:color="auto" w:fill="A6A6A6"/>
            <w:noWrap/>
            <w:vAlign w:val="bottom"/>
            <w:hideMark/>
          </w:tcPr>
          <w:p w:rsidR="005B41CC" w:rsidRPr="002B3644" w:rsidRDefault="005B41CC" w:rsidP="00521B3B">
            <w:pPr>
              <w:spacing w:before="80" w:after="80"/>
              <w:rPr>
                <w:rFonts w:ascii="Calibri" w:hAnsi="Calibri" w:cs="Calibri"/>
                <w:b/>
                <w:bCs/>
                <w:color w:val="000000"/>
                <w:lang w:eastAsia="en-AU"/>
              </w:rPr>
            </w:pPr>
            <w:r w:rsidRPr="002B3644">
              <w:rPr>
                <w:rFonts w:ascii="Calibri" w:hAnsi="Calibri" w:cs="Calibri"/>
                <w:b/>
                <w:bCs/>
                <w:color w:val="000000"/>
                <w:lang w:eastAsia="en-AU"/>
              </w:rPr>
              <w:t>In-house</w:t>
            </w:r>
          </w:p>
        </w:tc>
        <w:tc>
          <w:tcPr>
            <w:tcW w:w="1350" w:type="dxa"/>
            <w:shd w:val="clear" w:color="auto" w:fill="A6A6A6"/>
            <w:noWrap/>
            <w:vAlign w:val="bottom"/>
            <w:hideMark/>
          </w:tcPr>
          <w:p w:rsidR="005B41CC" w:rsidRPr="002B3644" w:rsidRDefault="005B41CC" w:rsidP="00521B3B">
            <w:pPr>
              <w:spacing w:before="80" w:after="80"/>
              <w:rPr>
                <w:rFonts w:ascii="Calibri" w:hAnsi="Calibri" w:cs="Calibri"/>
                <w:b/>
                <w:bCs/>
                <w:color w:val="000000"/>
                <w:lang w:eastAsia="en-AU"/>
              </w:rPr>
            </w:pPr>
            <w:r w:rsidRPr="002B3644">
              <w:rPr>
                <w:rFonts w:ascii="Calibri" w:hAnsi="Calibri" w:cs="Calibri"/>
                <w:b/>
                <w:bCs/>
                <w:color w:val="000000"/>
                <w:lang w:eastAsia="en-AU"/>
              </w:rPr>
              <w:t>Other</w:t>
            </w:r>
          </w:p>
        </w:tc>
      </w:tr>
      <w:tr w:rsidR="005B41CC" w:rsidRPr="002B3644" w:rsidTr="005B41CC">
        <w:trPr>
          <w:trHeight w:val="294"/>
        </w:trPr>
        <w:tc>
          <w:tcPr>
            <w:tcW w:w="1716" w:type="dxa"/>
            <w:shd w:val="clear" w:color="auto" w:fill="BFBFBF"/>
            <w:noWrap/>
            <w:vAlign w:val="center"/>
          </w:tcPr>
          <w:p w:rsidR="005B41CC" w:rsidRPr="002B3644" w:rsidRDefault="005B41CC" w:rsidP="00521B3B">
            <w:pPr>
              <w:spacing w:before="80" w:after="80"/>
              <w:rPr>
                <w:rFonts w:ascii="Calibri" w:hAnsi="Calibri" w:cs="Calibri"/>
                <w:b/>
                <w:bCs/>
                <w:color w:val="000000"/>
                <w:lang w:eastAsia="en-AU"/>
              </w:rPr>
            </w:pPr>
            <w:r>
              <w:rPr>
                <w:rFonts w:ascii="Calibri" w:hAnsi="Calibri" w:cs="Calibri"/>
                <w:b/>
                <w:bCs/>
                <w:color w:val="000000"/>
                <w:lang w:eastAsia="en-AU"/>
              </w:rPr>
              <w:t>NATIONAL</w:t>
            </w:r>
          </w:p>
        </w:tc>
        <w:tc>
          <w:tcPr>
            <w:tcW w:w="1349"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18</w:t>
            </w:r>
            <w:r w:rsidRPr="002B3644">
              <w:rPr>
                <w:rFonts w:ascii="Calibri" w:hAnsi="Calibri" w:cs="Calibri"/>
                <w:color w:val="000000"/>
                <w:lang w:eastAsia="en-AU"/>
              </w:rPr>
              <w:t>%</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9</w:t>
            </w:r>
            <w:r w:rsidRPr="002B3644">
              <w:rPr>
                <w:rFonts w:ascii="Calibri" w:hAnsi="Calibri" w:cs="Calibri"/>
                <w:color w:val="000000"/>
                <w:lang w:eastAsia="en-AU"/>
              </w:rPr>
              <w:t>%</w:t>
            </w:r>
          </w:p>
        </w:tc>
        <w:tc>
          <w:tcPr>
            <w:tcW w:w="1349" w:type="dxa"/>
            <w:shd w:val="clear" w:color="auto" w:fill="D9D9D9"/>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26</w:t>
            </w:r>
            <w:r w:rsidRPr="002B3644">
              <w:rPr>
                <w:rFonts w:ascii="Calibri" w:hAnsi="Calibri" w:cs="Calibri"/>
                <w:color w:val="000000"/>
                <w:lang w:eastAsia="en-AU"/>
              </w:rPr>
              <w:t>%</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19%</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55%</w:t>
            </w:r>
          </w:p>
        </w:tc>
      </w:tr>
      <w:tr w:rsidR="005B41CC" w:rsidRPr="002B3644" w:rsidTr="005B41CC">
        <w:trPr>
          <w:trHeight w:val="294"/>
        </w:trPr>
        <w:tc>
          <w:tcPr>
            <w:tcW w:w="1716" w:type="dxa"/>
            <w:shd w:val="clear" w:color="auto" w:fill="BFBFBF"/>
            <w:vAlign w:val="center"/>
          </w:tcPr>
          <w:p w:rsidR="005B41CC" w:rsidRPr="002B3644" w:rsidRDefault="005B41CC" w:rsidP="00521B3B">
            <w:pPr>
              <w:spacing w:before="80" w:after="80"/>
              <w:rPr>
                <w:rFonts w:ascii="Calibri" w:hAnsi="Calibri" w:cs="Calibri"/>
                <w:b/>
                <w:bCs/>
                <w:color w:val="000000"/>
                <w:lang w:eastAsia="en-AU"/>
              </w:rPr>
            </w:pPr>
            <w:r>
              <w:rPr>
                <w:rFonts w:ascii="Calibri" w:hAnsi="Calibri" w:cs="Calibri"/>
                <w:b/>
                <w:bCs/>
                <w:color w:val="000000"/>
                <w:lang w:eastAsia="en-AU"/>
              </w:rPr>
              <w:t>WA</w:t>
            </w:r>
          </w:p>
        </w:tc>
        <w:tc>
          <w:tcPr>
            <w:tcW w:w="1349"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19%</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26</w:t>
            </w:r>
            <w:r w:rsidRPr="002B3644">
              <w:rPr>
                <w:rFonts w:ascii="Calibri" w:hAnsi="Calibri" w:cs="Calibri"/>
                <w:color w:val="000000"/>
                <w:lang w:eastAsia="en-AU"/>
              </w:rPr>
              <w:t>%</w:t>
            </w:r>
          </w:p>
        </w:tc>
        <w:tc>
          <w:tcPr>
            <w:tcW w:w="1349" w:type="dxa"/>
            <w:shd w:val="clear" w:color="auto" w:fill="D9D9D9"/>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45</w:t>
            </w:r>
            <w:r w:rsidRPr="002B3644">
              <w:rPr>
                <w:rFonts w:ascii="Calibri" w:hAnsi="Calibri" w:cs="Calibri"/>
                <w:color w:val="000000"/>
                <w:lang w:eastAsia="en-AU"/>
              </w:rPr>
              <w:t>%</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4</w:t>
            </w:r>
            <w:r w:rsidRPr="002B3644">
              <w:rPr>
                <w:rFonts w:ascii="Calibri" w:hAnsi="Calibri" w:cs="Calibri"/>
                <w:color w:val="000000"/>
                <w:lang w:eastAsia="en-AU"/>
              </w:rPr>
              <w:t>%</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52</w:t>
            </w:r>
            <w:r w:rsidRPr="002B3644">
              <w:rPr>
                <w:rFonts w:ascii="Calibri" w:hAnsi="Calibri" w:cs="Calibri"/>
                <w:color w:val="000000"/>
                <w:lang w:eastAsia="en-AU"/>
              </w:rPr>
              <w:t>%</w:t>
            </w:r>
          </w:p>
        </w:tc>
      </w:tr>
      <w:tr w:rsidR="005B41CC" w:rsidRPr="002B3644" w:rsidTr="005B41CC">
        <w:trPr>
          <w:trHeight w:val="294"/>
        </w:trPr>
        <w:tc>
          <w:tcPr>
            <w:tcW w:w="1716" w:type="dxa"/>
            <w:shd w:val="clear" w:color="auto" w:fill="BFBFBF"/>
            <w:vAlign w:val="center"/>
          </w:tcPr>
          <w:p w:rsidR="005B41CC" w:rsidRPr="002B3644" w:rsidRDefault="005B41CC" w:rsidP="00521B3B">
            <w:pPr>
              <w:spacing w:before="80" w:after="80"/>
              <w:rPr>
                <w:rFonts w:ascii="Calibri" w:hAnsi="Calibri" w:cs="Calibri"/>
                <w:b/>
                <w:bCs/>
                <w:color w:val="000000"/>
                <w:lang w:eastAsia="en-AU"/>
              </w:rPr>
            </w:pPr>
            <w:r>
              <w:rPr>
                <w:rFonts w:ascii="Calibri" w:hAnsi="Calibri" w:cs="Calibri"/>
                <w:b/>
                <w:bCs/>
                <w:color w:val="000000"/>
                <w:lang w:eastAsia="en-AU"/>
              </w:rPr>
              <w:t>VIC</w:t>
            </w:r>
          </w:p>
        </w:tc>
        <w:tc>
          <w:tcPr>
            <w:tcW w:w="1349"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32</w:t>
            </w:r>
            <w:r w:rsidRPr="002B3644">
              <w:rPr>
                <w:rFonts w:ascii="Calibri" w:hAnsi="Calibri" w:cs="Calibri"/>
                <w:color w:val="000000"/>
                <w:lang w:eastAsia="en-AU"/>
              </w:rPr>
              <w:t>%</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11</w:t>
            </w:r>
            <w:r w:rsidRPr="002B3644">
              <w:rPr>
                <w:rFonts w:ascii="Calibri" w:hAnsi="Calibri" w:cs="Calibri"/>
                <w:color w:val="000000"/>
                <w:lang w:eastAsia="en-AU"/>
              </w:rPr>
              <w:t>%</w:t>
            </w:r>
          </w:p>
        </w:tc>
        <w:tc>
          <w:tcPr>
            <w:tcW w:w="1349" w:type="dxa"/>
            <w:shd w:val="clear" w:color="auto" w:fill="D9D9D9"/>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42%</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20</w:t>
            </w:r>
            <w:r w:rsidRPr="002B3644">
              <w:rPr>
                <w:rFonts w:ascii="Calibri" w:hAnsi="Calibri" w:cs="Calibri"/>
                <w:color w:val="000000"/>
                <w:lang w:eastAsia="en-AU"/>
              </w:rPr>
              <w:t>%</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38</w:t>
            </w:r>
            <w:r w:rsidRPr="002B3644">
              <w:rPr>
                <w:rFonts w:ascii="Calibri" w:hAnsi="Calibri" w:cs="Calibri"/>
                <w:color w:val="000000"/>
                <w:lang w:eastAsia="en-AU"/>
              </w:rPr>
              <w:t>%</w:t>
            </w:r>
          </w:p>
        </w:tc>
      </w:tr>
      <w:tr w:rsidR="005B41CC" w:rsidRPr="002B3644" w:rsidTr="005B41CC">
        <w:trPr>
          <w:trHeight w:val="294"/>
        </w:trPr>
        <w:tc>
          <w:tcPr>
            <w:tcW w:w="1716" w:type="dxa"/>
            <w:shd w:val="clear" w:color="auto" w:fill="BFBFBF"/>
            <w:vAlign w:val="center"/>
          </w:tcPr>
          <w:p w:rsidR="005B41CC" w:rsidRPr="002B3644" w:rsidRDefault="005B41CC" w:rsidP="00521B3B">
            <w:pPr>
              <w:spacing w:before="80" w:after="80"/>
              <w:rPr>
                <w:rFonts w:ascii="Calibri" w:hAnsi="Calibri" w:cs="Calibri"/>
                <w:b/>
                <w:bCs/>
                <w:color w:val="000000"/>
                <w:lang w:eastAsia="en-AU"/>
              </w:rPr>
            </w:pPr>
            <w:r>
              <w:rPr>
                <w:rFonts w:ascii="Calibri" w:hAnsi="Calibri" w:cs="Calibri"/>
                <w:b/>
                <w:bCs/>
                <w:color w:val="000000"/>
                <w:lang w:eastAsia="en-AU"/>
              </w:rPr>
              <w:t>SA</w:t>
            </w:r>
          </w:p>
        </w:tc>
        <w:tc>
          <w:tcPr>
            <w:tcW w:w="1349"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19</w:t>
            </w:r>
            <w:r w:rsidRPr="002B3644">
              <w:rPr>
                <w:rFonts w:ascii="Calibri" w:hAnsi="Calibri" w:cs="Calibri"/>
                <w:color w:val="000000"/>
                <w:lang w:eastAsia="en-AU"/>
              </w:rPr>
              <w:t>%</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 1%</w:t>
            </w:r>
          </w:p>
        </w:tc>
        <w:tc>
          <w:tcPr>
            <w:tcW w:w="1349" w:type="dxa"/>
            <w:shd w:val="clear" w:color="auto" w:fill="D9D9D9"/>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20</w:t>
            </w:r>
            <w:r w:rsidRPr="002B3644">
              <w:rPr>
                <w:rFonts w:ascii="Calibri" w:hAnsi="Calibri" w:cs="Calibri"/>
                <w:color w:val="000000"/>
                <w:lang w:eastAsia="en-AU"/>
              </w:rPr>
              <w:t>%</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50%</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30%</w:t>
            </w:r>
          </w:p>
        </w:tc>
      </w:tr>
      <w:tr w:rsidR="005B41CC" w:rsidRPr="002B3644" w:rsidTr="005B41CC">
        <w:trPr>
          <w:trHeight w:val="294"/>
        </w:trPr>
        <w:tc>
          <w:tcPr>
            <w:tcW w:w="1716" w:type="dxa"/>
            <w:shd w:val="clear" w:color="auto" w:fill="BFBFBF"/>
            <w:vAlign w:val="center"/>
            <w:hideMark/>
          </w:tcPr>
          <w:p w:rsidR="005B41CC" w:rsidRPr="002B3644" w:rsidRDefault="005B41CC" w:rsidP="00521B3B">
            <w:pPr>
              <w:spacing w:before="80" w:after="80"/>
              <w:rPr>
                <w:rFonts w:ascii="Calibri" w:hAnsi="Calibri" w:cs="Calibri"/>
                <w:b/>
                <w:bCs/>
                <w:color w:val="000000"/>
                <w:lang w:eastAsia="en-AU"/>
              </w:rPr>
            </w:pPr>
            <w:r>
              <w:rPr>
                <w:rFonts w:ascii="Calibri" w:hAnsi="Calibri" w:cs="Calibri"/>
                <w:b/>
                <w:bCs/>
                <w:color w:val="000000"/>
                <w:lang w:eastAsia="en-AU"/>
              </w:rPr>
              <w:t>QLD</w:t>
            </w:r>
          </w:p>
        </w:tc>
        <w:tc>
          <w:tcPr>
            <w:tcW w:w="1349" w:type="dxa"/>
            <w:shd w:val="clear" w:color="auto" w:fill="auto"/>
            <w:noWrap/>
            <w:vAlign w:val="bottom"/>
            <w:hideMark/>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8</w:t>
            </w:r>
            <w:r w:rsidRPr="002B3644">
              <w:rPr>
                <w:rFonts w:ascii="Calibri" w:hAnsi="Calibri" w:cs="Calibri"/>
                <w:color w:val="000000"/>
                <w:lang w:eastAsia="en-AU"/>
              </w:rPr>
              <w:t>%</w:t>
            </w:r>
          </w:p>
        </w:tc>
        <w:tc>
          <w:tcPr>
            <w:tcW w:w="1350" w:type="dxa"/>
            <w:shd w:val="clear" w:color="auto" w:fill="auto"/>
            <w:noWrap/>
            <w:vAlign w:val="bottom"/>
            <w:hideMark/>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9%</w:t>
            </w:r>
          </w:p>
        </w:tc>
        <w:tc>
          <w:tcPr>
            <w:tcW w:w="1349" w:type="dxa"/>
            <w:shd w:val="clear" w:color="auto" w:fill="D9D9D9"/>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17%</w:t>
            </w:r>
          </w:p>
        </w:tc>
        <w:tc>
          <w:tcPr>
            <w:tcW w:w="1350" w:type="dxa"/>
            <w:shd w:val="clear" w:color="auto" w:fill="auto"/>
            <w:noWrap/>
            <w:vAlign w:val="bottom"/>
            <w:hideMark/>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20%</w:t>
            </w:r>
          </w:p>
        </w:tc>
        <w:tc>
          <w:tcPr>
            <w:tcW w:w="1350" w:type="dxa"/>
            <w:shd w:val="clear" w:color="auto" w:fill="auto"/>
            <w:noWrap/>
            <w:vAlign w:val="bottom"/>
            <w:hideMark/>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6</w:t>
            </w:r>
            <w:r>
              <w:rPr>
                <w:rFonts w:ascii="Calibri" w:hAnsi="Calibri" w:cs="Calibri"/>
                <w:color w:val="000000"/>
                <w:lang w:eastAsia="en-AU"/>
              </w:rPr>
              <w:t>3</w:t>
            </w:r>
            <w:r w:rsidRPr="002B3644">
              <w:rPr>
                <w:rFonts w:ascii="Calibri" w:hAnsi="Calibri" w:cs="Calibri"/>
                <w:color w:val="000000"/>
                <w:lang w:eastAsia="en-AU"/>
              </w:rPr>
              <w:t>%</w:t>
            </w:r>
          </w:p>
        </w:tc>
      </w:tr>
      <w:tr w:rsidR="005B41CC" w:rsidRPr="002B3644" w:rsidTr="005B41CC">
        <w:trPr>
          <w:trHeight w:val="294"/>
        </w:trPr>
        <w:tc>
          <w:tcPr>
            <w:tcW w:w="1716" w:type="dxa"/>
            <w:shd w:val="clear" w:color="auto" w:fill="BFBFBF"/>
            <w:vAlign w:val="center"/>
          </w:tcPr>
          <w:p w:rsidR="005B41CC" w:rsidRPr="002B3644" w:rsidRDefault="005B41CC" w:rsidP="00521B3B">
            <w:pPr>
              <w:spacing w:before="80" w:after="80"/>
              <w:rPr>
                <w:rFonts w:ascii="Calibri" w:hAnsi="Calibri" w:cs="Calibri"/>
                <w:b/>
                <w:bCs/>
                <w:color w:val="000000"/>
                <w:lang w:eastAsia="en-AU"/>
              </w:rPr>
            </w:pPr>
            <w:r>
              <w:rPr>
                <w:rFonts w:ascii="Calibri" w:hAnsi="Calibri" w:cs="Calibri"/>
                <w:b/>
                <w:bCs/>
                <w:color w:val="000000"/>
                <w:lang w:eastAsia="en-AU"/>
              </w:rPr>
              <w:t>NSW</w:t>
            </w:r>
          </w:p>
        </w:tc>
        <w:tc>
          <w:tcPr>
            <w:tcW w:w="1349"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10%</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4%</w:t>
            </w:r>
          </w:p>
        </w:tc>
        <w:tc>
          <w:tcPr>
            <w:tcW w:w="1349" w:type="dxa"/>
            <w:shd w:val="clear" w:color="auto" w:fill="D9D9D9"/>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14%</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sidRPr="002B3644">
              <w:rPr>
                <w:rFonts w:ascii="Calibri" w:hAnsi="Calibri" w:cs="Calibri"/>
                <w:color w:val="000000"/>
                <w:lang w:eastAsia="en-AU"/>
              </w:rPr>
              <w:t>15%</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71</w:t>
            </w:r>
            <w:r w:rsidRPr="002B3644">
              <w:rPr>
                <w:rFonts w:ascii="Calibri" w:hAnsi="Calibri" w:cs="Calibri"/>
                <w:color w:val="000000"/>
                <w:lang w:eastAsia="en-AU"/>
              </w:rPr>
              <w:t>%</w:t>
            </w:r>
          </w:p>
        </w:tc>
      </w:tr>
      <w:tr w:rsidR="005B41CC" w:rsidRPr="002B3644" w:rsidTr="005B41CC">
        <w:trPr>
          <w:trHeight w:val="294"/>
        </w:trPr>
        <w:tc>
          <w:tcPr>
            <w:tcW w:w="1716" w:type="dxa"/>
            <w:shd w:val="clear" w:color="auto" w:fill="BFBFBF"/>
            <w:vAlign w:val="center"/>
          </w:tcPr>
          <w:p w:rsidR="005B41CC" w:rsidRPr="002B3644" w:rsidRDefault="005B41CC" w:rsidP="00521B3B">
            <w:pPr>
              <w:spacing w:before="80" w:after="80"/>
              <w:rPr>
                <w:rFonts w:ascii="Calibri" w:hAnsi="Calibri" w:cs="Calibri"/>
                <w:b/>
                <w:bCs/>
                <w:color w:val="000000"/>
                <w:lang w:eastAsia="en-AU"/>
              </w:rPr>
            </w:pPr>
            <w:r>
              <w:rPr>
                <w:rFonts w:ascii="Calibri" w:hAnsi="Calibri" w:cs="Calibri"/>
                <w:b/>
                <w:bCs/>
                <w:color w:val="000000"/>
                <w:lang w:eastAsia="en-AU"/>
              </w:rPr>
              <w:t>ACT</w:t>
            </w:r>
          </w:p>
        </w:tc>
        <w:tc>
          <w:tcPr>
            <w:tcW w:w="1349"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4</w:t>
            </w:r>
            <w:r w:rsidRPr="002B3644">
              <w:rPr>
                <w:rFonts w:ascii="Calibri" w:hAnsi="Calibri" w:cs="Calibri"/>
                <w:color w:val="000000"/>
                <w:lang w:eastAsia="en-AU"/>
              </w:rPr>
              <w:t>%</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4</w:t>
            </w:r>
            <w:r w:rsidRPr="002B3644">
              <w:rPr>
                <w:rFonts w:ascii="Calibri" w:hAnsi="Calibri" w:cs="Calibri"/>
                <w:color w:val="000000"/>
                <w:lang w:eastAsia="en-AU"/>
              </w:rPr>
              <w:t>%</w:t>
            </w:r>
          </w:p>
        </w:tc>
        <w:tc>
          <w:tcPr>
            <w:tcW w:w="1349" w:type="dxa"/>
            <w:shd w:val="clear" w:color="auto" w:fill="D9D9D9"/>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8</w:t>
            </w:r>
            <w:r w:rsidRPr="002B3644">
              <w:rPr>
                <w:rFonts w:ascii="Calibri" w:hAnsi="Calibri" w:cs="Calibri"/>
                <w:color w:val="000000"/>
                <w:lang w:eastAsia="en-AU"/>
              </w:rPr>
              <w:t>%</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13</w:t>
            </w:r>
            <w:r w:rsidRPr="002B3644">
              <w:rPr>
                <w:rFonts w:ascii="Calibri" w:hAnsi="Calibri" w:cs="Calibri"/>
                <w:color w:val="000000"/>
                <w:lang w:eastAsia="en-AU"/>
              </w:rPr>
              <w:t>%</w:t>
            </w:r>
          </w:p>
        </w:tc>
        <w:tc>
          <w:tcPr>
            <w:tcW w:w="1350" w:type="dxa"/>
            <w:shd w:val="clear" w:color="auto" w:fill="auto"/>
            <w:noWrap/>
            <w:vAlign w:val="bottom"/>
          </w:tcPr>
          <w:p w:rsidR="005B41CC" w:rsidRPr="002B3644" w:rsidRDefault="005B41CC" w:rsidP="00521B3B">
            <w:pPr>
              <w:spacing w:before="80" w:after="80"/>
              <w:jc w:val="right"/>
              <w:rPr>
                <w:rFonts w:ascii="Calibri" w:hAnsi="Calibri" w:cs="Calibri"/>
                <w:color w:val="000000"/>
                <w:lang w:eastAsia="en-AU"/>
              </w:rPr>
            </w:pPr>
            <w:r>
              <w:rPr>
                <w:rFonts w:ascii="Calibri" w:hAnsi="Calibri" w:cs="Calibri"/>
                <w:color w:val="000000"/>
                <w:lang w:eastAsia="en-AU"/>
              </w:rPr>
              <w:t>80</w:t>
            </w:r>
            <w:r w:rsidRPr="002B3644">
              <w:rPr>
                <w:rFonts w:ascii="Calibri" w:hAnsi="Calibri" w:cs="Calibri"/>
                <w:color w:val="000000"/>
                <w:lang w:eastAsia="en-AU"/>
              </w:rPr>
              <w:t>%</w:t>
            </w:r>
          </w:p>
        </w:tc>
      </w:tr>
    </w:tbl>
    <w:p w:rsidR="007C75BD" w:rsidRPr="005F2639" w:rsidRDefault="007C75BD" w:rsidP="00EB3784">
      <w:pPr>
        <w:pStyle w:val="Heading3"/>
        <w:pageBreakBefore/>
      </w:pPr>
      <w:bookmarkStart w:id="4" w:name="_Toc451421456"/>
      <w:r w:rsidRPr="00DE268E">
        <w:t>Closeness of competition between the merger parties</w:t>
      </w:r>
    </w:p>
    <w:p w:rsidR="007C75BD" w:rsidRDefault="007C75BD">
      <w:pPr>
        <w:pStyle w:val="Numbered"/>
      </w:pPr>
      <w:r>
        <w:t xml:space="preserve">The ACCC’s inquiries and analysis to date indicate that the merger parties are, in addition to being the two largest providers of </w:t>
      </w:r>
      <w:r w:rsidR="00C13DFA">
        <w:t>before and after-school care</w:t>
      </w:r>
      <w:r>
        <w:t xml:space="preserve"> in Australia, each other’s closest competitors.</w:t>
      </w:r>
    </w:p>
    <w:p w:rsidR="007C75BD" w:rsidRDefault="007C75BD">
      <w:pPr>
        <w:pStyle w:val="Numbered"/>
      </w:pPr>
      <w:r>
        <w:t>The ACCC considers that Camp Australia and JAG are vigorous and effective competitors for a substantial number of tenders and other opportunities in the market. The ACCC’s market inquiries to date suggest that:</w:t>
      </w:r>
    </w:p>
    <w:p w:rsidR="007C75BD" w:rsidRDefault="007C75BD" w:rsidP="009B006B">
      <w:pPr>
        <w:pStyle w:val="Bulletpoint"/>
        <w:tabs>
          <w:tab w:val="num" w:pos="1418"/>
        </w:tabs>
        <w:ind w:left="1418" w:hanging="567"/>
      </w:pPr>
      <w:r>
        <w:t xml:space="preserve">The merger parties regularly compete against each other in tender and other selection processes for </w:t>
      </w:r>
      <w:r w:rsidR="00C13DFA">
        <w:t>before and after-school care</w:t>
      </w:r>
      <w:r>
        <w:t>.</w:t>
      </w:r>
    </w:p>
    <w:p w:rsidR="007C75BD" w:rsidRDefault="007C75BD" w:rsidP="009B006B">
      <w:pPr>
        <w:pStyle w:val="Bulletpoint"/>
        <w:tabs>
          <w:tab w:val="num" w:pos="1418"/>
        </w:tabs>
        <w:ind w:left="1418" w:hanging="567"/>
      </w:pPr>
      <w:r>
        <w:t>The merger parties are seen to offer highly comparable products, and are seen to be the price setters on matters such as payments to schools and/or fees to parents.</w:t>
      </w:r>
    </w:p>
    <w:p w:rsidR="007C75BD" w:rsidRDefault="007C75BD" w:rsidP="009B006B">
      <w:pPr>
        <w:pStyle w:val="Bulletpoint"/>
        <w:tabs>
          <w:tab w:val="num" w:pos="1418"/>
        </w:tabs>
        <w:ind w:left="1418" w:hanging="567"/>
      </w:pPr>
      <w:r>
        <w:t>Camp Australia and JAG both have a strong history of renewals of existing contracts.</w:t>
      </w:r>
    </w:p>
    <w:p w:rsidR="00B15199" w:rsidRPr="00E05B3F" w:rsidRDefault="00B15199">
      <w:pPr>
        <w:pStyle w:val="Numbered"/>
      </w:pPr>
      <w:r>
        <w:t xml:space="preserve">Other competitors appeared to be consistently less competitive in the </w:t>
      </w:r>
      <w:r w:rsidR="00B34F0A">
        <w:t xml:space="preserve">view of </w:t>
      </w:r>
      <w:r>
        <w:t>schools than the merger parties during tender processes. Smaller providers in particular have reportedly often been unable to match the aggressive pricing or licence fee offers from the merger parties.</w:t>
      </w:r>
    </w:p>
    <w:p w:rsidR="00D84A72" w:rsidRDefault="00D84A72">
      <w:pPr>
        <w:pStyle w:val="Numbered"/>
      </w:pPr>
      <w:r>
        <w:t>The essence of the ACCC’s concern is that</w:t>
      </w:r>
      <w:r w:rsidR="00A71174">
        <w:t>,</w:t>
      </w:r>
      <w:r>
        <w:t xml:space="preserve"> for the schools where the merger parties would compete against each other in the future without the merger, they won’t do so in the future </w:t>
      </w:r>
      <w:r w:rsidR="00A71174">
        <w:t>with</w:t>
      </w:r>
      <w:r>
        <w:t xml:space="preserve"> the merger – and this is likely to represent a substantial lessening of competition in the identified markets.</w:t>
      </w:r>
      <w:r w:rsidR="00B15199">
        <w:t xml:space="preserve"> For example, views have been expressed that </w:t>
      </w:r>
      <w:r w:rsidR="00B15199" w:rsidRPr="00B15199">
        <w:t>competition between CA and JAG has lowered fees to parents by 10% in some areas.</w:t>
      </w:r>
    </w:p>
    <w:p w:rsidR="007C75BD" w:rsidRDefault="007C75BD">
      <w:pPr>
        <w:pStyle w:val="Numbered"/>
      </w:pPr>
      <w:r>
        <w:t>Many schools use competition between the merger parties to negotiate a more favourable service offering</w:t>
      </w:r>
      <w:r w:rsidR="00A71174">
        <w:t>:</w:t>
      </w:r>
      <w:r>
        <w:t xml:space="preserve"> for example, in terms of quality of service</w:t>
      </w:r>
      <w:r w:rsidR="00A71174">
        <w:t>,</w:t>
      </w:r>
      <w:r>
        <w:t xml:space="preserve"> such as food offered.</w:t>
      </w:r>
      <w:r w:rsidR="00553D8D">
        <w:t xml:space="preserve"> </w:t>
      </w:r>
      <w:r w:rsidR="00553D8D" w:rsidRPr="00553D8D">
        <w:t xml:space="preserve">It has been suggested </w:t>
      </w:r>
      <w:r w:rsidR="00553D8D">
        <w:t xml:space="preserve">to the ACCC </w:t>
      </w:r>
      <w:r w:rsidR="00553D8D" w:rsidRPr="00553D8D">
        <w:t>that JAG's stronger reputation for a higher quality service in some areas has forced Camp Australia to competitively respond by increasing its own service levels.</w:t>
      </w:r>
    </w:p>
    <w:p w:rsidR="008F7F76" w:rsidRDefault="007C75BD">
      <w:pPr>
        <w:pStyle w:val="Numbered"/>
      </w:pPr>
      <w:r>
        <w:t>While the ACCC is continuing to analyse the issues, the loss of competition between the merger parties appears</w:t>
      </w:r>
      <w:r w:rsidR="008F7F76">
        <w:t>, most acutely in NSW, Victoria, Queensland</w:t>
      </w:r>
      <w:r w:rsidR="00E464AC">
        <w:t xml:space="preserve"> </w:t>
      </w:r>
      <w:r w:rsidR="008F7F76">
        <w:t xml:space="preserve">and WA, </w:t>
      </w:r>
      <w:r>
        <w:t xml:space="preserve">to be </w:t>
      </w:r>
      <w:r w:rsidR="00553D8D">
        <w:t>substantial</w:t>
      </w:r>
      <w:r w:rsidR="00F0175B">
        <w:t>.</w:t>
      </w:r>
    </w:p>
    <w:p w:rsidR="007C75BD" w:rsidRDefault="007C75BD" w:rsidP="007C75BD">
      <w:pPr>
        <w:pStyle w:val="Numberedparagraph11"/>
        <w:numPr>
          <w:ilvl w:val="0"/>
          <w:numId w:val="0"/>
        </w:numPr>
        <w:shd w:val="clear" w:color="auto" w:fill="D9D9D9"/>
      </w:pPr>
      <w:r>
        <w:t>The ACCC invites comments from market participants on its preliminary views about the strength of competit</w:t>
      </w:r>
      <w:r w:rsidR="00F0175B">
        <w:t>ion between the merger parties.</w:t>
      </w:r>
    </w:p>
    <w:p w:rsidR="007C75BD" w:rsidRDefault="007C75BD" w:rsidP="007C75BD">
      <w:pPr>
        <w:pStyle w:val="Numberedparagraph11"/>
        <w:numPr>
          <w:ilvl w:val="0"/>
          <w:numId w:val="0"/>
        </w:numPr>
        <w:shd w:val="clear" w:color="auto" w:fill="D9D9D9"/>
      </w:pPr>
      <w:r>
        <w:t>In particular, the ACCC invites comments on:</w:t>
      </w:r>
    </w:p>
    <w:p w:rsidR="00553D8D" w:rsidRDefault="00553D8D">
      <w:pPr>
        <w:pStyle w:val="commentbox"/>
        <w:numPr>
          <w:ilvl w:val="0"/>
          <w:numId w:val="8"/>
        </w:numPr>
      </w:pPr>
      <w:proofErr w:type="gramStart"/>
      <w:r>
        <w:t>Are</w:t>
      </w:r>
      <w:proofErr w:type="gramEnd"/>
      <w:r>
        <w:t xml:space="preserve"> Camp Australia and JAG each other’s strongest competitors in your area, or are there smaller operators that are competing more strongly with the merger parties?</w:t>
      </w:r>
    </w:p>
    <w:p w:rsidR="00553D8D" w:rsidRDefault="00553D8D">
      <w:pPr>
        <w:pStyle w:val="commentbox"/>
        <w:numPr>
          <w:ilvl w:val="0"/>
          <w:numId w:val="8"/>
        </w:numPr>
      </w:pPr>
      <w:r>
        <w:t>If you are a school, for your most recent engagement of a before and after-school care or OSHC provider, who did you short-list, who won the tender and who came second?</w:t>
      </w:r>
    </w:p>
    <w:p w:rsidR="00553D8D" w:rsidRDefault="00553D8D">
      <w:pPr>
        <w:pStyle w:val="commentbox"/>
        <w:numPr>
          <w:ilvl w:val="0"/>
          <w:numId w:val="8"/>
        </w:numPr>
      </w:pPr>
      <w:r>
        <w:t>If you were to switch providers now, who would be your next best option?</w:t>
      </w:r>
    </w:p>
    <w:bookmarkEnd w:id="4"/>
    <w:p w:rsidR="007C75BD" w:rsidRDefault="007C75BD" w:rsidP="007C75BD">
      <w:pPr>
        <w:pStyle w:val="Heading3"/>
      </w:pPr>
      <w:r w:rsidRPr="009D6796">
        <w:t xml:space="preserve">Constraint from other </w:t>
      </w:r>
      <w:r>
        <w:t xml:space="preserve">existing </w:t>
      </w:r>
      <w:r w:rsidRPr="009D6796">
        <w:t>providers</w:t>
      </w:r>
    </w:p>
    <w:p w:rsidR="007C75BD" w:rsidRDefault="007C75BD">
      <w:pPr>
        <w:pStyle w:val="Numbered"/>
      </w:pPr>
      <w:r w:rsidRPr="004F3CC3">
        <w:t>A</w:t>
      </w:r>
      <w:r w:rsidR="00350147">
        <w:t xml:space="preserve"> </w:t>
      </w:r>
      <w:r w:rsidRPr="004F3CC3">
        <w:t>key issue for the ACCC’s review is</w:t>
      </w:r>
      <w:r>
        <w:t xml:space="preserve"> the extent to which Camp Australia and JAG are constrained by other providers when seeking to win or retain work.</w:t>
      </w:r>
    </w:p>
    <w:p w:rsidR="007C75BD" w:rsidRDefault="007C75BD">
      <w:pPr>
        <w:pStyle w:val="Numbered"/>
      </w:pPr>
      <w:r>
        <w:t xml:space="preserve">The ACCC’s preliminary view is that other providers in the markets may not be capable of replacing the </w:t>
      </w:r>
      <w:r w:rsidR="00350147">
        <w:t xml:space="preserve">level of </w:t>
      </w:r>
      <w:r>
        <w:t>competition between Camp Australia and JAG.</w:t>
      </w:r>
    </w:p>
    <w:p w:rsidR="007C75BD" w:rsidRDefault="007C75BD">
      <w:pPr>
        <w:pStyle w:val="Numbered"/>
      </w:pPr>
      <w:r>
        <w:t>A</w:t>
      </w:r>
      <w:r w:rsidR="005F2789">
        <w:t>s stated earlier, a</w:t>
      </w:r>
      <w:r>
        <w:t>ccording to publicly available data, the</w:t>
      </w:r>
      <w:r w:rsidR="008433E7">
        <w:t xml:space="preserve"> market is characterised by a small group of larger suppliers (associated with about 25 sites to hundreds of sites, in the case of the merger parties) and </w:t>
      </w:r>
      <w:r w:rsidR="0077685D">
        <w:t xml:space="preserve">a </w:t>
      </w:r>
      <w:r>
        <w:t>very large ‘fringe’ or ‘long tail’ of hundreds of providers operating one or a handful of sites only.</w:t>
      </w:r>
    </w:p>
    <w:p w:rsidR="007C75BD" w:rsidRDefault="007C75BD">
      <w:pPr>
        <w:pStyle w:val="Numbered"/>
      </w:pPr>
      <w:r>
        <w:t>The ACCC notes that other competitors are smaller than the merger parties</w:t>
      </w:r>
      <w:r w:rsidR="0097251E">
        <w:t>, including</w:t>
      </w:r>
      <w:r>
        <w:t xml:space="preserve"> in most </w:t>
      </w:r>
      <w:r w:rsidR="005F2789">
        <w:t>s</w:t>
      </w:r>
      <w:r>
        <w:t xml:space="preserve">tate and </w:t>
      </w:r>
      <w:r w:rsidR="00A71174">
        <w:t>t</w:t>
      </w:r>
      <w:r>
        <w:t>erritor</w:t>
      </w:r>
      <w:r w:rsidR="0097251E">
        <w:t>y markets</w:t>
      </w:r>
      <w:r w:rsidR="005F2789">
        <w:t>.</w:t>
      </w:r>
      <w:r>
        <w:t xml:space="preserve"> </w:t>
      </w:r>
      <w:r w:rsidR="005F2789">
        <w:t>F</w:t>
      </w:r>
      <w:r>
        <w:t>or example, nationally, a merged Camp Australia-JAG would have more than 12 times as many sites as Extend</w:t>
      </w:r>
      <w:r w:rsidR="005F2789">
        <w:t>, the third largest for-profit supplier after the merger parties.</w:t>
      </w:r>
      <w:r>
        <w:t xml:space="preserve"> </w:t>
      </w:r>
      <w:r w:rsidR="005F2789">
        <w:t>I</w:t>
      </w:r>
      <w:r>
        <w:t xml:space="preserve">n </w:t>
      </w:r>
      <w:proofErr w:type="spellStart"/>
      <w:r>
        <w:t>Extend’s</w:t>
      </w:r>
      <w:proofErr w:type="spellEnd"/>
      <w:r>
        <w:t xml:space="preserve"> strongest </w:t>
      </w:r>
      <w:r w:rsidR="005F2789">
        <w:t>s</w:t>
      </w:r>
      <w:r>
        <w:t xml:space="preserve">tate of Victoria, </w:t>
      </w:r>
      <w:r w:rsidR="005F2789">
        <w:t xml:space="preserve">the merged firm would have </w:t>
      </w:r>
      <w:r>
        <w:t>about eight times as many</w:t>
      </w:r>
      <w:r w:rsidR="005F2789">
        <w:t xml:space="preserve"> sites</w:t>
      </w:r>
      <w:r>
        <w:t xml:space="preserve">. </w:t>
      </w:r>
    </w:p>
    <w:p w:rsidR="007C75BD" w:rsidRDefault="007C75BD">
      <w:pPr>
        <w:pStyle w:val="Numbered"/>
      </w:pPr>
      <w:r>
        <w:t>The ACCC also understand</w:t>
      </w:r>
      <w:r w:rsidR="005F2789">
        <w:t>s</w:t>
      </w:r>
      <w:r>
        <w:t xml:space="preserve">, based on its market inquiries to date, that other competitors are </w:t>
      </w:r>
      <w:r w:rsidR="00553D8D">
        <w:t xml:space="preserve">often </w:t>
      </w:r>
      <w:r w:rsidR="005F2789">
        <w:t>less competitive in the eyes of schools than the merger parties during tender processes.</w:t>
      </w:r>
      <w:r>
        <w:t xml:space="preserve"> For example, market inquiries indicate that, at times, some smaller providers:</w:t>
      </w:r>
    </w:p>
    <w:p w:rsidR="007C75BD" w:rsidRDefault="0097251E" w:rsidP="009B006B">
      <w:pPr>
        <w:pStyle w:val="Bulletpoint"/>
        <w:tabs>
          <w:tab w:val="num" w:pos="1418"/>
        </w:tabs>
        <w:ind w:left="1418" w:hanging="567"/>
      </w:pPr>
      <w:r>
        <w:t>a</w:t>
      </w:r>
      <w:r w:rsidR="007C75BD">
        <w:t>re unable to match aggressive pricing or licence fee offers from the merger parties</w:t>
      </w:r>
    </w:p>
    <w:p w:rsidR="007C75BD" w:rsidRDefault="007C75BD" w:rsidP="009B006B">
      <w:pPr>
        <w:pStyle w:val="Bulletpoint"/>
        <w:tabs>
          <w:tab w:val="num" w:pos="1418"/>
        </w:tabs>
        <w:ind w:left="1418" w:hanging="567"/>
      </w:pPr>
      <w:r>
        <w:t>are less sophisticated in marketing</w:t>
      </w:r>
      <w:r w:rsidR="00DC3A08">
        <w:t xml:space="preserve"> themselves to schools</w:t>
      </w:r>
      <w:r>
        <w:t xml:space="preserve">  and responding to tender requirements</w:t>
      </w:r>
    </w:p>
    <w:p w:rsidR="007C75BD" w:rsidRDefault="0077685D" w:rsidP="009B006B">
      <w:pPr>
        <w:pStyle w:val="Bulletpoint"/>
        <w:tabs>
          <w:tab w:val="num" w:pos="1418"/>
        </w:tabs>
        <w:ind w:left="1418" w:hanging="567"/>
      </w:pPr>
      <w:proofErr w:type="gramStart"/>
      <w:r>
        <w:t>do</w:t>
      </w:r>
      <w:proofErr w:type="gramEnd"/>
      <w:r>
        <w:t xml:space="preserve"> not offer the same level of</w:t>
      </w:r>
      <w:r w:rsidR="007C75BD">
        <w:t xml:space="preserve"> administration and customer</w:t>
      </w:r>
      <w:r w:rsidR="005F2789">
        <w:t>-</w:t>
      </w:r>
      <w:r w:rsidR="007C75BD">
        <w:t>management systems than the merger parties.</w:t>
      </w:r>
    </w:p>
    <w:p w:rsidR="007C75BD" w:rsidRDefault="007C75BD">
      <w:pPr>
        <w:pStyle w:val="Numbered"/>
      </w:pPr>
      <w:r>
        <w:t>Consistent with this, it appears to the ACCC that, within the growing externally-provided OSHC sector, competitors to the merger parties often have stagnant or falling market shares</w:t>
      </w:r>
      <w:r w:rsidR="0077685D">
        <w:t xml:space="preserve"> in an environment where, even while</w:t>
      </w:r>
      <w:r>
        <w:t xml:space="preserve"> they may be adding a net number of new sites</w:t>
      </w:r>
      <w:r w:rsidR="0077685D">
        <w:t>,</w:t>
      </w:r>
      <w:r>
        <w:t xml:space="preserve"> their share </w:t>
      </w:r>
      <w:r w:rsidR="0097251E">
        <w:t xml:space="preserve">or proportion </w:t>
      </w:r>
      <w:r>
        <w:t>of the expan</w:t>
      </w:r>
      <w:r w:rsidR="00F0175B">
        <w:t>ding market is flat or falling.</w:t>
      </w:r>
    </w:p>
    <w:p w:rsidR="007C75BD" w:rsidRDefault="007C75BD">
      <w:pPr>
        <w:pStyle w:val="Numbered"/>
      </w:pPr>
      <w:r>
        <w:t>The ACCC has been provided with figures, based on publicly available data, on net growth in sites of selected providers between November 2016 and July 2017, as follows:</w:t>
      </w:r>
    </w:p>
    <w:p w:rsidR="007C75BD" w:rsidRDefault="007C75BD" w:rsidP="00F0175B">
      <w:pPr>
        <w:pStyle w:val="TableHeading"/>
        <w:keepNext/>
        <w:pageBreakBefore/>
        <w:ind w:left="426"/>
      </w:pPr>
      <w:r>
        <w:t xml:space="preserve">Table </w:t>
      </w:r>
      <w:r w:rsidR="00A71174">
        <w:t>3</w:t>
      </w:r>
      <w:r>
        <w:t xml:space="preserve">: Recent expansion </w:t>
      </w:r>
      <w:r w:rsidR="00C13DFA">
        <w:t>of OSHC suppliers</w:t>
      </w:r>
      <w:r>
        <w:t xml:space="preserve"> – by site numbers</w:t>
      </w:r>
    </w:p>
    <w:tbl>
      <w:tblPr>
        <w:tblW w:w="8835" w:type="dxa"/>
        <w:tblBorders>
          <w:top w:val="single" w:sz="4" w:space="0" w:color="BFBFBF"/>
          <w:bottom w:val="single" w:sz="4" w:space="0" w:color="BFBFBF"/>
        </w:tblBorders>
        <w:tblLook w:val="04A0" w:firstRow="1" w:lastRow="0" w:firstColumn="1" w:lastColumn="0" w:noHBand="0" w:noVBand="1"/>
      </w:tblPr>
      <w:tblGrid>
        <w:gridCol w:w="4503"/>
        <w:gridCol w:w="4332"/>
      </w:tblGrid>
      <w:tr w:rsidR="007C75BD" w:rsidTr="00F0175B">
        <w:tc>
          <w:tcPr>
            <w:tcW w:w="4503" w:type="dxa"/>
            <w:tcBorders>
              <w:top w:val="single" w:sz="4" w:space="0" w:color="BFBFBF"/>
              <w:left w:val="nil"/>
              <w:bottom w:val="single" w:sz="4" w:space="0" w:color="BFBFBF"/>
              <w:right w:val="nil"/>
              <w:tl2br w:val="nil"/>
              <w:tr2bl w:val="nil"/>
            </w:tcBorders>
            <w:shd w:val="clear" w:color="auto" w:fill="auto"/>
          </w:tcPr>
          <w:p w:rsidR="007C75BD" w:rsidRPr="000E73DC" w:rsidRDefault="007C75BD" w:rsidP="00F0175B">
            <w:pPr>
              <w:pStyle w:val="Tabletext"/>
              <w:ind w:left="426"/>
            </w:pPr>
            <w:r w:rsidRPr="00873286">
              <w:t xml:space="preserve">Provider </w:t>
            </w:r>
          </w:p>
        </w:tc>
        <w:tc>
          <w:tcPr>
            <w:tcW w:w="4332" w:type="dxa"/>
            <w:tcBorders>
              <w:top w:val="single" w:sz="4" w:space="0" w:color="BFBFBF"/>
              <w:left w:val="nil"/>
              <w:bottom w:val="single" w:sz="4" w:space="0" w:color="BFBFBF"/>
              <w:right w:val="nil"/>
              <w:tl2br w:val="nil"/>
              <w:tr2bl w:val="nil"/>
            </w:tcBorders>
            <w:shd w:val="clear" w:color="auto" w:fill="auto"/>
          </w:tcPr>
          <w:p w:rsidR="007C75BD" w:rsidRPr="00873286" w:rsidRDefault="007C75BD" w:rsidP="00F0175B">
            <w:pPr>
              <w:pStyle w:val="Tabletext"/>
              <w:ind w:left="426"/>
            </w:pPr>
            <w:r w:rsidRPr="00873286">
              <w:t xml:space="preserve">Expansion Nov 2016-July 2017 </w:t>
            </w:r>
          </w:p>
        </w:tc>
      </w:tr>
      <w:tr w:rsidR="004D7B6F" w:rsidTr="00F0175B">
        <w:tc>
          <w:tcPr>
            <w:tcW w:w="4503" w:type="dxa"/>
            <w:shd w:val="clear" w:color="auto" w:fill="auto"/>
          </w:tcPr>
          <w:p w:rsidR="004D7B6F" w:rsidRPr="0039035E" w:rsidRDefault="004D7B6F" w:rsidP="00F0175B">
            <w:pPr>
              <w:pStyle w:val="Tabletext"/>
              <w:ind w:left="426"/>
            </w:pPr>
            <w:r>
              <w:t>Camp Australia</w:t>
            </w:r>
          </w:p>
        </w:tc>
        <w:tc>
          <w:tcPr>
            <w:tcW w:w="4332" w:type="dxa"/>
            <w:shd w:val="clear" w:color="auto" w:fill="auto"/>
          </w:tcPr>
          <w:p w:rsidR="004D7B6F" w:rsidRDefault="0041683E" w:rsidP="00F0175B">
            <w:pPr>
              <w:pStyle w:val="Tabletext"/>
              <w:ind w:left="426"/>
            </w:pPr>
            <w:r>
              <w:t>50-55</w:t>
            </w:r>
          </w:p>
        </w:tc>
      </w:tr>
      <w:tr w:rsidR="004D7B6F" w:rsidTr="00F0175B">
        <w:tc>
          <w:tcPr>
            <w:tcW w:w="4503" w:type="dxa"/>
            <w:shd w:val="clear" w:color="auto" w:fill="auto"/>
          </w:tcPr>
          <w:p w:rsidR="004D7B6F" w:rsidRPr="0039035E" w:rsidRDefault="004D7B6F" w:rsidP="00F0175B">
            <w:pPr>
              <w:pStyle w:val="Tabletext"/>
              <w:ind w:left="426"/>
            </w:pPr>
            <w:r>
              <w:t>Junior Adventures Group</w:t>
            </w:r>
          </w:p>
        </w:tc>
        <w:tc>
          <w:tcPr>
            <w:tcW w:w="4332" w:type="dxa"/>
            <w:shd w:val="clear" w:color="auto" w:fill="auto"/>
          </w:tcPr>
          <w:p w:rsidR="004D7B6F" w:rsidRDefault="0041683E" w:rsidP="00F0175B">
            <w:pPr>
              <w:pStyle w:val="Tabletext"/>
              <w:ind w:left="426"/>
            </w:pPr>
            <w:r>
              <w:t>15-20</w:t>
            </w:r>
          </w:p>
        </w:tc>
      </w:tr>
      <w:tr w:rsidR="004D7B6F" w:rsidTr="00F0175B">
        <w:tc>
          <w:tcPr>
            <w:tcW w:w="4503" w:type="dxa"/>
            <w:shd w:val="clear" w:color="auto" w:fill="auto"/>
          </w:tcPr>
          <w:p w:rsidR="004D7B6F" w:rsidRDefault="004D7B6F" w:rsidP="00F0175B">
            <w:pPr>
              <w:pStyle w:val="Tabletext"/>
              <w:ind w:left="426"/>
            </w:pPr>
            <w:r>
              <w:t>Team Holiday</w:t>
            </w:r>
          </w:p>
        </w:tc>
        <w:tc>
          <w:tcPr>
            <w:tcW w:w="4332" w:type="dxa"/>
            <w:shd w:val="clear" w:color="auto" w:fill="auto"/>
          </w:tcPr>
          <w:p w:rsidR="004D7B6F" w:rsidRDefault="0041683E" w:rsidP="00F0175B">
            <w:pPr>
              <w:pStyle w:val="Tabletext"/>
              <w:ind w:left="426"/>
            </w:pPr>
            <w:r>
              <w:t>5-10</w:t>
            </w:r>
          </w:p>
        </w:tc>
      </w:tr>
      <w:tr w:rsidR="0097251E" w:rsidTr="00F0175B">
        <w:tc>
          <w:tcPr>
            <w:tcW w:w="4503" w:type="dxa"/>
            <w:shd w:val="clear" w:color="auto" w:fill="auto"/>
          </w:tcPr>
          <w:p w:rsidR="0097251E" w:rsidRDefault="0097251E" w:rsidP="00F0175B">
            <w:pPr>
              <w:pStyle w:val="Tabletext"/>
              <w:ind w:left="426"/>
            </w:pPr>
            <w:r w:rsidRPr="0039035E">
              <w:t>YMCAs (all chapters)</w:t>
            </w:r>
          </w:p>
        </w:tc>
        <w:tc>
          <w:tcPr>
            <w:tcW w:w="4332" w:type="dxa"/>
            <w:shd w:val="clear" w:color="auto" w:fill="auto"/>
          </w:tcPr>
          <w:p w:rsidR="0097251E" w:rsidRDefault="0041683E" w:rsidP="00F0175B">
            <w:pPr>
              <w:pStyle w:val="Tabletext"/>
              <w:ind w:left="426"/>
            </w:pPr>
            <w:r>
              <w:t>5-10</w:t>
            </w:r>
          </w:p>
        </w:tc>
      </w:tr>
      <w:tr w:rsidR="0097251E" w:rsidTr="00F0175B">
        <w:tc>
          <w:tcPr>
            <w:tcW w:w="4503" w:type="dxa"/>
            <w:shd w:val="clear" w:color="auto" w:fill="auto"/>
          </w:tcPr>
          <w:p w:rsidR="0097251E" w:rsidRPr="0039035E" w:rsidRDefault="0097251E" w:rsidP="00F0175B">
            <w:pPr>
              <w:pStyle w:val="Tabletext"/>
              <w:ind w:left="426"/>
            </w:pPr>
            <w:proofErr w:type="spellStart"/>
            <w:r>
              <w:t>Centacare</w:t>
            </w:r>
            <w:proofErr w:type="spellEnd"/>
            <w:r>
              <w:t xml:space="preserve"> Brisbane (Catholic schools)</w:t>
            </w:r>
          </w:p>
        </w:tc>
        <w:tc>
          <w:tcPr>
            <w:tcW w:w="4332" w:type="dxa"/>
            <w:shd w:val="clear" w:color="auto" w:fill="auto"/>
          </w:tcPr>
          <w:p w:rsidR="0097251E" w:rsidRDefault="0041683E" w:rsidP="00F0175B">
            <w:pPr>
              <w:pStyle w:val="Tabletext"/>
              <w:ind w:left="426"/>
            </w:pPr>
            <w:r>
              <w:t>5-10</w:t>
            </w:r>
          </w:p>
        </w:tc>
      </w:tr>
      <w:tr w:rsidR="0097251E" w:rsidTr="00F0175B">
        <w:tc>
          <w:tcPr>
            <w:tcW w:w="4503" w:type="dxa"/>
            <w:shd w:val="clear" w:color="auto" w:fill="auto"/>
          </w:tcPr>
          <w:p w:rsidR="0097251E" w:rsidRPr="0039035E" w:rsidRDefault="0097251E" w:rsidP="00F0175B">
            <w:pPr>
              <w:pStyle w:val="Tabletext"/>
              <w:ind w:left="426"/>
            </w:pPr>
            <w:r w:rsidRPr="0039035E">
              <w:t>Extend</w:t>
            </w:r>
          </w:p>
        </w:tc>
        <w:tc>
          <w:tcPr>
            <w:tcW w:w="4332" w:type="dxa"/>
            <w:shd w:val="clear" w:color="auto" w:fill="auto"/>
          </w:tcPr>
          <w:p w:rsidR="0097251E" w:rsidRDefault="0041683E" w:rsidP="00F0175B">
            <w:pPr>
              <w:pStyle w:val="Tabletext"/>
              <w:ind w:left="426"/>
            </w:pPr>
            <w:r>
              <w:t>1-5</w:t>
            </w:r>
          </w:p>
        </w:tc>
      </w:tr>
      <w:tr w:rsidR="0097251E" w:rsidTr="00F0175B">
        <w:tc>
          <w:tcPr>
            <w:tcW w:w="4503" w:type="dxa"/>
            <w:shd w:val="clear" w:color="auto" w:fill="auto"/>
          </w:tcPr>
          <w:p w:rsidR="0097251E" w:rsidRDefault="0097251E" w:rsidP="00F0175B">
            <w:pPr>
              <w:pStyle w:val="Tabletext"/>
              <w:ind w:left="426"/>
            </w:pPr>
            <w:r w:rsidRPr="0039035E">
              <w:t>Sherpa Kids</w:t>
            </w:r>
            <w:r>
              <w:t xml:space="preserve"> (franchise network)</w:t>
            </w:r>
          </w:p>
        </w:tc>
        <w:tc>
          <w:tcPr>
            <w:tcW w:w="4332" w:type="dxa"/>
            <w:shd w:val="clear" w:color="auto" w:fill="auto"/>
          </w:tcPr>
          <w:p w:rsidR="0097251E" w:rsidRDefault="0041683E" w:rsidP="00F0175B">
            <w:pPr>
              <w:pStyle w:val="Tabletext"/>
              <w:ind w:left="426"/>
            </w:pPr>
            <w:r>
              <w:t>1-5</w:t>
            </w:r>
          </w:p>
        </w:tc>
      </w:tr>
      <w:tr w:rsidR="0097251E" w:rsidTr="00F0175B">
        <w:tc>
          <w:tcPr>
            <w:tcW w:w="4503" w:type="dxa"/>
            <w:shd w:val="clear" w:color="auto" w:fill="auto"/>
          </w:tcPr>
          <w:p w:rsidR="0097251E" w:rsidRDefault="0097251E" w:rsidP="00F0175B">
            <w:pPr>
              <w:pStyle w:val="Tabletext"/>
              <w:ind w:left="426"/>
            </w:pPr>
            <w:proofErr w:type="spellStart"/>
            <w:r>
              <w:t>PrimaryOSHCare</w:t>
            </w:r>
            <w:proofErr w:type="spellEnd"/>
          </w:p>
        </w:tc>
        <w:tc>
          <w:tcPr>
            <w:tcW w:w="4332" w:type="dxa"/>
            <w:shd w:val="clear" w:color="auto" w:fill="auto"/>
          </w:tcPr>
          <w:p w:rsidR="0097251E" w:rsidRDefault="0041683E" w:rsidP="00F0175B">
            <w:pPr>
              <w:pStyle w:val="Tabletext"/>
              <w:ind w:left="426"/>
            </w:pPr>
            <w:r>
              <w:t>1-5</w:t>
            </w:r>
          </w:p>
        </w:tc>
      </w:tr>
      <w:tr w:rsidR="0097251E" w:rsidTr="00F0175B">
        <w:tc>
          <w:tcPr>
            <w:tcW w:w="4503" w:type="dxa"/>
            <w:shd w:val="clear" w:color="auto" w:fill="auto"/>
          </w:tcPr>
          <w:p w:rsidR="0097251E" w:rsidRDefault="0097251E" w:rsidP="00F0175B">
            <w:pPr>
              <w:pStyle w:val="Tabletext"/>
              <w:ind w:left="426"/>
            </w:pPr>
            <w:r>
              <w:t>Mulberry Tree</w:t>
            </w:r>
          </w:p>
        </w:tc>
        <w:tc>
          <w:tcPr>
            <w:tcW w:w="4332" w:type="dxa"/>
            <w:shd w:val="clear" w:color="auto" w:fill="auto"/>
          </w:tcPr>
          <w:p w:rsidR="0097251E" w:rsidRDefault="0041683E" w:rsidP="00F0175B">
            <w:pPr>
              <w:pStyle w:val="Tabletext"/>
              <w:ind w:left="426"/>
            </w:pPr>
            <w:r>
              <w:t>1-5</w:t>
            </w:r>
          </w:p>
        </w:tc>
      </w:tr>
    </w:tbl>
    <w:p w:rsidR="007C75BD" w:rsidRDefault="0097251E">
      <w:pPr>
        <w:pStyle w:val="Numbered"/>
      </w:pPr>
      <w:r>
        <w:t>B</w:t>
      </w:r>
      <w:r w:rsidR="007C75BD">
        <w:t xml:space="preserve">ased on recent publicly available </w:t>
      </w:r>
      <w:r>
        <w:t>information</w:t>
      </w:r>
      <w:r w:rsidR="007C75BD">
        <w:t xml:space="preserve">, the </w:t>
      </w:r>
      <w:r w:rsidR="00E90DAB">
        <w:t xml:space="preserve">OSHC </w:t>
      </w:r>
      <w:r w:rsidR="007C75BD">
        <w:t xml:space="preserve">industry appears to be growing at about 5 per cent a year by site numbers. </w:t>
      </w:r>
      <w:r w:rsidR="00DA6A72">
        <w:t>Based on market inquiries, the ACCC understands that the merger parties have grown at rates significantly exceeding 5 per cent a year in recent years.</w:t>
      </w:r>
    </w:p>
    <w:p w:rsidR="007C75BD" w:rsidRDefault="007C75BD">
      <w:pPr>
        <w:pStyle w:val="Numbered"/>
        <w:rPr>
          <w:lang w:eastAsia="en-AU"/>
        </w:rPr>
      </w:pPr>
      <w:r>
        <w:rPr>
          <w:lang w:eastAsia="en-AU"/>
        </w:rPr>
        <w:t xml:space="preserve">This </w:t>
      </w:r>
      <w:r w:rsidR="0077685D">
        <w:rPr>
          <w:lang w:eastAsia="en-AU"/>
        </w:rPr>
        <w:t>may indicate</w:t>
      </w:r>
      <w:r>
        <w:rPr>
          <w:lang w:eastAsia="en-AU"/>
        </w:rPr>
        <w:t xml:space="preserve"> that not only are the merger parties significantly bigger than their competitors at present, but they are growing at a faster rate than their competitors</w:t>
      </w:r>
      <w:r w:rsidR="00E90DAB">
        <w:rPr>
          <w:lang w:eastAsia="en-AU"/>
        </w:rPr>
        <w:t>,</w:t>
      </w:r>
      <w:r>
        <w:rPr>
          <w:lang w:eastAsia="en-AU"/>
        </w:rPr>
        <w:t xml:space="preserve"> in terms of site numbers</w:t>
      </w:r>
      <w:r w:rsidR="00E90DAB">
        <w:rPr>
          <w:lang w:eastAsia="en-AU"/>
        </w:rPr>
        <w:t>.</w:t>
      </w:r>
    </w:p>
    <w:p w:rsidR="007C75BD" w:rsidRDefault="007C75BD">
      <w:pPr>
        <w:pStyle w:val="Numbered"/>
        <w:rPr>
          <w:lang w:eastAsia="en-AU"/>
        </w:rPr>
      </w:pPr>
      <w:r>
        <w:rPr>
          <w:lang w:eastAsia="en-AU"/>
        </w:rPr>
        <w:t xml:space="preserve">Some market participants have described the industry as currently being in a </w:t>
      </w:r>
      <w:r w:rsidR="00160328">
        <w:rPr>
          <w:lang w:eastAsia="en-AU"/>
        </w:rPr>
        <w:t xml:space="preserve">phase of rapid expansion </w:t>
      </w:r>
      <w:r>
        <w:rPr>
          <w:lang w:eastAsia="en-AU"/>
        </w:rPr>
        <w:t>for the major external OSHC providers</w:t>
      </w:r>
      <w:r w:rsidR="0077685D">
        <w:rPr>
          <w:lang w:eastAsia="en-AU"/>
        </w:rPr>
        <w:t>.</w:t>
      </w:r>
      <w:r>
        <w:rPr>
          <w:lang w:eastAsia="en-AU"/>
        </w:rPr>
        <w:t xml:space="preserve"> The merger parties appear to be the most successful parties in this </w:t>
      </w:r>
      <w:r w:rsidR="008E24F9">
        <w:rPr>
          <w:lang w:eastAsia="en-AU"/>
        </w:rPr>
        <w:t xml:space="preserve">growth </w:t>
      </w:r>
      <w:r>
        <w:rPr>
          <w:lang w:eastAsia="en-AU"/>
        </w:rPr>
        <w:t>phase</w:t>
      </w:r>
      <w:r w:rsidR="008E24F9">
        <w:rPr>
          <w:lang w:eastAsia="en-AU"/>
        </w:rPr>
        <w:t>, growing significantly at the expense of small operators, and to a much greater extent than other commercial operators</w:t>
      </w:r>
      <w:r>
        <w:rPr>
          <w:lang w:eastAsia="en-AU"/>
        </w:rPr>
        <w:t xml:space="preserve">. </w:t>
      </w:r>
    </w:p>
    <w:p w:rsidR="00A32474" w:rsidRDefault="00A32474">
      <w:pPr>
        <w:pStyle w:val="Numbered"/>
        <w:rPr>
          <w:lang w:eastAsia="en-AU"/>
        </w:rPr>
      </w:pPr>
      <w:r>
        <w:t xml:space="preserve">The ACCC has identified that there are providers of OSHC affiliated with a specific sub-set of schools.  For example, Catholic support service </w:t>
      </w:r>
      <w:proofErr w:type="spellStart"/>
      <w:r>
        <w:t>Centacare</w:t>
      </w:r>
      <w:proofErr w:type="spellEnd"/>
      <w:r>
        <w:t>, the fourth-largest OSHC provider in Australia by site numbers at about 120 sites, manages OSHC services in the Archdiocese of Brisbane by agreement with Catholic parishes and Brisbane Catholic Education.</w:t>
      </w:r>
      <w:r>
        <w:rPr>
          <w:rStyle w:val="FootnoteReference"/>
        </w:rPr>
        <w:footnoteReference w:id="18"/>
      </w:r>
      <w:r>
        <w:t xml:space="preserve"> About 120 Catholic schools, almost all in Queensland, use </w:t>
      </w:r>
      <w:proofErr w:type="spellStart"/>
      <w:r>
        <w:t>Centacare</w:t>
      </w:r>
      <w:proofErr w:type="spellEnd"/>
      <w:r>
        <w:t xml:space="preserve"> as its onsite OSHC provider.</w:t>
      </w:r>
      <w:r w:rsidRPr="006F5351">
        <w:t xml:space="preserve"> </w:t>
      </w:r>
      <w:r>
        <w:t xml:space="preserve">There are also other Catholic and Lutheran systems in Queensland, NSW and SA serving a significant number of schools. The ACCC is still assessing the extent to which such providers are a competitive constraint on Camp Australia and JAG in supplying schools outside of the specific sub-set of schools they focus on, and the extent to which schools within those sub-sets are contestable for commercial providers such as Camp Australia and JAG.  </w:t>
      </w:r>
    </w:p>
    <w:p w:rsidR="0062465D" w:rsidRDefault="0062465D" w:rsidP="00EB3784">
      <w:pPr>
        <w:pStyle w:val="Heading4"/>
        <w:keepNext/>
        <w:numPr>
          <w:ilvl w:val="0"/>
          <w:numId w:val="0"/>
        </w:numPr>
      </w:pPr>
      <w:r>
        <w:t>Western Australia and Victoria</w:t>
      </w:r>
    </w:p>
    <w:p w:rsidR="007C75BD" w:rsidRDefault="00BD0F36">
      <w:pPr>
        <w:pStyle w:val="Numbered"/>
      </w:pPr>
      <w:r>
        <w:t>T</w:t>
      </w:r>
      <w:r w:rsidR="007C75BD">
        <w:t>he ACCC notes that</w:t>
      </w:r>
      <w:r w:rsidR="00FE5760">
        <w:t xml:space="preserve">, </w:t>
      </w:r>
      <w:r w:rsidR="00B25633">
        <w:t>t</w:t>
      </w:r>
      <w:r w:rsidR="007C75BD" w:rsidRPr="00FE5760">
        <w:t>he levels of concentration associated with the merger are most acute in WA and Victoria, where the merger parties’ combined share of sites would be highest.</w:t>
      </w:r>
      <w:r>
        <w:t xml:space="preserve"> </w:t>
      </w:r>
      <w:r w:rsidRPr="00BD0F36">
        <w:t>In line with this high market share, the ACCC has received a large number of complaints in relation to Victoria and Western Australia.</w:t>
      </w:r>
    </w:p>
    <w:p w:rsidR="00327EDF" w:rsidRPr="00FE5760" w:rsidRDefault="00327EDF">
      <w:pPr>
        <w:pStyle w:val="Heading4"/>
        <w:numPr>
          <w:ilvl w:val="0"/>
          <w:numId w:val="0"/>
        </w:numPr>
      </w:pPr>
      <w:r>
        <w:t>Queensland</w:t>
      </w:r>
    </w:p>
    <w:p w:rsidR="00BD0F36" w:rsidRDefault="00BD0F36">
      <w:pPr>
        <w:pStyle w:val="Numbered"/>
      </w:pPr>
      <w:r>
        <w:t xml:space="preserve">Competition in Queensland from other </w:t>
      </w:r>
      <w:r w:rsidR="0094772E">
        <w:t>before and after school-care</w:t>
      </w:r>
      <w:r>
        <w:t xml:space="preserve"> providers appears stronger on its face</w:t>
      </w:r>
      <w:r w:rsidR="0094772E">
        <w:t xml:space="preserve"> than in WA and Victoria</w:t>
      </w:r>
      <w:r>
        <w:t>, due to the size and reputation of both the PCYC and YMCA branches in Queensland.</w:t>
      </w:r>
    </w:p>
    <w:p w:rsidR="00BD0F36" w:rsidRDefault="00BD0F36">
      <w:pPr>
        <w:pStyle w:val="Numbered"/>
      </w:pPr>
      <w:r>
        <w:t>PCYC and YMCA appear to have well established connections with many schools in Queensland. The ACCC is continuing to investigate the level of constraint they will provide on the merger parties after the proposed acquisition.</w:t>
      </w:r>
    </w:p>
    <w:p w:rsidR="00BD0F36" w:rsidRDefault="00BD0F36">
      <w:pPr>
        <w:pStyle w:val="Numbered"/>
      </w:pPr>
      <w:r>
        <w:t xml:space="preserve">The ACCC notes that </w:t>
      </w:r>
      <w:r w:rsidR="0094772E">
        <w:t>E</w:t>
      </w:r>
      <w:r>
        <w:t>xtend, the third largest for-profit provider nationally, has managed to secure only 3 sites in Queensland. Information the ACCC has received suggests that businesses based outside of Queensland have struggled to gain schools in Queensland.</w:t>
      </w:r>
    </w:p>
    <w:p w:rsidR="0077685D" w:rsidRDefault="0077685D">
      <w:pPr>
        <w:pStyle w:val="Numbered"/>
      </w:pPr>
      <w:r>
        <w:t xml:space="preserve">The ACCC is also investigating the position of Catholic support service </w:t>
      </w:r>
      <w:proofErr w:type="spellStart"/>
      <w:r>
        <w:t>Centacare</w:t>
      </w:r>
      <w:proofErr w:type="spellEnd"/>
      <w:r>
        <w:t>.</w:t>
      </w:r>
    </w:p>
    <w:p w:rsidR="00327EDF" w:rsidRDefault="00327EDF">
      <w:pPr>
        <w:pStyle w:val="Heading4"/>
        <w:numPr>
          <w:ilvl w:val="0"/>
          <w:numId w:val="0"/>
        </w:numPr>
      </w:pPr>
      <w:r>
        <w:t>New South Wales</w:t>
      </w:r>
    </w:p>
    <w:p w:rsidR="00FE5760" w:rsidRDefault="007C75BD">
      <w:pPr>
        <w:pStyle w:val="Numbered"/>
      </w:pPr>
      <w:r>
        <w:t>In late 2016</w:t>
      </w:r>
      <w:r w:rsidR="00AC27D5">
        <w:t>,</w:t>
      </w:r>
      <w:r>
        <w:t xml:space="preserve"> the NSW Department of Education Early Childhood Directorate banned Camp Australia </w:t>
      </w:r>
      <w:r w:rsidRPr="00580016">
        <w:t>from tendering for new contracts and renewing existing contracts at government schools in NSW</w:t>
      </w:r>
      <w:r>
        <w:t xml:space="preserve"> for failing to meet quality requirements</w:t>
      </w:r>
      <w:r w:rsidRPr="00580016">
        <w:t>.</w:t>
      </w:r>
      <w:r>
        <w:t xml:space="preserve"> The ACCC understands that Camp Australia is seeking to have this ban removed and is also still tendering for independent and Catholic schools. It is unclear to the ACCC at this stage if and when Camp Australia will be able to bid again for new </w:t>
      </w:r>
      <w:r w:rsidR="00C11BBC">
        <w:t xml:space="preserve">contracts </w:t>
      </w:r>
      <w:r>
        <w:t xml:space="preserve">and </w:t>
      </w:r>
      <w:r w:rsidR="00C11BBC">
        <w:t xml:space="preserve">contract renewals </w:t>
      </w:r>
      <w:r>
        <w:t>in NSW schools.</w:t>
      </w:r>
    </w:p>
    <w:p w:rsidR="00ED3400" w:rsidRDefault="006449B6">
      <w:pPr>
        <w:pStyle w:val="Numbered"/>
      </w:pPr>
      <w:r>
        <w:t xml:space="preserve">On the face of things, the NSW market currently appears quite fragmented, with hundreds of small providers. </w:t>
      </w:r>
      <w:r w:rsidR="00023B25">
        <w:t>The merger parties also have a lesser share of the market (by sites) in NSW than they do in Victoria or WA. However, the ACCC has still received significant numbers of complaints about the impact of the proposed acquisition on NSW during market inquiries.</w:t>
      </w:r>
    </w:p>
    <w:p w:rsidR="00327EDF" w:rsidRDefault="00327EDF">
      <w:pPr>
        <w:pStyle w:val="Heading4"/>
        <w:numPr>
          <w:ilvl w:val="0"/>
          <w:numId w:val="0"/>
        </w:numPr>
      </w:pPr>
      <w:r>
        <w:t>South Australia</w:t>
      </w:r>
    </w:p>
    <w:p w:rsidR="00ED3400" w:rsidRDefault="00291445">
      <w:pPr>
        <w:pStyle w:val="Numbered"/>
      </w:pPr>
      <w:r>
        <w:t>South Australia</w:t>
      </w:r>
      <w:r w:rsidR="00ED3400">
        <w:t xml:space="preserve"> is a relatively immature market for third-party OSHC providers. U</w:t>
      </w:r>
      <w:r w:rsidR="00ED3400" w:rsidRPr="002F02D7">
        <w:t>ntil 2014, government schools in S</w:t>
      </w:r>
      <w:r w:rsidR="00ED3400">
        <w:t>A</w:t>
      </w:r>
      <w:r w:rsidR="00ED3400" w:rsidRPr="002F02D7">
        <w:t xml:space="preserve"> were required by the </w:t>
      </w:r>
      <w:r>
        <w:t>state</w:t>
      </w:r>
      <w:r w:rsidRPr="002F02D7">
        <w:t xml:space="preserve"> </w:t>
      </w:r>
      <w:r w:rsidR="00ED3400" w:rsidRPr="002F02D7">
        <w:t>government to run their OSHC services in-house.</w:t>
      </w:r>
      <w:r w:rsidR="00ED3400">
        <w:t xml:space="preserve"> Currently, about half of SA services are still in-house. Both Camp Australia and JAG have operations in SA in what is arguably a ‘greenfield’ market where demand from schools to move to outsource their </w:t>
      </w:r>
      <w:r w:rsidR="00900730">
        <w:t xml:space="preserve">before and after-school care </w:t>
      </w:r>
      <w:r w:rsidR="00ED3400">
        <w:t>could be high. JAG has a much smaller number of sites in SA than Camp Australia and might be expected to have the incentive to seek to expand there, if it were not to merge with Camp Australia.</w:t>
      </w:r>
    </w:p>
    <w:p w:rsidR="00327EDF" w:rsidRDefault="00327EDF" w:rsidP="00EB3784">
      <w:pPr>
        <w:pStyle w:val="Heading4"/>
        <w:keepNext/>
        <w:numPr>
          <w:ilvl w:val="0"/>
          <w:numId w:val="0"/>
        </w:numPr>
      </w:pPr>
      <w:r>
        <w:t>Australian Capital Territory</w:t>
      </w:r>
    </w:p>
    <w:p w:rsidR="007C75BD" w:rsidRDefault="00291445">
      <w:pPr>
        <w:pStyle w:val="Numbered"/>
      </w:pPr>
      <w:r>
        <w:t>T</w:t>
      </w:r>
      <w:r w:rsidR="007057AA">
        <w:t xml:space="preserve">he ACT </w:t>
      </w:r>
      <w:r>
        <w:t xml:space="preserve">also </w:t>
      </w:r>
      <w:r w:rsidR="007057AA">
        <w:t>appears to be a fragmented market, if assessed by the number of sites.</w:t>
      </w:r>
      <w:r w:rsidR="00ED3400">
        <w:t xml:space="preserve"> </w:t>
      </w:r>
      <w:r w:rsidR="00E451F5">
        <w:t xml:space="preserve">Accordingly, the ACCC’s current view is that the impact of the proposed acquisition is likely to be less significant in the ACT than in other parts of Australia. </w:t>
      </w:r>
      <w:r w:rsidR="007057AA">
        <w:t>However, the ACCC has been provided with information indicating that the typical number of licensed places at the four services each that Camp Australia</w:t>
      </w:r>
      <w:r w:rsidR="00ED3400">
        <w:t xml:space="preserve"> </w:t>
      </w:r>
      <w:r w:rsidR="007057AA">
        <w:t xml:space="preserve">and JAG operate there are higher than those of, for example, YMCA, which is operating 15 sites. </w:t>
      </w:r>
    </w:p>
    <w:p w:rsidR="007C75BD" w:rsidRDefault="007C75BD">
      <w:pPr>
        <w:pStyle w:val="commentbox"/>
        <w:numPr>
          <w:ilvl w:val="0"/>
          <w:numId w:val="0"/>
        </w:numPr>
        <w:ind w:left="142"/>
      </w:pPr>
      <w:r w:rsidRPr="00435712">
        <w:t>The ACCC invites comments on</w:t>
      </w:r>
      <w:r>
        <w:t xml:space="preserve"> t</w:t>
      </w:r>
      <w:r w:rsidRPr="00ED5096">
        <w:t xml:space="preserve">he constraint other providers place on Camp Australia and JAG and would be likely to place on a merged firm, in each </w:t>
      </w:r>
      <w:r w:rsidR="00811E3E">
        <w:t>s</w:t>
      </w:r>
      <w:r w:rsidR="00811E3E" w:rsidRPr="00ED5096">
        <w:t xml:space="preserve">tate </w:t>
      </w:r>
      <w:r w:rsidRPr="00ED5096">
        <w:t xml:space="preserve">and </w:t>
      </w:r>
      <w:r w:rsidR="00F0377D">
        <w:t>territory</w:t>
      </w:r>
      <w:r w:rsidR="002A0E7C">
        <w:t>.</w:t>
      </w:r>
    </w:p>
    <w:p w:rsidR="007C75BD" w:rsidRDefault="007C75BD" w:rsidP="007C75BD">
      <w:pPr>
        <w:pStyle w:val="Heading3"/>
      </w:pPr>
      <w:r>
        <w:t>Barriers to entry / expansion</w:t>
      </w:r>
    </w:p>
    <w:p w:rsidR="00DF16DA" w:rsidRDefault="00DF16DA">
      <w:pPr>
        <w:pStyle w:val="Numbered"/>
      </w:pPr>
      <w:r w:rsidRPr="00DF16DA">
        <w:t xml:space="preserve">The merger parties have submitted that barriers to entry and expansion in the </w:t>
      </w:r>
      <w:r>
        <w:t xml:space="preserve">industry </w:t>
      </w:r>
      <w:r w:rsidRPr="00DF16DA">
        <w:t xml:space="preserve">are low, and that there are many examples of new entry and of smaller players growing. It appears that the costs and time required to establish a new </w:t>
      </w:r>
      <w:r>
        <w:t>before and after-school care</w:t>
      </w:r>
      <w:r w:rsidRPr="00DF16DA">
        <w:t xml:space="preserve"> provider are often not particularly significant.</w:t>
      </w:r>
    </w:p>
    <w:p w:rsidR="00226AF7" w:rsidRDefault="007C75BD">
      <w:pPr>
        <w:pStyle w:val="Numbered"/>
      </w:pPr>
      <w:r>
        <w:t xml:space="preserve">While the ACCC acknowledges the recent entry of new players into the industry, it also notes that these firms are yet to establish themselves as viable ongoing competitive organisations, and their current market impact is limited. </w:t>
      </w:r>
    </w:p>
    <w:p w:rsidR="007C75BD" w:rsidRDefault="00443646">
      <w:pPr>
        <w:pStyle w:val="Numbered"/>
      </w:pPr>
      <w:r>
        <w:t>Overall,</w:t>
      </w:r>
      <w:r w:rsidR="007C75BD">
        <w:t xml:space="preserve"> the ACCC is concerned that new entrants would not be sufficiently competitive, and new entry would not be on a sufficient scale, to act as an equally strong competitive constraint on the merged entity as the merger parties </w:t>
      </w:r>
      <w:r w:rsidR="00AC27D5">
        <w:t xml:space="preserve">currently </w:t>
      </w:r>
      <w:r w:rsidR="007C75BD">
        <w:t>are to each other.</w:t>
      </w:r>
    </w:p>
    <w:p w:rsidR="007C75BD" w:rsidRDefault="007C75BD">
      <w:pPr>
        <w:pStyle w:val="Numbered"/>
      </w:pPr>
      <w:r>
        <w:t xml:space="preserve">Market inquiries have revealed various factors that hinder or prevent the expansion of smaller suppliers and limit the constraint that potential new entrants exert on existing </w:t>
      </w:r>
      <w:r w:rsidR="004D197C">
        <w:t xml:space="preserve">before and after-school care </w:t>
      </w:r>
      <w:r>
        <w:t>suppliers. At this stage, these factors have been identified as:</w:t>
      </w:r>
    </w:p>
    <w:p w:rsidR="007C75BD" w:rsidRDefault="007C75BD" w:rsidP="00DA65FA">
      <w:pPr>
        <w:pStyle w:val="ABCList"/>
        <w:numPr>
          <w:ilvl w:val="0"/>
          <w:numId w:val="37"/>
        </w:numPr>
        <w:ind w:left="1418" w:hanging="425"/>
      </w:pPr>
      <w:r>
        <w:t>Customers tend to be ‘sticky’, which provides a strong advantage to incumbent suppliers over new entrants:</w:t>
      </w:r>
    </w:p>
    <w:p w:rsidR="007C75BD" w:rsidRPr="00916F55" w:rsidRDefault="007C75BD" w:rsidP="00DA65FA">
      <w:pPr>
        <w:numPr>
          <w:ilvl w:val="0"/>
          <w:numId w:val="34"/>
        </w:numPr>
        <w:spacing w:before="240" w:after="120"/>
        <w:rPr>
          <w:rFonts w:ascii="Arial" w:hAnsi="Arial" w:cs="Arial"/>
          <w:sz w:val="22"/>
          <w:szCs w:val="22"/>
        </w:rPr>
      </w:pPr>
      <w:r w:rsidRPr="00916F55">
        <w:rPr>
          <w:rFonts w:ascii="Arial" w:hAnsi="Arial" w:cs="Arial"/>
          <w:sz w:val="22"/>
          <w:szCs w:val="22"/>
        </w:rPr>
        <w:t xml:space="preserve">Some of this ‘stickiness’ has been the result of contractual provisions. The ACCC </w:t>
      </w:r>
      <w:r w:rsidR="00263270" w:rsidRPr="00916F55">
        <w:rPr>
          <w:rFonts w:ascii="Arial" w:hAnsi="Arial" w:cs="Arial"/>
          <w:sz w:val="22"/>
          <w:szCs w:val="22"/>
        </w:rPr>
        <w:t xml:space="preserve">is aware of </w:t>
      </w:r>
      <w:r w:rsidRPr="00916F55">
        <w:rPr>
          <w:rFonts w:ascii="Arial" w:hAnsi="Arial" w:cs="Arial"/>
          <w:sz w:val="22"/>
          <w:szCs w:val="22"/>
        </w:rPr>
        <w:t>Camp Australia invoking rights to renew, in its favour, in contracts with schools, making it more difficult for schools to change providers. This issue ma</w:t>
      </w:r>
      <w:r w:rsidR="00BA5AD8" w:rsidRPr="00916F55">
        <w:rPr>
          <w:rFonts w:ascii="Arial" w:hAnsi="Arial" w:cs="Arial"/>
          <w:sz w:val="22"/>
          <w:szCs w:val="22"/>
        </w:rPr>
        <w:t>y be receding, particularly in s</w:t>
      </w:r>
      <w:r w:rsidRPr="00916F55">
        <w:rPr>
          <w:rFonts w:ascii="Arial" w:hAnsi="Arial" w:cs="Arial"/>
          <w:sz w:val="22"/>
          <w:szCs w:val="22"/>
        </w:rPr>
        <w:t xml:space="preserve">tate schools, as they can increasingly take advantage of template contracts provided by </w:t>
      </w:r>
      <w:r w:rsidR="00BA5AD8" w:rsidRPr="00916F55">
        <w:rPr>
          <w:rFonts w:ascii="Arial" w:hAnsi="Arial" w:cs="Arial"/>
          <w:sz w:val="22"/>
          <w:szCs w:val="22"/>
        </w:rPr>
        <w:t>s</w:t>
      </w:r>
      <w:r w:rsidRPr="00916F55">
        <w:rPr>
          <w:rFonts w:ascii="Arial" w:hAnsi="Arial" w:cs="Arial"/>
          <w:sz w:val="22"/>
          <w:szCs w:val="22"/>
        </w:rPr>
        <w:t>tate education departments. However, the ACCC received many accounts of problems with renewal clauses.</w:t>
      </w:r>
    </w:p>
    <w:p w:rsidR="007C75BD" w:rsidRPr="00916F55" w:rsidRDefault="007C75BD" w:rsidP="00DA65FA">
      <w:pPr>
        <w:numPr>
          <w:ilvl w:val="0"/>
          <w:numId w:val="34"/>
        </w:numPr>
        <w:spacing w:before="240" w:after="120"/>
        <w:ind w:left="2001" w:hanging="357"/>
        <w:rPr>
          <w:rFonts w:ascii="Arial" w:hAnsi="Arial" w:cs="Arial"/>
          <w:sz w:val="22"/>
          <w:szCs w:val="22"/>
        </w:rPr>
      </w:pPr>
      <w:r w:rsidRPr="00916F55">
        <w:rPr>
          <w:rFonts w:ascii="Arial" w:hAnsi="Arial" w:cs="Arial"/>
          <w:sz w:val="22"/>
          <w:szCs w:val="22"/>
        </w:rPr>
        <w:t>The ‘stickiness’ is also cause</w:t>
      </w:r>
      <w:r w:rsidR="00D603D1" w:rsidRPr="00916F55">
        <w:rPr>
          <w:rFonts w:ascii="Arial" w:hAnsi="Arial" w:cs="Arial"/>
          <w:sz w:val="22"/>
          <w:szCs w:val="22"/>
        </w:rPr>
        <w:t>d</w:t>
      </w:r>
      <w:r w:rsidRPr="00916F55">
        <w:rPr>
          <w:rFonts w:ascii="Arial" w:hAnsi="Arial" w:cs="Arial"/>
          <w:sz w:val="22"/>
          <w:szCs w:val="22"/>
        </w:rPr>
        <w:t xml:space="preserve"> by a reluctance on the part of schools to change providers. The ACCC understands that most schools are unlikely to switch providers unless there have been major deficiencies in services. For a school to switch providers, it is likely to have to run a tender. To renew a contract with an incumbent, it may not have to do so, including because the contract may provide for extensions. However, the ACCC notes that in many jurisdictions, </w:t>
      </w:r>
      <w:r w:rsidR="00BA5AD8" w:rsidRPr="00916F55">
        <w:rPr>
          <w:rFonts w:ascii="Arial" w:hAnsi="Arial" w:cs="Arial"/>
          <w:sz w:val="22"/>
          <w:szCs w:val="22"/>
        </w:rPr>
        <w:t>s</w:t>
      </w:r>
      <w:r w:rsidRPr="00916F55">
        <w:rPr>
          <w:rFonts w:ascii="Arial" w:hAnsi="Arial" w:cs="Arial"/>
          <w:sz w:val="22"/>
          <w:szCs w:val="22"/>
        </w:rPr>
        <w:t xml:space="preserve">tate schools in particular are required to go to tender, including at certain time intervals. </w:t>
      </w:r>
    </w:p>
    <w:p w:rsidR="007C75BD" w:rsidRDefault="007C75BD" w:rsidP="00DA65FA">
      <w:pPr>
        <w:pStyle w:val="ABCList"/>
        <w:numPr>
          <w:ilvl w:val="0"/>
          <w:numId w:val="37"/>
        </w:numPr>
        <w:ind w:left="1418" w:hanging="425"/>
      </w:pPr>
      <w:r>
        <w:t xml:space="preserve">Cost advantages </w:t>
      </w:r>
      <w:r w:rsidR="0057290A">
        <w:t xml:space="preserve">said to be </w:t>
      </w:r>
      <w:r>
        <w:t>held by established providers over new entrants</w:t>
      </w:r>
      <w:r w:rsidR="0057290A">
        <w:t>. The ACCC is investigating these further</w:t>
      </w:r>
      <w:r>
        <w:t>:</w:t>
      </w:r>
    </w:p>
    <w:p w:rsidR="007C75BD" w:rsidRPr="00DA65FA" w:rsidRDefault="007C75BD" w:rsidP="00DA65FA">
      <w:pPr>
        <w:numPr>
          <w:ilvl w:val="0"/>
          <w:numId w:val="38"/>
        </w:numPr>
        <w:spacing w:before="240" w:after="120"/>
        <w:rPr>
          <w:rFonts w:ascii="Arial" w:hAnsi="Arial" w:cs="Arial"/>
          <w:sz w:val="22"/>
          <w:szCs w:val="22"/>
        </w:rPr>
      </w:pPr>
      <w:r w:rsidRPr="00DA65FA">
        <w:rPr>
          <w:rFonts w:ascii="Arial" w:hAnsi="Arial" w:cs="Arial"/>
          <w:sz w:val="22"/>
          <w:szCs w:val="22"/>
        </w:rPr>
        <w:t xml:space="preserve">The ACCC understands that there are economies of scale in operating an OSHC organisation. These come from spreading costs / overheads on such things as food purchasing and distribution, regulatory compliance, information technology / customer management, area </w:t>
      </w:r>
      <w:r w:rsidRPr="00916F55">
        <w:rPr>
          <w:rFonts w:ascii="Arial" w:hAnsi="Arial" w:cs="Arial"/>
          <w:sz w:val="22"/>
          <w:szCs w:val="22"/>
        </w:rPr>
        <w:t>management</w:t>
      </w:r>
      <w:r w:rsidRPr="00DA65FA">
        <w:rPr>
          <w:rFonts w:ascii="Arial" w:hAnsi="Arial" w:cs="Arial"/>
          <w:sz w:val="22"/>
          <w:szCs w:val="22"/>
        </w:rPr>
        <w:t xml:space="preserve"> and marketing. The proposed merger is likely to increase the scale ‘gap’ between Camp Australia-JAG and other providers in the industry. </w:t>
      </w:r>
    </w:p>
    <w:p w:rsidR="007C75BD" w:rsidRPr="00DA65FA" w:rsidRDefault="007C75BD" w:rsidP="00DA65FA">
      <w:pPr>
        <w:numPr>
          <w:ilvl w:val="0"/>
          <w:numId w:val="38"/>
        </w:numPr>
        <w:spacing w:before="240" w:after="120"/>
        <w:ind w:left="2001" w:hanging="357"/>
        <w:rPr>
          <w:rFonts w:ascii="Arial" w:hAnsi="Arial" w:cs="Arial"/>
          <w:sz w:val="22"/>
          <w:szCs w:val="22"/>
        </w:rPr>
      </w:pPr>
      <w:r w:rsidRPr="00DA65FA">
        <w:rPr>
          <w:rFonts w:ascii="Arial" w:hAnsi="Arial" w:cs="Arial"/>
          <w:sz w:val="22"/>
          <w:szCs w:val="22"/>
        </w:rPr>
        <w:t xml:space="preserve">As discussed earlier in this paper, the ACCC also understands that there </w:t>
      </w:r>
      <w:r w:rsidR="0057290A" w:rsidRPr="00DA65FA">
        <w:rPr>
          <w:rFonts w:ascii="Arial" w:hAnsi="Arial" w:cs="Arial"/>
          <w:sz w:val="22"/>
          <w:szCs w:val="22"/>
        </w:rPr>
        <w:t xml:space="preserve">may be </w:t>
      </w:r>
      <w:r w:rsidRPr="00DA65FA">
        <w:rPr>
          <w:rFonts w:ascii="Arial" w:hAnsi="Arial" w:cs="Arial"/>
          <w:sz w:val="22"/>
          <w:szCs w:val="22"/>
        </w:rPr>
        <w:t xml:space="preserve">economies of density in the supply of services. Established suppliers with </w:t>
      </w:r>
      <w:r w:rsidRPr="00916F55">
        <w:rPr>
          <w:rFonts w:ascii="Arial" w:hAnsi="Arial" w:cs="Arial"/>
          <w:sz w:val="22"/>
          <w:szCs w:val="22"/>
        </w:rPr>
        <w:t>an</w:t>
      </w:r>
      <w:r w:rsidRPr="00DA65FA">
        <w:rPr>
          <w:rFonts w:ascii="Arial" w:hAnsi="Arial" w:cs="Arial"/>
          <w:sz w:val="22"/>
          <w:szCs w:val="22"/>
        </w:rPr>
        <w:t xml:space="preserve"> existing presence in a region c</w:t>
      </w:r>
      <w:r w:rsidR="0057290A" w:rsidRPr="00DA65FA">
        <w:rPr>
          <w:rFonts w:ascii="Arial" w:hAnsi="Arial" w:cs="Arial"/>
          <w:sz w:val="22"/>
          <w:szCs w:val="22"/>
        </w:rPr>
        <w:t>ould</w:t>
      </w:r>
      <w:r w:rsidRPr="00DA65FA">
        <w:rPr>
          <w:rFonts w:ascii="Arial" w:hAnsi="Arial" w:cs="Arial"/>
          <w:sz w:val="22"/>
          <w:szCs w:val="22"/>
        </w:rPr>
        <w:t xml:space="preserve"> take advantage of those economies when bidding for another site in that area. This is not the case for a new entrant (</w:t>
      </w:r>
      <w:r w:rsidR="00AB79D3" w:rsidRPr="00DA65FA">
        <w:rPr>
          <w:rFonts w:ascii="Arial" w:hAnsi="Arial" w:cs="Arial"/>
          <w:sz w:val="22"/>
          <w:szCs w:val="22"/>
        </w:rPr>
        <w:t xml:space="preserve">including </w:t>
      </w:r>
      <w:r w:rsidRPr="00DA65FA">
        <w:rPr>
          <w:rFonts w:ascii="Arial" w:hAnsi="Arial" w:cs="Arial"/>
          <w:sz w:val="22"/>
          <w:szCs w:val="22"/>
        </w:rPr>
        <w:t xml:space="preserve">an </w:t>
      </w:r>
      <w:r w:rsidR="00AB79D3" w:rsidRPr="00DA65FA">
        <w:rPr>
          <w:rFonts w:ascii="Arial" w:hAnsi="Arial" w:cs="Arial"/>
          <w:sz w:val="22"/>
          <w:szCs w:val="22"/>
        </w:rPr>
        <w:t xml:space="preserve">existing </w:t>
      </w:r>
      <w:r w:rsidRPr="00DA65FA">
        <w:rPr>
          <w:rFonts w:ascii="Arial" w:hAnsi="Arial" w:cs="Arial"/>
          <w:sz w:val="22"/>
          <w:szCs w:val="22"/>
        </w:rPr>
        <w:t>provider expanding into a new area for the first time).</w:t>
      </w:r>
    </w:p>
    <w:p w:rsidR="007C75BD" w:rsidRDefault="007C75BD" w:rsidP="00DA65FA">
      <w:pPr>
        <w:pStyle w:val="ABCList"/>
        <w:numPr>
          <w:ilvl w:val="0"/>
          <w:numId w:val="37"/>
        </w:numPr>
        <w:ind w:left="1418" w:hanging="425"/>
      </w:pPr>
      <w:r>
        <w:t xml:space="preserve">Access to opportunities to win contracts from existing players can be limited. The ACCC has received information suggesting that, in recent years, the majority of Camp Australia’s contracts have been renewed privately, without being </w:t>
      </w:r>
      <w:r w:rsidRPr="003F00B9">
        <w:t>subject</w:t>
      </w:r>
      <w:r>
        <w:t xml:space="preserve"> to competitive tender.</w:t>
      </w:r>
    </w:p>
    <w:p w:rsidR="007C75BD" w:rsidRDefault="007C75BD" w:rsidP="00DA65FA">
      <w:pPr>
        <w:pStyle w:val="ABCList"/>
        <w:numPr>
          <w:ilvl w:val="0"/>
          <w:numId w:val="37"/>
        </w:numPr>
        <w:ind w:left="1418" w:hanging="425"/>
      </w:pPr>
      <w:r>
        <w:t>Marketing has been identified as important to expansion and entry and Camp Australia and JAG are said to have gained some exclusive or otherwise advantageous access to important marketing channels such as education-body or principals’ association events, publications and websites.</w:t>
      </w:r>
      <w:r w:rsidR="00E10BEC">
        <w:t xml:space="preserve"> These marketing costs are sunk costs that are not recoverable.</w:t>
      </w:r>
    </w:p>
    <w:p w:rsidR="007C75BD" w:rsidRPr="00F50CD9" w:rsidRDefault="007C75BD" w:rsidP="00DA65FA">
      <w:pPr>
        <w:pStyle w:val="ABCList"/>
        <w:numPr>
          <w:ilvl w:val="0"/>
          <w:numId w:val="37"/>
        </w:numPr>
        <w:ind w:left="1418" w:hanging="425"/>
      </w:pPr>
      <w:r>
        <w:t xml:space="preserve">Many small </w:t>
      </w:r>
      <w:r w:rsidRPr="00F50CD9">
        <w:t>providers</w:t>
      </w:r>
      <w:r>
        <w:t xml:space="preserve"> </w:t>
      </w:r>
      <w:r w:rsidRPr="00F50CD9">
        <w:t>operating just one site or a handful of sites have an inadequate platform for expansion. For example</w:t>
      </w:r>
      <w:r>
        <w:t>:</w:t>
      </w:r>
      <w:r w:rsidRPr="00F50CD9">
        <w:t xml:space="preserve"> </w:t>
      </w:r>
    </w:p>
    <w:p w:rsidR="007C75BD" w:rsidRPr="00DA65FA" w:rsidRDefault="007C75BD" w:rsidP="00DA65FA">
      <w:pPr>
        <w:numPr>
          <w:ilvl w:val="0"/>
          <w:numId w:val="39"/>
        </w:numPr>
        <w:spacing w:before="240" w:after="120"/>
        <w:rPr>
          <w:rFonts w:ascii="Arial" w:hAnsi="Arial" w:cs="Arial"/>
          <w:sz w:val="22"/>
          <w:szCs w:val="22"/>
        </w:rPr>
      </w:pPr>
      <w:r w:rsidRPr="00DA65FA">
        <w:rPr>
          <w:rFonts w:ascii="Arial" w:hAnsi="Arial" w:cs="Arial"/>
          <w:sz w:val="22"/>
          <w:szCs w:val="22"/>
        </w:rPr>
        <w:t xml:space="preserve">Providers formed by </w:t>
      </w:r>
      <w:r w:rsidR="00C35191">
        <w:rPr>
          <w:rFonts w:ascii="Arial" w:hAnsi="Arial" w:cs="Arial"/>
          <w:sz w:val="22"/>
          <w:szCs w:val="22"/>
        </w:rPr>
        <w:t xml:space="preserve">a particular school community for their school </w:t>
      </w:r>
      <w:r w:rsidRPr="00DA65FA">
        <w:rPr>
          <w:rFonts w:ascii="Arial" w:hAnsi="Arial" w:cs="Arial"/>
          <w:sz w:val="22"/>
          <w:szCs w:val="22"/>
        </w:rPr>
        <w:t>may have no desire to expand to other schools.</w:t>
      </w:r>
    </w:p>
    <w:p w:rsidR="007C75BD" w:rsidRPr="00DA65FA" w:rsidRDefault="007C75BD" w:rsidP="00DA65FA">
      <w:pPr>
        <w:numPr>
          <w:ilvl w:val="0"/>
          <w:numId w:val="39"/>
        </w:numPr>
        <w:spacing w:before="240" w:after="120"/>
        <w:ind w:left="2001" w:hanging="357"/>
        <w:rPr>
          <w:rFonts w:ascii="Arial" w:hAnsi="Arial" w:cs="Arial"/>
          <w:sz w:val="22"/>
          <w:szCs w:val="22"/>
        </w:rPr>
      </w:pPr>
      <w:r w:rsidRPr="00DA65FA">
        <w:rPr>
          <w:rFonts w:ascii="Arial" w:hAnsi="Arial" w:cs="Arial"/>
          <w:sz w:val="22"/>
          <w:szCs w:val="22"/>
        </w:rPr>
        <w:t>Relatively unsophisticated for-profit operators servicing one or two sites may not have enough time or resources to market their service and not enough current revenue or certainty about future revenue to borrow money easily to expand.</w:t>
      </w:r>
    </w:p>
    <w:p w:rsidR="007C75BD" w:rsidRDefault="007C75BD">
      <w:pPr>
        <w:pStyle w:val="Numbered"/>
      </w:pPr>
      <w:r>
        <w:t>The ACCC’s preliminary view is that the overall impact of these factors is such that barriers to entry and expansion are significantly higher than suggested by a simple analysis of the time and cost of establishing a new provider.</w:t>
      </w:r>
    </w:p>
    <w:p w:rsidR="007C75BD" w:rsidRDefault="007C75BD" w:rsidP="007C75BD">
      <w:pPr>
        <w:pStyle w:val="Numberedparagraph11"/>
        <w:numPr>
          <w:ilvl w:val="0"/>
          <w:numId w:val="0"/>
        </w:numPr>
        <w:shd w:val="clear" w:color="auto" w:fill="D9D9D9"/>
      </w:pPr>
      <w:r w:rsidRPr="00CE2E50">
        <w:rPr>
          <w:rFonts w:eastAsia="Calibri" w:cs="Times New Roman"/>
          <w:szCs w:val="22"/>
        </w:rPr>
        <w:t>The ACCC invites comments on:</w:t>
      </w:r>
      <w:r>
        <w:rPr>
          <w:rFonts w:eastAsia="Calibri" w:cs="Times New Roman"/>
          <w:szCs w:val="22"/>
        </w:rPr>
        <w:t xml:space="preserve"> </w:t>
      </w:r>
      <w:r>
        <w:t>the nature and height of any barriers to expansion and entry in the markets for OSHC; and whether there are particular providers in the industry whose experiences and progress illustrate the nature and height of any barriers to expansion or entry.</w:t>
      </w:r>
    </w:p>
    <w:p w:rsidR="007C75BD" w:rsidRDefault="007C75BD" w:rsidP="007C75BD">
      <w:pPr>
        <w:pStyle w:val="Numberedparagraph11"/>
        <w:numPr>
          <w:ilvl w:val="0"/>
          <w:numId w:val="0"/>
        </w:numPr>
        <w:shd w:val="clear" w:color="auto" w:fill="D9D9D9"/>
      </w:pPr>
      <w:r>
        <w:t>In particular, the ACCC invites comments on:</w:t>
      </w:r>
    </w:p>
    <w:p w:rsidR="007C75BD" w:rsidRPr="00EF4B76" w:rsidRDefault="007C75BD">
      <w:pPr>
        <w:pStyle w:val="commentbox"/>
        <w:numPr>
          <w:ilvl w:val="0"/>
          <w:numId w:val="8"/>
        </w:numPr>
        <w:rPr>
          <w:i/>
        </w:rPr>
      </w:pPr>
      <w:r>
        <w:t>Who is expanding in the industry and why? Who is not and why?</w:t>
      </w:r>
    </w:p>
    <w:p w:rsidR="007C75BD" w:rsidRPr="00EF4B76" w:rsidRDefault="007C75BD">
      <w:pPr>
        <w:pStyle w:val="commentbox"/>
        <w:numPr>
          <w:ilvl w:val="0"/>
          <w:numId w:val="8"/>
        </w:numPr>
        <w:rPr>
          <w:i/>
        </w:rPr>
      </w:pPr>
      <w:r>
        <w:t>Who are the recent entrants and what are their prospects of successful expansion? Why?</w:t>
      </w:r>
    </w:p>
    <w:p w:rsidR="00D91BB1" w:rsidRPr="00A01533" w:rsidRDefault="00D91BB1">
      <w:pPr>
        <w:pStyle w:val="commentbox"/>
        <w:numPr>
          <w:ilvl w:val="0"/>
          <w:numId w:val="8"/>
        </w:numPr>
        <w:rPr>
          <w:i/>
        </w:rPr>
      </w:pPr>
      <w:r>
        <w:t xml:space="preserve">Is the ‘long tail’ of small providers increasing in size and competitive significance, </w:t>
      </w:r>
      <w:r w:rsidR="00AB79D3">
        <w:t xml:space="preserve">stable or </w:t>
      </w:r>
      <w:r>
        <w:t>decreasing</w:t>
      </w:r>
      <w:r w:rsidR="00AB79D3">
        <w:t>?</w:t>
      </w:r>
      <w:r>
        <w:t xml:space="preserve"> What information is available to determine this</w:t>
      </w:r>
      <w:r w:rsidR="00AB79D3">
        <w:t>?</w:t>
      </w:r>
    </w:p>
    <w:p w:rsidR="00047A04" w:rsidRPr="0064409C" w:rsidRDefault="00047A04">
      <w:pPr>
        <w:pStyle w:val="commentbox"/>
        <w:numPr>
          <w:ilvl w:val="0"/>
          <w:numId w:val="8"/>
        </w:numPr>
        <w:rPr>
          <w:i/>
        </w:rPr>
      </w:pPr>
      <w:r>
        <w:t>What desire and ability do operators of single-site services have to expand? Please provide examples.</w:t>
      </w:r>
    </w:p>
    <w:p w:rsidR="007C75BD" w:rsidRPr="00EF4B76" w:rsidRDefault="007C75BD">
      <w:pPr>
        <w:pStyle w:val="commentbox"/>
        <w:numPr>
          <w:ilvl w:val="0"/>
          <w:numId w:val="8"/>
        </w:numPr>
        <w:rPr>
          <w:i/>
        </w:rPr>
      </w:pPr>
      <w:r>
        <w:t xml:space="preserve">What is involved in a customer changing providers? How easy or difficult is it? </w:t>
      </w:r>
      <w:r w:rsidR="00D84733">
        <w:t xml:space="preserve">How typical are contractual provisions that prevent or hinder switching providers? </w:t>
      </w:r>
      <w:r>
        <w:t>Please provide examples.</w:t>
      </w:r>
    </w:p>
    <w:p w:rsidR="007C75BD" w:rsidRPr="0064409C" w:rsidRDefault="007C75BD">
      <w:pPr>
        <w:pStyle w:val="commentbox"/>
        <w:numPr>
          <w:ilvl w:val="0"/>
          <w:numId w:val="8"/>
        </w:numPr>
        <w:rPr>
          <w:i/>
        </w:rPr>
      </w:pPr>
      <w:r>
        <w:t xml:space="preserve">How often do Camp Australia and / or JAG obtain and retain contracts without the school going to tender or similar </w:t>
      </w:r>
      <w:r w:rsidR="00A23CCA">
        <w:t xml:space="preserve">competitive </w:t>
      </w:r>
      <w:r>
        <w:t>selection process? In what circumstances and why</w:t>
      </w:r>
      <w:r w:rsidR="0089391F">
        <w:t>?</w:t>
      </w:r>
    </w:p>
    <w:p w:rsidR="007C75BD" w:rsidRPr="00EF4B76" w:rsidRDefault="007C75BD">
      <w:pPr>
        <w:pStyle w:val="commentbox"/>
        <w:numPr>
          <w:ilvl w:val="0"/>
          <w:numId w:val="8"/>
        </w:numPr>
        <w:rPr>
          <w:i/>
        </w:rPr>
      </w:pPr>
      <w:r>
        <w:t>What marketing channels are most important to entry and expansion and why? What are the relative positions of Camp Australia, JAG and their competitors in these channels? Compared with these most important channels, what other ones are available and how do they compare in, for example, cost and return on investment?</w:t>
      </w:r>
    </w:p>
    <w:p w:rsidR="007C75BD" w:rsidRDefault="007C75BD" w:rsidP="007C75BD">
      <w:pPr>
        <w:pStyle w:val="Heading3"/>
      </w:pPr>
      <w:r w:rsidRPr="00D47DB8">
        <w:t>Countervailing power</w:t>
      </w:r>
    </w:p>
    <w:p w:rsidR="007C75BD" w:rsidRDefault="00263270">
      <w:pPr>
        <w:pStyle w:val="Numbered"/>
      </w:pPr>
      <w:r>
        <w:t>As stated earlier, a</w:t>
      </w:r>
      <w:r w:rsidR="007C75BD">
        <w:t xml:space="preserve">ccording to publicly available data, nationally, about a fifth of schools that have OSHC services run them themselves (and not all schools have OSHC services). </w:t>
      </w:r>
      <w:r w:rsidR="00437DC7">
        <w:t>An issue the ACCC is considering is the extent to which the threat of schools continuing or recommencing in-house supply gives them countervailing power.</w:t>
      </w:r>
      <w:r w:rsidR="007C75BD">
        <w:t xml:space="preserve"> </w:t>
      </w:r>
    </w:p>
    <w:p w:rsidR="007C75BD" w:rsidRDefault="007C75BD">
      <w:pPr>
        <w:pStyle w:val="Numbered"/>
      </w:pPr>
      <w:r w:rsidRPr="002F02D7">
        <w:t xml:space="preserve">The ACCC understands that certain </w:t>
      </w:r>
      <w:r w:rsidR="00FA46E7">
        <w:t>s</w:t>
      </w:r>
      <w:r>
        <w:t>tate</w:t>
      </w:r>
      <w:r w:rsidRPr="002F02D7">
        <w:t xml:space="preserve">s have higher </w:t>
      </w:r>
      <w:r>
        <w:t xml:space="preserve">or lower </w:t>
      </w:r>
      <w:r w:rsidRPr="002F02D7">
        <w:t xml:space="preserve">rates of school’s providing </w:t>
      </w:r>
      <w:r w:rsidR="00E264BB">
        <w:t xml:space="preserve">before and after school </w:t>
      </w:r>
      <w:r w:rsidRPr="002F02D7">
        <w:t>care in-house because of regulatory or historical reasons. For example</w:t>
      </w:r>
      <w:r w:rsidR="00ED3400">
        <w:t>, as stated earlier,</w:t>
      </w:r>
      <w:r w:rsidRPr="002F02D7">
        <w:t xml:space="preserve"> until 2014, government schools in S</w:t>
      </w:r>
      <w:r>
        <w:t>A</w:t>
      </w:r>
      <w:r w:rsidRPr="002F02D7">
        <w:t xml:space="preserve"> were required by the </w:t>
      </w:r>
      <w:r>
        <w:t>State</w:t>
      </w:r>
      <w:r w:rsidR="0057290A">
        <w:t xml:space="preserve"> G</w:t>
      </w:r>
      <w:r w:rsidRPr="002F02D7">
        <w:t>overnment t</w:t>
      </w:r>
      <w:r w:rsidR="0057290A">
        <w:t>o run their OSHC and/or holiday-</w:t>
      </w:r>
      <w:r w:rsidRPr="002F02D7">
        <w:t>care services in-house.</w:t>
      </w:r>
      <w:r>
        <w:t xml:space="preserve"> Currently about half of SA services are in-house</w:t>
      </w:r>
      <w:r w:rsidR="00AB79D3">
        <w:t>.</w:t>
      </w:r>
      <w:r>
        <w:t xml:space="preserve"> In WA, where it has been common for community groups to offer services in places other than on school premises, about 5 per cent of services are run in-house at schools.</w:t>
      </w:r>
    </w:p>
    <w:p w:rsidR="007C75BD" w:rsidRDefault="00437DC7">
      <w:pPr>
        <w:pStyle w:val="Numbered"/>
      </w:pPr>
      <w:r>
        <w:t>T</w:t>
      </w:r>
      <w:r w:rsidR="007C75BD">
        <w:t>he ACCC’s preliminary conclusion is that it appears</w:t>
      </w:r>
      <w:r w:rsidR="007C75BD" w:rsidRPr="00E513F2">
        <w:t xml:space="preserve"> rare for schools to return to providing </w:t>
      </w:r>
      <w:r w:rsidR="00E264BB">
        <w:t>before and after school care</w:t>
      </w:r>
      <w:r w:rsidR="00E264BB" w:rsidRPr="00E513F2">
        <w:t xml:space="preserve"> </w:t>
      </w:r>
      <w:r w:rsidR="007C75BD" w:rsidRPr="00E513F2">
        <w:t xml:space="preserve">services in-house once they have previously engaged an external provider. </w:t>
      </w:r>
      <w:r w:rsidR="00FF6107">
        <w:t xml:space="preserve">The ACCC has identified few examples, in the context of the thousands of Australian primary schools, of schools changing from using an external before and after-school care provider to supplying the service in-house. </w:t>
      </w:r>
    </w:p>
    <w:p w:rsidR="007C75BD" w:rsidRPr="00D47DB8" w:rsidRDefault="007C75BD">
      <w:pPr>
        <w:pStyle w:val="Numbered"/>
      </w:pPr>
      <w:r w:rsidRPr="00E513F2">
        <w:t>Factors relevant to these decisions include:</w:t>
      </w:r>
    </w:p>
    <w:p w:rsidR="007C75BD" w:rsidRPr="006063E1" w:rsidRDefault="007C75BD" w:rsidP="009B006B">
      <w:pPr>
        <w:pStyle w:val="Bulletpoint"/>
        <w:tabs>
          <w:tab w:val="num" w:pos="1418"/>
        </w:tabs>
        <w:ind w:left="1418" w:hanging="567"/>
      </w:pPr>
      <w:r w:rsidRPr="006063E1">
        <w:t xml:space="preserve">the time, cost and compliance burdens </w:t>
      </w:r>
      <w:r w:rsidR="00AE224B">
        <w:t>for</w:t>
      </w:r>
      <w:r w:rsidR="00AE224B" w:rsidRPr="006063E1">
        <w:t xml:space="preserve"> </w:t>
      </w:r>
      <w:r w:rsidRPr="006063E1">
        <w:t>schools running a service</w:t>
      </w:r>
      <w:r w:rsidR="006D3666">
        <w:t xml:space="preserve">, most acutely if </w:t>
      </w:r>
      <w:r w:rsidR="00AB79D3">
        <w:t xml:space="preserve">they </w:t>
      </w:r>
      <w:r w:rsidR="006D3666">
        <w:t>fall on parents and / or on teaching and administrative staff</w:t>
      </w:r>
      <w:r w:rsidR="00873286">
        <w:t>, including</w:t>
      </w:r>
      <w:r w:rsidR="006D3666">
        <w:t xml:space="preserve"> the principal,</w:t>
      </w:r>
      <w:r w:rsidRPr="006063E1">
        <w:t xml:space="preserve"> </w:t>
      </w:r>
      <w:r w:rsidR="006D3666">
        <w:t xml:space="preserve">who have other primary responsibilities at the school </w:t>
      </w:r>
      <w:r w:rsidRPr="006063E1">
        <w:t>and</w:t>
      </w:r>
    </w:p>
    <w:p w:rsidR="007C75BD" w:rsidRPr="006063E1" w:rsidRDefault="007C75BD" w:rsidP="009B006B">
      <w:pPr>
        <w:pStyle w:val="Bulletpoint"/>
        <w:tabs>
          <w:tab w:val="num" w:pos="1418"/>
        </w:tabs>
        <w:ind w:left="1418" w:hanging="567"/>
      </w:pPr>
      <w:proofErr w:type="gramStart"/>
      <w:r w:rsidRPr="006063E1">
        <w:t>the</w:t>
      </w:r>
      <w:proofErr w:type="gramEnd"/>
      <w:r w:rsidRPr="006063E1">
        <w:t xml:space="preserve"> assumption of risk implicit in running a service in-house that can otherwise be shifted to an outside provider.</w:t>
      </w:r>
    </w:p>
    <w:p w:rsidR="00873286" w:rsidRDefault="00437DC7">
      <w:pPr>
        <w:pStyle w:val="Numbered"/>
        <w:rPr>
          <w:lang w:eastAsia="en-AU"/>
        </w:rPr>
      </w:pPr>
      <w:r>
        <w:rPr>
          <w:lang w:eastAsia="en-AU"/>
        </w:rPr>
        <w:t>T</w:t>
      </w:r>
      <w:r w:rsidR="007C75BD">
        <w:rPr>
          <w:lang w:eastAsia="en-AU"/>
        </w:rPr>
        <w:t xml:space="preserve">he ACCC considers </w:t>
      </w:r>
      <w:r w:rsidR="00873286">
        <w:rPr>
          <w:lang w:eastAsia="en-AU"/>
        </w:rPr>
        <w:t>that the threat of schools choosing to operate services in-house is unlikely to provide a significant constraint on the merger parties.</w:t>
      </w:r>
    </w:p>
    <w:p w:rsidR="00A23CCA" w:rsidRDefault="007C75BD">
      <w:pPr>
        <w:pStyle w:val="commentbox"/>
        <w:numPr>
          <w:ilvl w:val="0"/>
          <w:numId w:val="0"/>
        </w:numPr>
      </w:pPr>
      <w:r w:rsidRPr="00A23CCA">
        <w:t xml:space="preserve">The ACCC invites comments from market participants on the following: </w:t>
      </w:r>
    </w:p>
    <w:p w:rsidR="007C75BD" w:rsidRPr="00A23CCA" w:rsidRDefault="007C75BD">
      <w:pPr>
        <w:pStyle w:val="commentbox"/>
        <w:numPr>
          <w:ilvl w:val="0"/>
          <w:numId w:val="29"/>
        </w:numPr>
      </w:pPr>
      <w:r w:rsidRPr="00A23CCA">
        <w:t>Why do some schools choose to provide OSHC services in-house over out-sourcing these services to an external provider?</w:t>
      </w:r>
    </w:p>
    <w:p w:rsidR="007C75BD" w:rsidRPr="00A23CCA" w:rsidRDefault="007C75BD">
      <w:pPr>
        <w:pStyle w:val="commentbox"/>
        <w:numPr>
          <w:ilvl w:val="0"/>
          <w:numId w:val="28"/>
        </w:numPr>
      </w:pPr>
      <w:r w:rsidRPr="00A23CCA">
        <w:t>Can schools who have previously engaged an external provider readily return to providing those services in-house? How likely is this, and why?</w:t>
      </w:r>
      <w:r w:rsidR="00EB0661">
        <w:t xml:space="preserve"> Please provide examples.</w:t>
      </w:r>
    </w:p>
    <w:p w:rsidR="007C75BD" w:rsidRPr="00A23CCA" w:rsidRDefault="007C75BD">
      <w:pPr>
        <w:pStyle w:val="commentbox"/>
        <w:numPr>
          <w:ilvl w:val="0"/>
          <w:numId w:val="28"/>
        </w:numPr>
      </w:pPr>
      <w:r w:rsidRPr="00A23CCA">
        <w:t>Are there examples of schools using the threat of self-supply or switching to another provider to increase its negotiation power with an external provider? How effective was this, and why?</w:t>
      </w:r>
    </w:p>
    <w:p w:rsidR="00873286" w:rsidRDefault="00873286" w:rsidP="00873286">
      <w:pPr>
        <w:pStyle w:val="Heading2"/>
        <w:pBdr>
          <w:bottom w:val="none" w:sz="0" w:space="0" w:color="auto"/>
        </w:pBdr>
        <w:spacing w:before="360" w:line="240" w:lineRule="atLeast"/>
        <w:jc w:val="left"/>
        <w:rPr>
          <w:rFonts w:cs="Times New Roman"/>
          <w:color w:val="51626F"/>
          <w:szCs w:val="30"/>
        </w:rPr>
      </w:pPr>
      <w:r w:rsidRPr="00AA76DA">
        <w:rPr>
          <w:rFonts w:cs="Times New Roman"/>
          <w:color w:val="51626F"/>
          <w:szCs w:val="30"/>
        </w:rPr>
        <w:t xml:space="preserve">Issue </w:t>
      </w:r>
      <w:r>
        <w:rPr>
          <w:rFonts w:cs="Times New Roman"/>
          <w:color w:val="51626F"/>
          <w:szCs w:val="30"/>
        </w:rPr>
        <w:t xml:space="preserve">unlikely to raise </w:t>
      </w:r>
      <w:r w:rsidRPr="00AA76DA">
        <w:rPr>
          <w:rFonts w:cs="Times New Roman"/>
          <w:color w:val="51626F"/>
          <w:szCs w:val="30"/>
        </w:rPr>
        <w:t>concern</w:t>
      </w:r>
      <w:r>
        <w:rPr>
          <w:rFonts w:cs="Times New Roman"/>
          <w:color w:val="51626F"/>
          <w:szCs w:val="30"/>
        </w:rPr>
        <w:t>s</w:t>
      </w:r>
      <w:r w:rsidRPr="00AA76DA">
        <w:rPr>
          <w:rFonts w:cs="Times New Roman"/>
          <w:color w:val="51626F"/>
          <w:szCs w:val="30"/>
        </w:rPr>
        <w:t xml:space="preserve">: </w:t>
      </w:r>
      <w:r>
        <w:rPr>
          <w:rFonts w:cs="Times New Roman"/>
          <w:color w:val="51626F"/>
          <w:szCs w:val="30"/>
        </w:rPr>
        <w:t>competition in the NT and Tasmania</w:t>
      </w:r>
    </w:p>
    <w:p w:rsidR="00873286" w:rsidRDefault="00873286">
      <w:pPr>
        <w:pStyle w:val="Numbered"/>
      </w:pPr>
      <w:r>
        <w:t>As stated earlier, t</w:t>
      </w:r>
      <w:r w:rsidRPr="00873286">
        <w:t>he ACCC’s preliminary view is that</w:t>
      </w:r>
      <w:r>
        <w:t>, as Camp Australia and JAG do not currently have competing operations in the NT and Tasmania, there will not be a substantial lessening of competition there</w:t>
      </w:r>
      <w:r w:rsidRPr="00873286">
        <w:t xml:space="preserve"> </w:t>
      </w:r>
      <w:r>
        <w:t>if Camp Australia and JAG merge.</w:t>
      </w:r>
    </w:p>
    <w:p w:rsidR="00873286" w:rsidRDefault="00873286">
      <w:pPr>
        <w:pStyle w:val="commentbox"/>
        <w:numPr>
          <w:ilvl w:val="0"/>
          <w:numId w:val="0"/>
        </w:numPr>
      </w:pPr>
      <w:r w:rsidRPr="00A23CCA">
        <w:t xml:space="preserve">The ACCC invites comments from market participants on </w:t>
      </w:r>
      <w:r>
        <w:t xml:space="preserve">its preliminary view that the proposed merger is unlikely to raise concerns in the supply of OSHC care in the NT and Tasmania.  </w:t>
      </w:r>
      <w:r w:rsidRPr="00A23CCA">
        <w:t xml:space="preserve"> </w:t>
      </w:r>
    </w:p>
    <w:p w:rsidR="007C75BD" w:rsidRDefault="007C75BD" w:rsidP="007C75BD">
      <w:pPr>
        <w:pStyle w:val="Heading2"/>
        <w:pBdr>
          <w:bottom w:val="none" w:sz="0" w:space="0" w:color="auto"/>
        </w:pBdr>
        <w:spacing w:before="360" w:line="240" w:lineRule="atLeast"/>
        <w:jc w:val="left"/>
        <w:rPr>
          <w:rFonts w:cs="Times New Roman"/>
          <w:color w:val="51626F"/>
          <w:szCs w:val="30"/>
        </w:rPr>
      </w:pPr>
      <w:r w:rsidRPr="00AA76DA">
        <w:rPr>
          <w:rFonts w:cs="Times New Roman"/>
          <w:color w:val="51626F"/>
          <w:szCs w:val="30"/>
        </w:rPr>
        <w:t xml:space="preserve">Issue </w:t>
      </w:r>
      <w:r>
        <w:rPr>
          <w:rFonts w:cs="Times New Roman"/>
          <w:color w:val="51626F"/>
          <w:szCs w:val="30"/>
        </w:rPr>
        <w:t xml:space="preserve">unlikely to raise </w:t>
      </w:r>
      <w:r w:rsidRPr="00AA76DA">
        <w:rPr>
          <w:rFonts w:cs="Times New Roman"/>
          <w:color w:val="51626F"/>
          <w:szCs w:val="30"/>
        </w:rPr>
        <w:t>concern</w:t>
      </w:r>
      <w:r>
        <w:rPr>
          <w:rFonts w:cs="Times New Roman"/>
          <w:color w:val="51626F"/>
          <w:szCs w:val="30"/>
        </w:rPr>
        <w:t>s</w:t>
      </w:r>
      <w:r w:rsidRPr="00AA76DA">
        <w:rPr>
          <w:rFonts w:cs="Times New Roman"/>
          <w:color w:val="51626F"/>
          <w:szCs w:val="30"/>
        </w:rPr>
        <w:t xml:space="preserve">: </w:t>
      </w:r>
      <w:r>
        <w:rPr>
          <w:rFonts w:cs="Times New Roman"/>
          <w:color w:val="51626F"/>
          <w:szCs w:val="30"/>
        </w:rPr>
        <w:t>vacation care</w:t>
      </w:r>
    </w:p>
    <w:p w:rsidR="00E559A2" w:rsidRDefault="007C75BD">
      <w:pPr>
        <w:pStyle w:val="Numbered"/>
      </w:pPr>
      <w:r>
        <w:t>The ACCC’s preliminary view is that there is unlikely to be a substantial lessening of competition in the supply of vacation care (th</w:t>
      </w:r>
      <w:r w:rsidR="00A23CCA">
        <w:t>at is, programs</w:t>
      </w:r>
      <w:r w:rsidR="007C63A4">
        <w:t xml:space="preserve"> </w:t>
      </w:r>
      <w:r w:rsidR="00A23CCA">
        <w:t>/</w:t>
      </w:r>
      <w:r w:rsidR="007C63A4">
        <w:t xml:space="preserve"> </w:t>
      </w:r>
      <w:r w:rsidR="00A23CCA">
        <w:t>care for school-</w:t>
      </w:r>
      <w:r>
        <w:t>aged children during school holidays).  As noted above, for vacation care</w:t>
      </w:r>
      <w:r w:rsidR="00A23CCA">
        <w:t>,</w:t>
      </w:r>
      <w:r>
        <w:t xml:space="preserve"> the ACCC considers that parents are more likely to have a greater range</w:t>
      </w:r>
      <w:r w:rsidR="007C63A4">
        <w:t xml:space="preserve"> of options in their local area</w:t>
      </w:r>
      <w:r>
        <w:t xml:space="preserve"> that will act to constrain prices.</w:t>
      </w:r>
      <w:r w:rsidR="00E559A2">
        <w:t xml:space="preserve"> </w:t>
      </w:r>
    </w:p>
    <w:p w:rsidR="00E559A2" w:rsidRPr="00E559A2" w:rsidRDefault="00E559A2">
      <w:pPr>
        <w:pStyle w:val="Numbered"/>
      </w:pPr>
      <w:r>
        <w:t>As stated above, t</w:t>
      </w:r>
      <w:r w:rsidRPr="00E559A2">
        <w:t xml:space="preserve">he ACCC understands that demand from parents for vacation care for their children is distinct from demand for school-term </w:t>
      </w:r>
      <w:r w:rsidR="00663559">
        <w:t>before and after-school care</w:t>
      </w:r>
      <w:r w:rsidRPr="00E559A2">
        <w:t>. Parents make decisions about before and after-school care and vacation care in different ways:</w:t>
      </w:r>
    </w:p>
    <w:p w:rsidR="00E559A2" w:rsidRDefault="00E559A2" w:rsidP="009B006B">
      <w:pPr>
        <w:pStyle w:val="Bulletpoint"/>
        <w:tabs>
          <w:tab w:val="num" w:pos="1418"/>
        </w:tabs>
        <w:ind w:left="1418" w:hanging="567"/>
      </w:pPr>
      <w:r w:rsidRPr="008854CC">
        <w:t xml:space="preserve">Parents wanting vacation care are likely to </w:t>
      </w:r>
      <w:r>
        <w:t xml:space="preserve">consider </w:t>
      </w:r>
      <w:r w:rsidRPr="008854CC">
        <w:t>various sites and options in local areas where they live or work, beyond just the provider at their child’s school</w:t>
      </w:r>
      <w:r w:rsidR="009C0653">
        <w:t>; and beyond care licensed as formal OSHC</w:t>
      </w:r>
      <w:r w:rsidRPr="008854CC">
        <w:t xml:space="preserve">. </w:t>
      </w:r>
      <w:r w:rsidR="00F859C3">
        <w:t>While the ACCC considers that there are significant differences between these alternat</w:t>
      </w:r>
      <w:r w:rsidR="009C0653">
        <w:t>iv</w:t>
      </w:r>
      <w:r w:rsidR="00F859C3">
        <w:t>e options and vacation care run by an OSHC provider at a school, its preliminary view is that these alternatives may be substitutable with vacation care for some parents.</w:t>
      </w:r>
    </w:p>
    <w:p w:rsidR="00E559A2" w:rsidRPr="008854CC" w:rsidRDefault="00E559A2" w:rsidP="009B006B">
      <w:pPr>
        <w:pStyle w:val="Bulletpoint"/>
        <w:tabs>
          <w:tab w:val="num" w:pos="1418"/>
        </w:tabs>
        <w:ind w:left="1418" w:hanging="567"/>
      </w:pPr>
      <w:r>
        <w:t xml:space="preserve">Parents </w:t>
      </w:r>
      <w:r w:rsidRPr="008854CC">
        <w:t>may also more readily consider taking holidays themselves during school breaks to care for their children.</w:t>
      </w:r>
    </w:p>
    <w:p w:rsidR="007C75BD" w:rsidRPr="008E43BE" w:rsidRDefault="00E559A2">
      <w:pPr>
        <w:pStyle w:val="Numbered"/>
      </w:pPr>
      <w:r>
        <w:t>That is, the ACCC</w:t>
      </w:r>
      <w:r w:rsidR="00F859C3">
        <w:t xml:space="preserve">’s preliminary view is </w:t>
      </w:r>
      <w:r>
        <w:t xml:space="preserve">that there are constraints on the supply of vacation care that </w:t>
      </w:r>
      <w:r w:rsidR="0057290A">
        <w:t>don’t apply</w:t>
      </w:r>
      <w:r>
        <w:t xml:space="preserve"> to</w:t>
      </w:r>
      <w:r w:rsidR="0057290A">
        <w:t xml:space="preserve"> the supply of before and after-</w:t>
      </w:r>
      <w:r>
        <w:t>school care.</w:t>
      </w:r>
      <w:r w:rsidR="007C75BD">
        <w:t xml:space="preserve"> </w:t>
      </w:r>
    </w:p>
    <w:p w:rsidR="00E559A2" w:rsidRDefault="00E559A2">
      <w:pPr>
        <w:pStyle w:val="commentbox"/>
        <w:numPr>
          <w:ilvl w:val="0"/>
          <w:numId w:val="0"/>
        </w:numPr>
      </w:pPr>
      <w:r w:rsidRPr="00A23CCA">
        <w:t xml:space="preserve">The ACCC invites comments from market participants on </w:t>
      </w:r>
      <w:r>
        <w:t>its preliminary view that</w:t>
      </w:r>
      <w:r w:rsidR="007C63A4">
        <w:t xml:space="preserve"> the proposed merger is unlikely to raise concerns </w:t>
      </w:r>
      <w:r w:rsidR="00EF1D9D">
        <w:t>in the supply of vacation care.</w:t>
      </w:r>
      <w:r w:rsidR="00B265DC">
        <w:t xml:space="preserve"> In particular, the ACCC invites comments on:</w:t>
      </w:r>
    </w:p>
    <w:p w:rsidR="00B265DC" w:rsidRDefault="00B265DC">
      <w:pPr>
        <w:pStyle w:val="commentbox"/>
        <w:numPr>
          <w:ilvl w:val="0"/>
          <w:numId w:val="6"/>
        </w:numPr>
      </w:pPr>
      <w:r>
        <w:t>the extent to which parents will use vacation care at a different school in response to price rises at their child’s school</w:t>
      </w:r>
    </w:p>
    <w:p w:rsidR="00B265DC" w:rsidRDefault="00B265DC">
      <w:pPr>
        <w:pStyle w:val="commentbox"/>
        <w:numPr>
          <w:ilvl w:val="0"/>
          <w:numId w:val="6"/>
        </w:numPr>
      </w:pPr>
      <w:proofErr w:type="gramStart"/>
      <w:r>
        <w:t>the</w:t>
      </w:r>
      <w:proofErr w:type="gramEnd"/>
      <w:r>
        <w:t xml:space="preserve"> extent to which parents consider informal care such as sporting camps and other recreational activities to be a substitute for licensed vacation care.</w:t>
      </w:r>
    </w:p>
    <w:p w:rsidR="007C75BD" w:rsidRDefault="007C75BD" w:rsidP="007C75BD">
      <w:pPr>
        <w:pStyle w:val="Heading3"/>
      </w:pPr>
      <w:r>
        <w:t xml:space="preserve">ACCC's </w:t>
      </w:r>
      <w:r w:rsidRPr="009D1890">
        <w:t>future</w:t>
      </w:r>
      <w:r>
        <w:t xml:space="preserve"> steps</w:t>
      </w:r>
    </w:p>
    <w:p w:rsidR="007C75BD" w:rsidRPr="00B7089C" w:rsidRDefault="007C75BD">
      <w:pPr>
        <w:pStyle w:val="Numbered"/>
      </w:pPr>
      <w:r>
        <w:t xml:space="preserve">As noted above, the ACCC now seeks submissions from market participants on each of the issues identified in this </w:t>
      </w:r>
      <w:r w:rsidRPr="00B7089C">
        <w:t xml:space="preserve">Statement of Issues and on any other issue that may be relevant to the ACCC's assessment of this matter. Submissions are to be received by the ACCC no later than </w:t>
      </w:r>
      <w:r w:rsidRPr="00B7089C">
        <w:rPr>
          <w:b/>
        </w:rPr>
        <w:t>25 August 2017</w:t>
      </w:r>
      <w:r w:rsidRPr="00B7089C">
        <w:t xml:space="preserve"> and should be emailed to </w:t>
      </w:r>
      <w:hyperlink r:id="rId12" w:history="1">
        <w:r w:rsidRPr="00B7089C">
          <w:t>mergers@accc.gov.au</w:t>
        </w:r>
      </w:hyperlink>
      <w:r w:rsidR="00B318AD">
        <w:t xml:space="preserve"> </w:t>
      </w:r>
      <w:r w:rsidR="00B318AD" w:rsidRPr="00657282">
        <w:t>with the title: Submission re: Camp Australia-JAG</w:t>
      </w:r>
      <w:r w:rsidR="00B318AD" w:rsidRPr="00EB40D7">
        <w:t xml:space="preserve"> </w:t>
      </w:r>
      <w:r w:rsidR="00B318AD">
        <w:t>–</w:t>
      </w:r>
      <w:r w:rsidR="00B318AD" w:rsidRPr="00EB40D7">
        <w:t xml:space="preserve"> attention</w:t>
      </w:r>
      <w:r w:rsidR="00B318AD">
        <w:t xml:space="preserve"> Tessa </w:t>
      </w:r>
      <w:proofErr w:type="spellStart"/>
      <w:r w:rsidR="00B318AD">
        <w:t>Cramond</w:t>
      </w:r>
      <w:proofErr w:type="spellEnd"/>
      <w:r w:rsidR="00B318AD">
        <w:t xml:space="preserve"> / John Rouw</w:t>
      </w:r>
      <w:r w:rsidR="00B318AD" w:rsidRPr="00EB40D7">
        <w:t>.</w:t>
      </w:r>
    </w:p>
    <w:p w:rsidR="007C75BD" w:rsidRPr="00B7089C" w:rsidRDefault="007C75BD">
      <w:pPr>
        <w:pStyle w:val="Numbered"/>
      </w:pPr>
      <w:r w:rsidRPr="00B7089C">
        <w:t>The ACCC will finalise its view on this matter after it considers submissions invited by this Statement of Issues.</w:t>
      </w:r>
    </w:p>
    <w:p w:rsidR="002314C6" w:rsidRPr="007C75BD" w:rsidRDefault="007C75BD">
      <w:pPr>
        <w:pStyle w:val="Numbered"/>
      </w:pPr>
      <w:r w:rsidRPr="00B7089C">
        <w:t xml:space="preserve">The ACCC intends to publicly announce its final view by </w:t>
      </w:r>
      <w:r w:rsidR="00F32724" w:rsidRPr="00B7089C">
        <w:rPr>
          <w:b/>
        </w:rPr>
        <w:t xml:space="preserve">26 </w:t>
      </w:r>
      <w:r w:rsidRPr="00B7089C">
        <w:rPr>
          <w:b/>
        </w:rPr>
        <w:t>October 2017</w:t>
      </w:r>
      <w:r w:rsidRPr="00B7089C">
        <w:t xml:space="preserve">. However the anticipated timeline may change in line with the </w:t>
      </w:r>
      <w:r w:rsidRPr="00B7089C">
        <w:rPr>
          <w:i/>
        </w:rPr>
        <w:t>Informal Merger Review Process Guidelines</w:t>
      </w:r>
      <w:r w:rsidRPr="00B7089C">
        <w:t>. A Public Competition Assessment for the purpose of explaining the ACCC's final view may be published</w:t>
      </w:r>
      <w:r>
        <w:t xml:space="preserve"> following the ACCC's public announcement to explain its final view.</w:t>
      </w:r>
    </w:p>
    <w:sectPr w:rsidR="002314C6" w:rsidRPr="007C75BD" w:rsidSect="006D6B12">
      <w:headerReference w:type="even" r:id="rId13"/>
      <w:headerReference w:type="default" r:id="rId14"/>
      <w:footerReference w:type="even" r:id="rId15"/>
      <w:footerReference w:type="default" r:id="rId16"/>
      <w:headerReference w:type="first" r:id="rId17"/>
      <w:footerReference w:type="first" r:id="rId18"/>
      <w:pgSz w:w="11906" w:h="16838" w:code="9"/>
      <w:pgMar w:top="1440" w:right="1729" w:bottom="1582" w:left="1729" w:header="709" w:footer="10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3B" w:rsidRDefault="00521B3B">
      <w:r>
        <w:separator/>
      </w:r>
    </w:p>
    <w:p w:rsidR="00521B3B" w:rsidRDefault="00521B3B"/>
  </w:endnote>
  <w:endnote w:type="continuationSeparator" w:id="0">
    <w:p w:rsidR="00521B3B" w:rsidRDefault="00521B3B">
      <w:r>
        <w:continuationSeparator/>
      </w:r>
    </w:p>
    <w:p w:rsidR="00521B3B" w:rsidRDefault="00521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3B" w:rsidRDefault="00521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1B3B" w:rsidRDefault="00521B3B">
    <w:pPr>
      <w:pStyle w:val="Footer"/>
    </w:pPr>
  </w:p>
  <w:p w:rsidR="00521B3B" w:rsidRDefault="00521B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3B" w:rsidRPr="00E23669" w:rsidRDefault="00521B3B" w:rsidP="00E23669">
    <w:pPr>
      <w:pStyle w:val="Footer"/>
      <w:jc w:val="right"/>
      <w:rPr>
        <w:rFonts w:ascii="Arial" w:hAnsi="Arial" w:cs="Arial"/>
        <w:sz w:val="22"/>
        <w:szCs w:val="22"/>
      </w:rPr>
    </w:pPr>
    <w:r w:rsidRPr="00E23669">
      <w:rPr>
        <w:rFonts w:ascii="Arial" w:hAnsi="Arial" w:cs="Arial"/>
        <w:sz w:val="22"/>
        <w:szCs w:val="22"/>
      </w:rPr>
      <w:t xml:space="preserve">Page </w:t>
    </w:r>
    <w:r w:rsidRPr="00E23669">
      <w:rPr>
        <w:rFonts w:ascii="Arial" w:hAnsi="Arial" w:cs="Arial"/>
        <w:b/>
        <w:sz w:val="22"/>
        <w:szCs w:val="22"/>
      </w:rPr>
      <w:fldChar w:fldCharType="begin"/>
    </w:r>
    <w:r w:rsidRPr="00E23669">
      <w:rPr>
        <w:rFonts w:ascii="Arial" w:hAnsi="Arial" w:cs="Arial"/>
        <w:b/>
        <w:sz w:val="22"/>
        <w:szCs w:val="22"/>
      </w:rPr>
      <w:instrText xml:space="preserve"> PAGE </w:instrText>
    </w:r>
    <w:r w:rsidRPr="00E23669">
      <w:rPr>
        <w:rFonts w:ascii="Arial" w:hAnsi="Arial" w:cs="Arial"/>
        <w:b/>
        <w:sz w:val="22"/>
        <w:szCs w:val="22"/>
      </w:rPr>
      <w:fldChar w:fldCharType="separate"/>
    </w:r>
    <w:r w:rsidR="00334C05">
      <w:rPr>
        <w:rFonts w:ascii="Arial" w:hAnsi="Arial" w:cs="Arial"/>
        <w:b/>
        <w:noProof/>
        <w:sz w:val="22"/>
        <w:szCs w:val="22"/>
      </w:rPr>
      <w:t>27</w:t>
    </w:r>
    <w:r w:rsidRPr="00E23669">
      <w:rPr>
        <w:rFonts w:ascii="Arial" w:hAnsi="Arial" w:cs="Arial"/>
        <w:b/>
        <w:sz w:val="22"/>
        <w:szCs w:val="22"/>
      </w:rPr>
      <w:fldChar w:fldCharType="end"/>
    </w:r>
    <w:r w:rsidRPr="00E23669">
      <w:rPr>
        <w:rFonts w:ascii="Arial" w:hAnsi="Arial" w:cs="Arial"/>
        <w:sz w:val="22"/>
        <w:szCs w:val="22"/>
      </w:rPr>
      <w:t xml:space="preserve"> of </w:t>
    </w:r>
    <w:r w:rsidRPr="00E23669">
      <w:rPr>
        <w:rFonts w:ascii="Arial" w:hAnsi="Arial" w:cs="Arial"/>
        <w:b/>
        <w:sz w:val="22"/>
        <w:szCs w:val="22"/>
      </w:rPr>
      <w:fldChar w:fldCharType="begin"/>
    </w:r>
    <w:r w:rsidRPr="00E23669">
      <w:rPr>
        <w:rFonts w:ascii="Arial" w:hAnsi="Arial" w:cs="Arial"/>
        <w:b/>
        <w:sz w:val="22"/>
        <w:szCs w:val="22"/>
      </w:rPr>
      <w:instrText xml:space="preserve"> NUMPAGES  </w:instrText>
    </w:r>
    <w:r w:rsidRPr="00E23669">
      <w:rPr>
        <w:rFonts w:ascii="Arial" w:hAnsi="Arial" w:cs="Arial"/>
        <w:b/>
        <w:sz w:val="22"/>
        <w:szCs w:val="22"/>
      </w:rPr>
      <w:fldChar w:fldCharType="separate"/>
    </w:r>
    <w:r w:rsidR="00334C05">
      <w:rPr>
        <w:rFonts w:ascii="Arial" w:hAnsi="Arial" w:cs="Arial"/>
        <w:b/>
        <w:noProof/>
        <w:sz w:val="22"/>
        <w:szCs w:val="22"/>
      </w:rPr>
      <w:t>27</w:t>
    </w:r>
    <w:r w:rsidRPr="00E23669">
      <w:rPr>
        <w:rFonts w:ascii="Arial" w:hAnsi="Arial"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3B" w:rsidRPr="00497688" w:rsidRDefault="00521B3B">
    <w:pPr>
      <w:pStyle w:val="Footer"/>
      <w:jc w:val="right"/>
      <w:rPr>
        <w:rFonts w:ascii="Arial" w:hAnsi="Arial" w:cs="Arial"/>
        <w:sz w:val="22"/>
        <w:szCs w:val="22"/>
      </w:rPr>
    </w:pPr>
    <w:r w:rsidRPr="00497688">
      <w:rPr>
        <w:rFonts w:ascii="Arial" w:hAnsi="Arial" w:cs="Arial"/>
        <w:sz w:val="22"/>
        <w:szCs w:val="22"/>
      </w:rPr>
      <w:t xml:space="preserve">Page </w:t>
    </w:r>
    <w:r w:rsidRPr="00497688">
      <w:rPr>
        <w:rFonts w:ascii="Arial" w:hAnsi="Arial" w:cs="Arial"/>
        <w:b/>
        <w:sz w:val="22"/>
        <w:szCs w:val="22"/>
      </w:rPr>
      <w:fldChar w:fldCharType="begin"/>
    </w:r>
    <w:r w:rsidRPr="00497688">
      <w:rPr>
        <w:rFonts w:ascii="Arial" w:hAnsi="Arial" w:cs="Arial"/>
        <w:b/>
        <w:sz w:val="22"/>
        <w:szCs w:val="22"/>
      </w:rPr>
      <w:instrText xml:space="preserve"> PAGE </w:instrText>
    </w:r>
    <w:r w:rsidRPr="00497688">
      <w:rPr>
        <w:rFonts w:ascii="Arial" w:hAnsi="Arial" w:cs="Arial"/>
        <w:b/>
        <w:sz w:val="22"/>
        <w:szCs w:val="22"/>
      </w:rPr>
      <w:fldChar w:fldCharType="separate"/>
    </w:r>
    <w:r w:rsidR="00334C05">
      <w:rPr>
        <w:rFonts w:ascii="Arial" w:hAnsi="Arial" w:cs="Arial"/>
        <w:b/>
        <w:noProof/>
        <w:sz w:val="22"/>
        <w:szCs w:val="22"/>
      </w:rPr>
      <w:t>1</w:t>
    </w:r>
    <w:r w:rsidRPr="00497688">
      <w:rPr>
        <w:rFonts w:ascii="Arial" w:hAnsi="Arial" w:cs="Arial"/>
        <w:b/>
        <w:sz w:val="22"/>
        <w:szCs w:val="22"/>
      </w:rPr>
      <w:fldChar w:fldCharType="end"/>
    </w:r>
    <w:r w:rsidRPr="00497688">
      <w:rPr>
        <w:rFonts w:ascii="Arial" w:hAnsi="Arial" w:cs="Arial"/>
        <w:sz w:val="22"/>
        <w:szCs w:val="22"/>
      </w:rPr>
      <w:t xml:space="preserve"> of </w:t>
    </w:r>
    <w:r w:rsidRPr="00497688">
      <w:rPr>
        <w:rFonts w:ascii="Arial" w:hAnsi="Arial" w:cs="Arial"/>
        <w:b/>
        <w:sz w:val="22"/>
        <w:szCs w:val="22"/>
      </w:rPr>
      <w:fldChar w:fldCharType="begin"/>
    </w:r>
    <w:r w:rsidRPr="00497688">
      <w:rPr>
        <w:rFonts w:ascii="Arial" w:hAnsi="Arial" w:cs="Arial"/>
        <w:b/>
        <w:sz w:val="22"/>
        <w:szCs w:val="22"/>
      </w:rPr>
      <w:instrText xml:space="preserve"> NUMPAGES  </w:instrText>
    </w:r>
    <w:r w:rsidRPr="00497688">
      <w:rPr>
        <w:rFonts w:ascii="Arial" w:hAnsi="Arial" w:cs="Arial"/>
        <w:b/>
        <w:sz w:val="22"/>
        <w:szCs w:val="22"/>
      </w:rPr>
      <w:fldChar w:fldCharType="separate"/>
    </w:r>
    <w:r w:rsidR="00334C05">
      <w:rPr>
        <w:rFonts w:ascii="Arial" w:hAnsi="Arial" w:cs="Arial"/>
        <w:b/>
        <w:noProof/>
        <w:sz w:val="22"/>
        <w:szCs w:val="22"/>
      </w:rPr>
      <w:t>27</w:t>
    </w:r>
    <w:r w:rsidRPr="00497688">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3B" w:rsidRDefault="00521B3B">
      <w:r>
        <w:separator/>
      </w:r>
    </w:p>
    <w:p w:rsidR="00521B3B" w:rsidRDefault="00521B3B"/>
  </w:footnote>
  <w:footnote w:type="continuationSeparator" w:id="0">
    <w:p w:rsidR="00521B3B" w:rsidRDefault="00521B3B">
      <w:r>
        <w:continuationSeparator/>
      </w:r>
    </w:p>
    <w:p w:rsidR="00521B3B" w:rsidRDefault="00521B3B"/>
  </w:footnote>
  <w:footnote w:id="1">
    <w:p w:rsidR="00521B3B" w:rsidRPr="006E2500" w:rsidRDefault="00521B3B" w:rsidP="007C75BD">
      <w:pPr>
        <w:pStyle w:val="FootnoteText"/>
        <w:rPr>
          <w:rFonts w:ascii="Arial" w:hAnsi="Arial" w:cs="Arial"/>
          <w:sz w:val="16"/>
          <w:szCs w:val="16"/>
        </w:rPr>
      </w:pPr>
      <w:r w:rsidRPr="006E2500">
        <w:rPr>
          <w:rStyle w:val="FootnoteReference"/>
          <w:rFonts w:ascii="Arial" w:hAnsi="Arial" w:cs="Arial"/>
        </w:rPr>
        <w:footnoteRef/>
      </w:r>
      <w:r w:rsidRPr="006E2500">
        <w:rPr>
          <w:rFonts w:ascii="Arial" w:hAnsi="Arial" w:cs="Arial"/>
          <w:sz w:val="16"/>
          <w:szCs w:val="16"/>
        </w:rPr>
        <w:t xml:space="preserve"> Advent Partners, September 2015, ‘</w:t>
      </w:r>
      <w:r w:rsidRPr="006E2500">
        <w:rPr>
          <w:rFonts w:ascii="Arial" w:hAnsi="Arial" w:cs="Arial"/>
          <w:i/>
          <w:sz w:val="16"/>
          <w:szCs w:val="16"/>
        </w:rPr>
        <w:t>Group – New Advent 6 Investment</w:t>
      </w:r>
      <w:r w:rsidRPr="006E2500">
        <w:rPr>
          <w:rFonts w:ascii="Arial" w:hAnsi="Arial" w:cs="Arial"/>
          <w:sz w:val="16"/>
          <w:szCs w:val="16"/>
        </w:rPr>
        <w:t xml:space="preserve">’, viewed on 28 July 2017, </w:t>
      </w:r>
      <w:hyperlink r:id="rId1" w:history="1">
        <w:r w:rsidRPr="006E2500">
          <w:rPr>
            <w:rStyle w:val="Hyperlink"/>
            <w:rFonts w:ascii="Arial" w:hAnsi="Arial" w:cs="Arial"/>
            <w:sz w:val="16"/>
            <w:szCs w:val="16"/>
          </w:rPr>
          <w:t>http://www.advent.com.au/news/2015/09/junior-adventures-group/</w:t>
        </w:r>
      </w:hyperlink>
    </w:p>
  </w:footnote>
  <w:footnote w:id="2">
    <w:p w:rsidR="00521B3B" w:rsidRPr="006E2500" w:rsidRDefault="00521B3B">
      <w:pPr>
        <w:pStyle w:val="FootnoteText"/>
        <w:rPr>
          <w:sz w:val="16"/>
          <w:szCs w:val="16"/>
        </w:rPr>
      </w:pPr>
      <w:r w:rsidRPr="006E2500">
        <w:rPr>
          <w:rStyle w:val="FootnoteReference"/>
          <w:rFonts w:ascii="Arial" w:hAnsi="Arial" w:cs="Arial"/>
        </w:rPr>
        <w:footnoteRef/>
      </w:r>
      <w:r w:rsidRPr="006E2500">
        <w:rPr>
          <w:rFonts w:ascii="Arial" w:hAnsi="Arial" w:cs="Arial"/>
          <w:sz w:val="16"/>
          <w:szCs w:val="16"/>
        </w:rPr>
        <w:t xml:space="preserve"> Australian Government Department of Education and Training, </w:t>
      </w:r>
      <w:r w:rsidRPr="006E2500">
        <w:rPr>
          <w:rFonts w:ascii="Arial" w:hAnsi="Arial" w:cs="Arial"/>
          <w:i/>
          <w:sz w:val="16"/>
          <w:szCs w:val="16"/>
        </w:rPr>
        <w:t>Early Childhood and Childcare in Summary</w:t>
      </w:r>
      <w:r w:rsidRPr="006E2500">
        <w:rPr>
          <w:rFonts w:ascii="Arial" w:hAnsi="Arial" w:cs="Arial"/>
          <w:sz w:val="16"/>
          <w:szCs w:val="16"/>
        </w:rPr>
        <w:t>, September quarter 2016, p3</w:t>
      </w:r>
    </w:p>
  </w:footnote>
  <w:footnote w:id="3">
    <w:p w:rsidR="00521B3B" w:rsidRPr="006E2500" w:rsidRDefault="00521B3B">
      <w:pPr>
        <w:pStyle w:val="FootnoteText"/>
        <w:rPr>
          <w:rFonts w:ascii="Arial" w:hAnsi="Arial" w:cs="Arial"/>
          <w:sz w:val="18"/>
          <w:szCs w:val="18"/>
        </w:rPr>
      </w:pPr>
      <w:r w:rsidRPr="006E2500">
        <w:rPr>
          <w:rStyle w:val="FootnoteReference"/>
          <w:rFonts w:ascii="Arial" w:hAnsi="Arial" w:cs="Arial"/>
        </w:rPr>
        <w:footnoteRef/>
      </w:r>
      <w:r w:rsidRPr="006E2500">
        <w:rPr>
          <w:rFonts w:ascii="Arial" w:hAnsi="Arial" w:cs="Arial"/>
          <w:sz w:val="16"/>
          <w:szCs w:val="16"/>
        </w:rPr>
        <w:t xml:space="preserve"> Australian Government Department of Education and Training, </w:t>
      </w:r>
      <w:r w:rsidRPr="006E2500">
        <w:rPr>
          <w:rFonts w:ascii="Arial" w:hAnsi="Arial" w:cs="Arial"/>
          <w:i/>
          <w:sz w:val="16"/>
          <w:szCs w:val="16"/>
        </w:rPr>
        <w:t>Early Childhood and Childcare in Summary</w:t>
      </w:r>
      <w:r w:rsidRPr="006E2500">
        <w:rPr>
          <w:rFonts w:ascii="Arial" w:hAnsi="Arial" w:cs="Arial"/>
          <w:sz w:val="16"/>
          <w:szCs w:val="16"/>
        </w:rPr>
        <w:t>, September quarter 2016, p13</w:t>
      </w:r>
    </w:p>
  </w:footnote>
  <w:footnote w:id="4">
    <w:p w:rsidR="00521B3B" w:rsidRPr="000403C0" w:rsidRDefault="00521B3B">
      <w:pPr>
        <w:pStyle w:val="FootnoteText"/>
        <w:rPr>
          <w:rFonts w:ascii="Arial" w:hAnsi="Arial" w:cs="Arial"/>
          <w:sz w:val="16"/>
          <w:szCs w:val="16"/>
        </w:rPr>
      </w:pPr>
      <w:r w:rsidRPr="000403C0">
        <w:rPr>
          <w:rStyle w:val="FootnoteReference"/>
          <w:rFonts w:ascii="Arial" w:hAnsi="Arial" w:cs="Arial"/>
        </w:rPr>
        <w:footnoteRef/>
      </w:r>
      <w:r w:rsidRPr="000403C0">
        <w:rPr>
          <w:rFonts w:ascii="Arial" w:hAnsi="Arial" w:cs="Arial"/>
          <w:sz w:val="16"/>
          <w:szCs w:val="16"/>
        </w:rPr>
        <w:t xml:space="preserve"> In 2016, according to the Australian Bureau of Statistics, there were about 7500 primary schools in Australia. There are currently about 4300 OSHC services in Australia.</w:t>
      </w:r>
    </w:p>
  </w:footnote>
  <w:footnote w:id="5">
    <w:p w:rsidR="004947C4" w:rsidRDefault="004947C4" w:rsidP="004947C4">
      <w:r w:rsidRPr="000403C0">
        <w:rPr>
          <w:rStyle w:val="FootnoteReference"/>
          <w:rFonts w:ascii="Arial" w:hAnsi="Arial" w:cs="Arial"/>
        </w:rPr>
        <w:footnoteRef/>
      </w:r>
      <w:r w:rsidRPr="000403C0">
        <w:rPr>
          <w:rFonts w:ascii="Arial" w:hAnsi="Arial" w:cs="Arial"/>
          <w:sz w:val="16"/>
          <w:szCs w:val="16"/>
        </w:rPr>
        <w:t xml:space="preserve"> </w:t>
      </w:r>
      <w:proofErr w:type="gramStart"/>
      <w:r w:rsidRPr="000403C0">
        <w:rPr>
          <w:rFonts w:ascii="Arial" w:hAnsi="Arial" w:cs="Arial"/>
          <w:sz w:val="16"/>
          <w:szCs w:val="16"/>
        </w:rPr>
        <w:t xml:space="preserve">Australian Government Productivity Commission, </w:t>
      </w:r>
      <w:r w:rsidRPr="000403C0">
        <w:rPr>
          <w:rFonts w:ascii="Arial" w:hAnsi="Arial" w:cs="Arial"/>
          <w:i/>
          <w:sz w:val="16"/>
          <w:szCs w:val="16"/>
        </w:rPr>
        <w:t>Childcare and Early Childhood Learning Report</w:t>
      </w:r>
      <w:r w:rsidRPr="000403C0">
        <w:rPr>
          <w:rFonts w:ascii="Arial" w:hAnsi="Arial" w:cs="Arial"/>
          <w:sz w:val="16"/>
          <w:szCs w:val="16"/>
        </w:rPr>
        <w:t xml:space="preserve">, 2015, </w:t>
      </w:r>
      <w:hyperlink r:id="rId2" w:history="1">
        <w:r w:rsidRPr="000403C0">
          <w:rPr>
            <w:rStyle w:val="Hyperlink"/>
            <w:rFonts w:ascii="Arial" w:hAnsi="Arial" w:cs="Arial"/>
            <w:sz w:val="16"/>
            <w:szCs w:val="16"/>
          </w:rPr>
          <w:t>http://www.pc.gov.au/inquiries/completed/childcare/report</w:t>
        </w:r>
      </w:hyperlink>
      <w:r w:rsidRPr="000403C0">
        <w:rPr>
          <w:rFonts w:ascii="Arial" w:hAnsi="Arial" w:cs="Arial"/>
          <w:sz w:val="16"/>
          <w:szCs w:val="16"/>
        </w:rPr>
        <w:t>, p. 369.</w:t>
      </w:r>
      <w:proofErr w:type="gramEnd"/>
    </w:p>
  </w:footnote>
  <w:footnote w:id="6">
    <w:p w:rsidR="00521B3B" w:rsidRPr="004D1D9B" w:rsidRDefault="00521B3B" w:rsidP="007C75BD">
      <w:pPr>
        <w:pStyle w:val="FootnoteText"/>
        <w:rPr>
          <w:rFonts w:ascii="Arial" w:hAnsi="Arial" w:cs="Arial"/>
          <w:sz w:val="16"/>
          <w:szCs w:val="16"/>
        </w:rPr>
      </w:pPr>
      <w:r w:rsidRPr="004D1D9B">
        <w:rPr>
          <w:rStyle w:val="FootnoteReference"/>
          <w:rFonts w:ascii="Arial" w:hAnsi="Arial" w:cs="Arial"/>
        </w:rPr>
        <w:footnoteRef/>
      </w:r>
      <w:r w:rsidRPr="004D1D9B">
        <w:rPr>
          <w:rFonts w:ascii="Arial" w:hAnsi="Arial" w:cs="Arial"/>
          <w:sz w:val="16"/>
          <w:szCs w:val="16"/>
        </w:rPr>
        <w:t xml:space="preserve"> In 2016, according to the Australian Bureau of Statistics, there were about 5270 government primary schools in Australia and 2279 non-government. </w:t>
      </w:r>
    </w:p>
  </w:footnote>
  <w:footnote w:id="7">
    <w:p w:rsidR="00521B3B" w:rsidRPr="004D1D9B" w:rsidRDefault="00521B3B" w:rsidP="007C75BD">
      <w:pPr>
        <w:pStyle w:val="FootnoteText"/>
        <w:rPr>
          <w:rFonts w:ascii="Arial" w:hAnsi="Arial" w:cs="Arial"/>
          <w:i/>
          <w:sz w:val="16"/>
          <w:szCs w:val="16"/>
        </w:rPr>
      </w:pPr>
      <w:r w:rsidRPr="004D1D9B">
        <w:rPr>
          <w:rStyle w:val="FootnoteReference"/>
          <w:rFonts w:ascii="Arial" w:hAnsi="Arial" w:cs="Arial"/>
        </w:rPr>
        <w:footnoteRef/>
      </w:r>
      <w:r w:rsidRPr="004D1D9B">
        <w:rPr>
          <w:rFonts w:ascii="Arial" w:hAnsi="Arial" w:cs="Arial"/>
          <w:sz w:val="16"/>
          <w:szCs w:val="16"/>
        </w:rPr>
        <w:t xml:space="preserve"> The NQF operates under an applied law system, comprising the </w:t>
      </w:r>
      <w:r w:rsidRPr="004D1D9B">
        <w:rPr>
          <w:rFonts w:ascii="Arial" w:hAnsi="Arial" w:cs="Arial"/>
          <w:i/>
          <w:sz w:val="16"/>
          <w:szCs w:val="16"/>
        </w:rPr>
        <w:t>Education and Care Services National Law Act</w:t>
      </w:r>
      <w:r w:rsidRPr="004D1D9B">
        <w:rPr>
          <w:rFonts w:ascii="Arial" w:hAnsi="Arial" w:cs="Arial"/>
          <w:sz w:val="16"/>
          <w:szCs w:val="16"/>
        </w:rPr>
        <w:t xml:space="preserve"> 2010 (Vic) and the </w:t>
      </w:r>
      <w:r w:rsidRPr="004D1D9B">
        <w:rPr>
          <w:rFonts w:ascii="Arial" w:hAnsi="Arial" w:cs="Arial"/>
          <w:i/>
          <w:sz w:val="16"/>
          <w:szCs w:val="16"/>
        </w:rPr>
        <w:t>Education and Care Services National Regulations</w:t>
      </w:r>
      <w:r w:rsidRPr="004D1D9B">
        <w:rPr>
          <w:rFonts w:ascii="Arial" w:hAnsi="Arial" w:cs="Arial"/>
          <w:sz w:val="16"/>
          <w:szCs w:val="16"/>
        </w:rPr>
        <w:t xml:space="preserve"> </w:t>
      </w:r>
      <w:r w:rsidRPr="004D1D9B">
        <w:rPr>
          <w:rFonts w:ascii="Arial" w:hAnsi="Arial" w:cs="Arial"/>
          <w:i/>
          <w:sz w:val="16"/>
          <w:szCs w:val="16"/>
        </w:rPr>
        <w:t xml:space="preserve">2011 </w:t>
      </w:r>
      <w:r w:rsidRPr="004D1D9B">
        <w:rPr>
          <w:rFonts w:ascii="Arial" w:hAnsi="Arial" w:cs="Arial"/>
          <w:sz w:val="16"/>
          <w:szCs w:val="16"/>
        </w:rPr>
        <w:t>(NSW). All</w:t>
      </w:r>
      <w:r w:rsidRPr="004D1D9B">
        <w:rPr>
          <w:rFonts w:ascii="Arial" w:hAnsi="Arial" w:cs="Arial"/>
          <w:i/>
          <w:sz w:val="16"/>
          <w:szCs w:val="16"/>
        </w:rPr>
        <w:t xml:space="preserve"> </w:t>
      </w:r>
      <w:r w:rsidRPr="004D1D9B">
        <w:rPr>
          <w:rFonts w:ascii="Arial" w:hAnsi="Arial" w:cs="Arial"/>
          <w:sz w:val="16"/>
          <w:szCs w:val="16"/>
        </w:rPr>
        <w:t xml:space="preserve">jurisdictions have adopted the Education and </w:t>
      </w:r>
      <w:r w:rsidRPr="004D1D9B">
        <w:rPr>
          <w:rFonts w:ascii="Arial" w:hAnsi="Arial" w:cs="Arial"/>
          <w:i/>
          <w:sz w:val="16"/>
          <w:szCs w:val="16"/>
        </w:rPr>
        <w:t>Care Service National Law Act 2010</w:t>
      </w:r>
      <w:r w:rsidRPr="004D1D9B">
        <w:rPr>
          <w:rFonts w:ascii="Arial" w:hAnsi="Arial" w:cs="Arial"/>
          <w:sz w:val="16"/>
          <w:szCs w:val="16"/>
        </w:rPr>
        <w:t xml:space="preserve"> (Vic) through an Application Act or passed corresponding legislation.</w:t>
      </w:r>
    </w:p>
  </w:footnote>
  <w:footnote w:id="8">
    <w:p w:rsidR="00521B3B" w:rsidRPr="004D1D9B" w:rsidRDefault="00521B3B" w:rsidP="007C75BD">
      <w:pPr>
        <w:pStyle w:val="FootnoteText"/>
        <w:rPr>
          <w:rFonts w:ascii="Arial" w:hAnsi="Arial" w:cs="Arial"/>
          <w:sz w:val="16"/>
          <w:szCs w:val="16"/>
        </w:rPr>
      </w:pPr>
      <w:r w:rsidRPr="004D1D9B">
        <w:rPr>
          <w:rStyle w:val="FootnoteReference"/>
          <w:rFonts w:ascii="Arial" w:hAnsi="Arial" w:cs="Arial"/>
        </w:rPr>
        <w:footnoteRef/>
      </w:r>
      <w:r w:rsidRPr="004D1D9B">
        <w:rPr>
          <w:rFonts w:ascii="Arial" w:hAnsi="Arial" w:cs="Arial"/>
          <w:sz w:val="16"/>
          <w:szCs w:val="16"/>
        </w:rPr>
        <w:t xml:space="preserve"> See </w:t>
      </w:r>
      <w:hyperlink r:id="rId3" w:history="1">
        <w:r w:rsidRPr="004D1D9B">
          <w:rPr>
            <w:rStyle w:val="Hyperlink"/>
            <w:rFonts w:ascii="Arial" w:hAnsi="Arial" w:cs="Arial"/>
            <w:sz w:val="16"/>
            <w:szCs w:val="16"/>
          </w:rPr>
          <w:t>https://www.humanservices.gov.au/customer/services/centrelink/child-care-benefit</w:t>
        </w:r>
      </w:hyperlink>
    </w:p>
  </w:footnote>
  <w:footnote w:id="9">
    <w:p w:rsidR="00521B3B" w:rsidRPr="004D1D9B" w:rsidRDefault="00521B3B" w:rsidP="007C75BD">
      <w:pPr>
        <w:pStyle w:val="FootnoteText"/>
        <w:rPr>
          <w:rFonts w:ascii="Arial" w:hAnsi="Arial" w:cs="Arial"/>
          <w:sz w:val="16"/>
          <w:szCs w:val="16"/>
        </w:rPr>
      </w:pPr>
      <w:r w:rsidRPr="004D1D9B">
        <w:rPr>
          <w:rStyle w:val="FootnoteReference"/>
          <w:rFonts w:ascii="Arial" w:hAnsi="Arial" w:cs="Arial"/>
        </w:rPr>
        <w:footnoteRef/>
      </w:r>
      <w:r w:rsidRPr="004D1D9B">
        <w:rPr>
          <w:rFonts w:ascii="Arial" w:hAnsi="Arial" w:cs="Arial"/>
          <w:sz w:val="16"/>
          <w:szCs w:val="16"/>
        </w:rPr>
        <w:t xml:space="preserve"> See </w:t>
      </w:r>
      <w:hyperlink r:id="rId4" w:history="1">
        <w:r w:rsidRPr="004D1D9B">
          <w:rPr>
            <w:rStyle w:val="Hyperlink"/>
            <w:rFonts w:ascii="Arial" w:hAnsi="Arial" w:cs="Arial"/>
            <w:sz w:val="16"/>
            <w:szCs w:val="16"/>
          </w:rPr>
          <w:t>https://www.humanservices.gov.au/customer/services/centrelink/child-care-rebate</w:t>
        </w:r>
      </w:hyperlink>
    </w:p>
  </w:footnote>
  <w:footnote w:id="10">
    <w:p w:rsidR="00521B3B" w:rsidRDefault="00521B3B" w:rsidP="007C75BD">
      <w:pPr>
        <w:pStyle w:val="FootnoteText"/>
      </w:pPr>
      <w:r w:rsidRPr="004D1D9B">
        <w:rPr>
          <w:rStyle w:val="FootnoteReference"/>
          <w:rFonts w:ascii="Arial" w:hAnsi="Arial" w:cs="Arial"/>
        </w:rPr>
        <w:footnoteRef/>
      </w:r>
      <w:r w:rsidRPr="004D1D9B">
        <w:rPr>
          <w:rFonts w:ascii="Arial" w:hAnsi="Arial" w:cs="Arial"/>
          <w:sz w:val="16"/>
          <w:szCs w:val="16"/>
        </w:rPr>
        <w:t xml:space="preserve"> Australian Government Productivity Commission Inquiry Report: Childcare and Early Childhood Learning, October 2014 p387  </w:t>
      </w:r>
      <w:hyperlink r:id="rId5" w:history="1">
        <w:r w:rsidRPr="004D1D9B">
          <w:rPr>
            <w:rStyle w:val="Hyperlink"/>
            <w:rFonts w:ascii="Arial" w:hAnsi="Arial" w:cs="Arial"/>
            <w:sz w:val="16"/>
            <w:szCs w:val="16"/>
          </w:rPr>
          <w:t>http://www.pc.gov.au/inquiries/completed/childcare/report</w:t>
        </w:r>
      </w:hyperlink>
    </w:p>
  </w:footnote>
  <w:footnote w:id="11">
    <w:p w:rsidR="00521B3B" w:rsidRPr="00043D33" w:rsidRDefault="00521B3B">
      <w:pPr>
        <w:pStyle w:val="FootnoteText"/>
        <w:rPr>
          <w:rFonts w:ascii="Arial" w:hAnsi="Arial" w:cs="Arial"/>
          <w:sz w:val="16"/>
          <w:szCs w:val="16"/>
        </w:rPr>
      </w:pPr>
      <w:r w:rsidRPr="00043D33">
        <w:rPr>
          <w:rStyle w:val="FootnoteReference"/>
          <w:rFonts w:ascii="Arial" w:hAnsi="Arial" w:cs="Arial"/>
        </w:rPr>
        <w:footnoteRef/>
      </w:r>
      <w:r w:rsidRPr="00043D33">
        <w:rPr>
          <w:rFonts w:ascii="Arial" w:hAnsi="Arial" w:cs="Arial"/>
          <w:sz w:val="16"/>
          <w:szCs w:val="16"/>
        </w:rPr>
        <w:t xml:space="preserve"> </w:t>
      </w:r>
      <w:proofErr w:type="gramStart"/>
      <w:r w:rsidRPr="00043D33">
        <w:rPr>
          <w:rFonts w:ascii="Arial" w:hAnsi="Arial" w:cs="Arial"/>
          <w:sz w:val="16"/>
          <w:szCs w:val="16"/>
        </w:rPr>
        <w:t>Including Police Citizens Youth Clubs NSW Ltd, Queensland Police-Citizens Youth Welfare Association and Federation of Western Australian Police and Community Youth Centres (</w:t>
      </w:r>
      <w:proofErr w:type="spellStart"/>
      <w:r w:rsidRPr="00043D33">
        <w:rPr>
          <w:rFonts w:ascii="Arial" w:hAnsi="Arial" w:cs="Arial"/>
          <w:sz w:val="16"/>
          <w:szCs w:val="16"/>
        </w:rPr>
        <w:t>Inc</w:t>
      </w:r>
      <w:proofErr w:type="spellEnd"/>
      <w:r w:rsidRPr="00043D33">
        <w:rPr>
          <w:rFonts w:ascii="Arial" w:hAnsi="Arial" w:cs="Arial"/>
          <w:sz w:val="16"/>
          <w:szCs w:val="16"/>
        </w:rPr>
        <w:t>).</w:t>
      </w:r>
      <w:proofErr w:type="gramEnd"/>
    </w:p>
  </w:footnote>
  <w:footnote w:id="12">
    <w:p w:rsidR="00521B3B" w:rsidRPr="00EB3784" w:rsidRDefault="00521B3B" w:rsidP="007C75BD">
      <w:pPr>
        <w:rPr>
          <w:rFonts w:ascii="Arial" w:hAnsi="Arial" w:cs="Arial"/>
          <w:sz w:val="16"/>
          <w:szCs w:val="16"/>
        </w:rPr>
      </w:pPr>
      <w:r w:rsidRPr="00EB3784">
        <w:rPr>
          <w:rStyle w:val="FootnoteReference"/>
          <w:rFonts w:ascii="Arial" w:hAnsi="Arial" w:cs="Arial"/>
        </w:rPr>
        <w:footnoteRef/>
      </w:r>
      <w:r w:rsidRPr="00EB3784">
        <w:rPr>
          <w:rFonts w:ascii="Arial" w:hAnsi="Arial" w:cs="Arial"/>
          <w:sz w:val="16"/>
          <w:szCs w:val="16"/>
        </w:rPr>
        <w:t xml:space="preserve"> See, for example, the ACCC Public Competition Assessment for ABC Learning Centres – proposed acquisition of Peppercorn Management Group Ltd and Child Care Centres Australia Ltd, at </w:t>
      </w:r>
      <w:hyperlink r:id="rId6" w:history="1">
        <w:r w:rsidRPr="00EB3784">
          <w:rPr>
            <w:rFonts w:ascii="Arial" w:hAnsi="Arial" w:cs="Arial"/>
            <w:sz w:val="16"/>
            <w:szCs w:val="16"/>
          </w:rPr>
          <w:t>http://registers.accc.gov.au/content/index.phtml/itemId/639771/fromItemId/751043</w:t>
        </w:r>
      </w:hyperlink>
    </w:p>
  </w:footnote>
  <w:footnote w:id="13">
    <w:p w:rsidR="00521B3B" w:rsidRPr="00B6232C" w:rsidRDefault="00521B3B" w:rsidP="007C75BD">
      <w:pPr>
        <w:pStyle w:val="FootnoteText"/>
        <w:rPr>
          <w:rFonts w:ascii="Arial" w:hAnsi="Arial" w:cs="Arial"/>
          <w:sz w:val="16"/>
          <w:szCs w:val="16"/>
        </w:rPr>
      </w:pPr>
      <w:r w:rsidRPr="00EB3784">
        <w:rPr>
          <w:rStyle w:val="FootnoteReference"/>
          <w:rFonts w:ascii="Arial" w:hAnsi="Arial" w:cs="Arial"/>
        </w:rPr>
        <w:footnoteRef/>
      </w:r>
      <w:r w:rsidRPr="00B6232C">
        <w:rPr>
          <w:rFonts w:ascii="Arial" w:hAnsi="Arial" w:cs="Arial"/>
          <w:sz w:val="16"/>
          <w:szCs w:val="16"/>
        </w:rPr>
        <w:t xml:space="preserve"> Australian Government Productivity Commission Inquiry Report: Childcare and Early Childhood Learning, October 2014 p369  </w:t>
      </w:r>
      <w:hyperlink r:id="rId7" w:history="1">
        <w:r w:rsidRPr="00B6232C">
          <w:rPr>
            <w:rStyle w:val="Hyperlink"/>
            <w:rFonts w:ascii="Arial" w:hAnsi="Arial" w:cs="Arial"/>
            <w:sz w:val="16"/>
            <w:szCs w:val="16"/>
          </w:rPr>
          <w:t>http://www.pc.gov.au/inquiries/completed/childcare/report</w:t>
        </w:r>
      </w:hyperlink>
    </w:p>
  </w:footnote>
  <w:footnote w:id="14">
    <w:p w:rsidR="00521B3B" w:rsidRPr="00EB3784" w:rsidRDefault="00521B3B" w:rsidP="007C75BD">
      <w:pPr>
        <w:pStyle w:val="FootnoteText"/>
        <w:rPr>
          <w:rFonts w:ascii="Arial" w:hAnsi="Arial" w:cs="Arial"/>
          <w:sz w:val="16"/>
          <w:szCs w:val="16"/>
        </w:rPr>
      </w:pPr>
      <w:r w:rsidRPr="00EB3784">
        <w:rPr>
          <w:rStyle w:val="FootnoteReference"/>
          <w:rFonts w:ascii="Arial" w:hAnsi="Arial" w:cs="Arial"/>
        </w:rPr>
        <w:footnoteRef/>
      </w:r>
      <w:r w:rsidRPr="00EB3784">
        <w:rPr>
          <w:rFonts w:ascii="Arial" w:hAnsi="Arial" w:cs="Arial"/>
          <w:sz w:val="16"/>
          <w:szCs w:val="16"/>
        </w:rPr>
        <w:t xml:space="preserve"> </w:t>
      </w:r>
      <w:hyperlink r:id="rId8" w:history="1">
        <w:r w:rsidRPr="00EB3784">
          <w:rPr>
            <w:rStyle w:val="Hyperlink"/>
            <w:rFonts w:ascii="Arial" w:hAnsi="Arial" w:cs="Arial"/>
            <w:sz w:val="16"/>
            <w:szCs w:val="16"/>
          </w:rPr>
          <w:t>https://cubbycc.com.au/services/before-after-school-care/</w:t>
        </w:r>
      </w:hyperlink>
      <w:r w:rsidRPr="00EB3784">
        <w:rPr>
          <w:rFonts w:ascii="Arial" w:hAnsi="Arial" w:cs="Arial"/>
          <w:sz w:val="16"/>
          <w:szCs w:val="16"/>
        </w:rPr>
        <w:t xml:space="preserve"> viewed 31 July 2017.</w:t>
      </w:r>
    </w:p>
  </w:footnote>
  <w:footnote w:id="15">
    <w:p w:rsidR="00521B3B" w:rsidRPr="00EB3784" w:rsidRDefault="00521B3B" w:rsidP="005B41CC">
      <w:pPr>
        <w:pStyle w:val="FootnoteText"/>
        <w:rPr>
          <w:rFonts w:ascii="Arial" w:hAnsi="Arial" w:cs="Arial"/>
          <w:sz w:val="16"/>
          <w:szCs w:val="16"/>
        </w:rPr>
      </w:pPr>
      <w:r w:rsidRPr="00EB3784">
        <w:rPr>
          <w:rStyle w:val="FootnoteReference"/>
          <w:rFonts w:ascii="Arial" w:hAnsi="Arial" w:cs="Arial"/>
        </w:rPr>
        <w:footnoteRef/>
      </w:r>
      <w:r w:rsidRPr="00EB3784">
        <w:rPr>
          <w:rFonts w:ascii="Arial" w:hAnsi="Arial" w:cs="Arial"/>
          <w:sz w:val="16"/>
          <w:szCs w:val="16"/>
        </w:rPr>
        <w:t xml:space="preserve"> For the purpose of this representation, a ‘large’ provider is considered to be a provider with over 25 sites nationally</w:t>
      </w:r>
      <w:r w:rsidR="004341D4">
        <w:rPr>
          <w:rFonts w:ascii="Arial" w:hAnsi="Arial" w:cs="Arial"/>
          <w:sz w:val="16"/>
          <w:szCs w:val="16"/>
        </w:rPr>
        <w:t>.</w:t>
      </w:r>
    </w:p>
  </w:footnote>
  <w:footnote w:id="16">
    <w:p w:rsidR="00521B3B" w:rsidRDefault="00521B3B" w:rsidP="005B41CC">
      <w:pPr>
        <w:pStyle w:val="FootnoteText"/>
      </w:pPr>
      <w:r w:rsidRPr="00EB3784">
        <w:rPr>
          <w:rStyle w:val="FootnoteReference"/>
          <w:rFonts w:ascii="Arial" w:hAnsi="Arial" w:cs="Arial"/>
        </w:rPr>
        <w:footnoteRef/>
      </w:r>
      <w:r w:rsidRPr="00EB3784">
        <w:rPr>
          <w:rFonts w:ascii="Arial" w:hAnsi="Arial" w:cs="Arial"/>
          <w:sz w:val="16"/>
          <w:szCs w:val="16"/>
        </w:rPr>
        <w:t xml:space="preserve"> Excluding Tasmania and the Northern Territory, in which there is no overlap between the merger parties.</w:t>
      </w:r>
      <w:r w:rsidR="00654074">
        <w:rPr>
          <w:rFonts w:ascii="Arial" w:hAnsi="Arial" w:cs="Arial"/>
          <w:sz w:val="16"/>
          <w:szCs w:val="16"/>
        </w:rPr>
        <w:t xml:space="preserve"> Figures rounded and may not add up to 100%.</w:t>
      </w:r>
    </w:p>
  </w:footnote>
  <w:footnote w:id="17">
    <w:p w:rsidR="00521B3B" w:rsidRPr="00EB3784" w:rsidRDefault="00521B3B" w:rsidP="005B41CC">
      <w:pPr>
        <w:pStyle w:val="FootnoteText"/>
        <w:rPr>
          <w:rFonts w:ascii="Arial" w:hAnsi="Arial" w:cs="Arial"/>
          <w:sz w:val="16"/>
          <w:szCs w:val="16"/>
        </w:rPr>
      </w:pPr>
      <w:r w:rsidRPr="00EB3784">
        <w:rPr>
          <w:rStyle w:val="FootnoteReference"/>
          <w:rFonts w:ascii="Arial" w:hAnsi="Arial" w:cs="Arial"/>
        </w:rPr>
        <w:footnoteRef/>
      </w:r>
      <w:r w:rsidRPr="00EB3784">
        <w:rPr>
          <w:rFonts w:ascii="Arial" w:hAnsi="Arial" w:cs="Arial"/>
          <w:sz w:val="16"/>
          <w:szCs w:val="16"/>
        </w:rPr>
        <w:t xml:space="preserve"> Excluding Tasmania and the Northern Territory, in which there is no overlap between the merger parties. Calculations of percentages undertaken by ACCC staff, based on raw site figures provided by the merger parties.</w:t>
      </w:r>
    </w:p>
  </w:footnote>
  <w:footnote w:id="18">
    <w:p w:rsidR="00A32474" w:rsidRPr="00AC27D5" w:rsidRDefault="00A32474" w:rsidP="00A32474">
      <w:pPr>
        <w:pStyle w:val="FootnoteText"/>
        <w:rPr>
          <w:rFonts w:ascii="Arial" w:hAnsi="Arial" w:cs="Arial"/>
          <w:sz w:val="16"/>
          <w:szCs w:val="16"/>
        </w:rPr>
      </w:pPr>
      <w:r w:rsidRPr="00AC27D5">
        <w:rPr>
          <w:rStyle w:val="FootnoteReference"/>
          <w:rFonts w:ascii="Arial" w:hAnsi="Arial" w:cs="Arial"/>
        </w:rPr>
        <w:footnoteRef/>
      </w:r>
      <w:r w:rsidRPr="00AC27D5">
        <w:rPr>
          <w:rFonts w:ascii="Arial" w:hAnsi="Arial" w:cs="Arial"/>
          <w:sz w:val="16"/>
          <w:szCs w:val="16"/>
        </w:rPr>
        <w:t xml:space="preserve"> http://centacarebrisbane.net.au/child-care/outside-hours-school-care/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3B" w:rsidRDefault="00521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3B" w:rsidRPr="00B171A6" w:rsidRDefault="00521B3B">
    <w:pPr>
      <w:pStyle w:val="Header"/>
      <w:jc w:val="right"/>
      <w:rPr>
        <w:rFonts w:ascii="Arial" w:hAnsi="Arial" w:cs="Arial"/>
        <w:color w:val="000000"/>
        <w:sz w:val="22"/>
        <w:szCs w:val="22"/>
      </w:rPr>
    </w:pPr>
    <w:r>
      <w:rPr>
        <w:rFonts w:ascii="Arial" w:hAnsi="Arial" w:cs="Arial"/>
        <w:color w:val="000000"/>
        <w:sz w:val="22"/>
        <w:szCs w:val="22"/>
      </w:rPr>
      <w:t>Proposed merger of Camp Australia and Junior Adventures Group</w:t>
    </w:r>
  </w:p>
  <w:p w:rsidR="00521B3B" w:rsidRDefault="00521B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3B" w:rsidRDefault="00521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3942146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8A41F79"/>
    <w:multiLevelType w:val="hybridMultilevel"/>
    <w:tmpl w:val="E444A1A2"/>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8">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9">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0">
    <w:nsid w:val="17E552AB"/>
    <w:multiLevelType w:val="hybridMultilevel"/>
    <w:tmpl w:val="82C41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CF519CE"/>
    <w:multiLevelType w:val="multilevel"/>
    <w:tmpl w:val="2ACC2E16"/>
    <w:lvl w:ilvl="0">
      <w:start w:val="1"/>
      <w:numFmt w:val="decimal"/>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2">
    <w:nsid w:val="1D3E16E4"/>
    <w:multiLevelType w:val="hybridMultilevel"/>
    <w:tmpl w:val="E444A1A2"/>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3">
    <w:nsid w:val="20E51EA0"/>
    <w:multiLevelType w:val="hybridMultilevel"/>
    <w:tmpl w:val="29A6259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nsid w:val="3A41020F"/>
    <w:multiLevelType w:val="hybridMultilevel"/>
    <w:tmpl w:val="36A004C0"/>
    <w:lvl w:ilvl="0" w:tplc="0C090001">
      <w:start w:val="7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nsid w:val="4203209D"/>
    <w:multiLevelType w:val="hybridMultilevel"/>
    <w:tmpl w:val="E444A1A2"/>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9">
    <w:nsid w:val="488E3B23"/>
    <w:multiLevelType w:val="hybridMultilevel"/>
    <w:tmpl w:val="C2D018C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8F101D7"/>
    <w:multiLevelType w:val="hybridMultilevel"/>
    <w:tmpl w:val="09F8B880"/>
    <w:lvl w:ilvl="0" w:tplc="A3462396">
      <w:start w:val="1"/>
      <w:numFmt w:val="decimal"/>
      <w:pStyle w:val="Numbered"/>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pStyle w:val="Numbered1111"/>
      <w:lvlText w:val="%4."/>
      <w:lvlJc w:val="left"/>
      <w:pPr>
        <w:ind w:left="2520" w:hanging="360"/>
      </w:pPr>
    </w:lvl>
    <w:lvl w:ilvl="4" w:tplc="0C090019" w:tentative="1">
      <w:start w:val="1"/>
      <w:numFmt w:val="lowerLetter"/>
      <w:pStyle w:val="Numbered11111"/>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BEA0524"/>
    <w:multiLevelType w:val="multilevel"/>
    <w:tmpl w:val="B92EAF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2C7EAF"/>
    <w:multiLevelType w:val="hybridMultilevel"/>
    <w:tmpl w:val="E444A1A2"/>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4">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5">
    <w:nsid w:val="59862F80"/>
    <w:multiLevelType w:val="hybridMultilevel"/>
    <w:tmpl w:val="E444A1A2"/>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6">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7">
    <w:nsid w:val="6D2A231B"/>
    <w:multiLevelType w:val="multilevel"/>
    <w:tmpl w:val="B92EAF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30793F"/>
    <w:multiLevelType w:val="hybridMultilevel"/>
    <w:tmpl w:val="E444A1A2"/>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9">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1">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2">
    <w:nsid w:val="7A530254"/>
    <w:multiLevelType w:val="hybridMultilevel"/>
    <w:tmpl w:val="E444A1A2"/>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3">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4">
    <w:nsid w:val="7DA31AB2"/>
    <w:multiLevelType w:val="hybridMultilevel"/>
    <w:tmpl w:val="933A9B36"/>
    <w:lvl w:ilvl="0" w:tplc="E03ABE68">
      <w:start w:val="1"/>
      <w:numFmt w:val="lowerLetter"/>
      <w:pStyle w:val="ABCList"/>
      <w:lvlText w:val="%1."/>
      <w:lvlJc w:val="left"/>
      <w:pPr>
        <w:ind w:left="2073"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35">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E4737D9"/>
    <w:multiLevelType w:val="hybridMultilevel"/>
    <w:tmpl w:val="A00C5E0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34"/>
  </w:num>
  <w:num w:numId="3">
    <w:abstractNumId w:val="8"/>
  </w:num>
  <w:num w:numId="4">
    <w:abstractNumId w:val="35"/>
  </w:num>
  <w:num w:numId="5">
    <w:abstractNumId w:val="11"/>
  </w:num>
  <w:num w:numId="6">
    <w:abstractNumId w:val="36"/>
  </w:num>
  <w:num w:numId="7">
    <w:abstractNumId w:val="13"/>
  </w:num>
  <w:num w:numId="8">
    <w:abstractNumId w:val="22"/>
  </w:num>
  <w:num w:numId="9">
    <w:abstractNumId w:val="20"/>
  </w:num>
  <w:num w:numId="10">
    <w:abstractNumId w:val="5"/>
  </w:num>
  <w:num w:numId="11">
    <w:abstractNumId w:val="4"/>
  </w:num>
  <w:num w:numId="12">
    <w:abstractNumId w:val="3"/>
  </w:num>
  <w:num w:numId="13">
    <w:abstractNumId w:val="1"/>
  </w:num>
  <w:num w:numId="14">
    <w:abstractNumId w:val="0"/>
  </w:num>
  <w:num w:numId="15">
    <w:abstractNumId w:val="26"/>
  </w:num>
  <w:num w:numId="16">
    <w:abstractNumId w:val="15"/>
  </w:num>
  <w:num w:numId="17">
    <w:abstractNumId w:val="2"/>
  </w:num>
  <w:num w:numId="18">
    <w:abstractNumId w:val="29"/>
  </w:num>
  <w:num w:numId="19">
    <w:abstractNumId w:val="33"/>
  </w:num>
  <w:num w:numId="20">
    <w:abstractNumId w:val="31"/>
  </w:num>
  <w:num w:numId="21">
    <w:abstractNumId w:val="24"/>
  </w:num>
  <w:num w:numId="22">
    <w:abstractNumId w:val="14"/>
  </w:num>
  <w:num w:numId="23">
    <w:abstractNumId w:val="17"/>
  </w:num>
  <w:num w:numId="24">
    <w:abstractNumId w:val="30"/>
  </w:num>
  <w:num w:numId="25">
    <w:abstractNumId w:val="21"/>
  </w:num>
  <w:num w:numId="26">
    <w:abstractNumId w:val="9"/>
  </w:num>
  <w:num w:numId="27">
    <w:abstractNumId w:val="27"/>
  </w:num>
  <w:num w:numId="28">
    <w:abstractNumId w:val="19"/>
  </w:num>
  <w:num w:numId="29">
    <w:abstractNumId w:val="10"/>
  </w:num>
  <w:num w:numId="30">
    <w:abstractNumId w:val="18"/>
  </w:num>
  <w:num w:numId="31">
    <w:abstractNumId w:val="23"/>
  </w:num>
  <w:num w:numId="32">
    <w:abstractNumId w:val="25"/>
  </w:num>
  <w:num w:numId="33">
    <w:abstractNumId w:val="28"/>
  </w:num>
  <w:num w:numId="34">
    <w:abstractNumId w:val="7"/>
  </w:num>
  <w:num w:numId="35">
    <w:abstractNumId w:val="34"/>
    <w:lvlOverride w:ilvl="0">
      <w:startOverride w:val="1"/>
    </w:lvlOverride>
  </w:num>
  <w:num w:numId="36">
    <w:abstractNumId w:val="34"/>
    <w:lvlOverride w:ilvl="0">
      <w:startOverride w:val="1"/>
    </w:lvlOverride>
  </w:num>
  <w:num w:numId="37">
    <w:abstractNumId w:val="34"/>
    <w:lvlOverride w:ilvl="0">
      <w:startOverride w:val="1"/>
    </w:lvlOverride>
  </w:num>
  <w:num w:numId="38">
    <w:abstractNumId w:val="32"/>
  </w:num>
  <w:num w:numId="39">
    <w:abstractNumId w:val="12"/>
  </w:num>
  <w:num w:numId="40">
    <w:abstractNumId w:val="16"/>
  </w:num>
  <w:num w:numId="41">
    <w:abstractNumId w:val="20"/>
  </w:num>
  <w:num w:numId="42">
    <w:abstractNumId w:val="20"/>
  </w:num>
  <w:num w:numId="43">
    <w:abstractNumId w:val="20"/>
  </w:num>
  <w:num w:numId="44">
    <w:abstractNumId w:val="34"/>
  </w:num>
  <w:num w:numId="45">
    <w:abstractNumId w:val="34"/>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hdrShapeDefaults>
    <o:shapedefaults v:ext="edit" spidmax="2416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asudo\Desktop\MER17 10399  CampAus JAG - Statement of Issues final version - 9 August 2017.docx"/>
  </w:docVars>
  <w:rsids>
    <w:rsidRoot w:val="002A6DE2"/>
    <w:rsid w:val="00000309"/>
    <w:rsid w:val="0000239B"/>
    <w:rsid w:val="000028A1"/>
    <w:rsid w:val="00004385"/>
    <w:rsid w:val="0000563E"/>
    <w:rsid w:val="00005D7D"/>
    <w:rsid w:val="00005D97"/>
    <w:rsid w:val="000107A1"/>
    <w:rsid w:val="000113A1"/>
    <w:rsid w:val="00011816"/>
    <w:rsid w:val="00011B2B"/>
    <w:rsid w:val="000124BC"/>
    <w:rsid w:val="000128AC"/>
    <w:rsid w:val="00016892"/>
    <w:rsid w:val="0002157C"/>
    <w:rsid w:val="00021752"/>
    <w:rsid w:val="00023B25"/>
    <w:rsid w:val="0002412F"/>
    <w:rsid w:val="00024AFF"/>
    <w:rsid w:val="000262C5"/>
    <w:rsid w:val="00030A8D"/>
    <w:rsid w:val="00030F05"/>
    <w:rsid w:val="00031F7A"/>
    <w:rsid w:val="00032286"/>
    <w:rsid w:val="000331F0"/>
    <w:rsid w:val="00033890"/>
    <w:rsid w:val="00033C3A"/>
    <w:rsid w:val="000367AE"/>
    <w:rsid w:val="000403C0"/>
    <w:rsid w:val="00043D33"/>
    <w:rsid w:val="00043EFD"/>
    <w:rsid w:val="00044D63"/>
    <w:rsid w:val="00046A78"/>
    <w:rsid w:val="00047A04"/>
    <w:rsid w:val="0005020A"/>
    <w:rsid w:val="000510D4"/>
    <w:rsid w:val="00052538"/>
    <w:rsid w:val="00056933"/>
    <w:rsid w:val="00056955"/>
    <w:rsid w:val="000570AF"/>
    <w:rsid w:val="00057984"/>
    <w:rsid w:val="000614FC"/>
    <w:rsid w:val="00061804"/>
    <w:rsid w:val="00062690"/>
    <w:rsid w:val="0006461F"/>
    <w:rsid w:val="00065BEF"/>
    <w:rsid w:val="00072E29"/>
    <w:rsid w:val="0007361D"/>
    <w:rsid w:val="00073A43"/>
    <w:rsid w:val="000761BD"/>
    <w:rsid w:val="000764BE"/>
    <w:rsid w:val="0007658B"/>
    <w:rsid w:val="00076AE8"/>
    <w:rsid w:val="00076DBA"/>
    <w:rsid w:val="00081A7F"/>
    <w:rsid w:val="000823AE"/>
    <w:rsid w:val="000832E1"/>
    <w:rsid w:val="0008445B"/>
    <w:rsid w:val="00084F81"/>
    <w:rsid w:val="00091D49"/>
    <w:rsid w:val="0009288C"/>
    <w:rsid w:val="00093C74"/>
    <w:rsid w:val="000945B7"/>
    <w:rsid w:val="00096D29"/>
    <w:rsid w:val="00097843"/>
    <w:rsid w:val="00097AFD"/>
    <w:rsid w:val="000A1CBE"/>
    <w:rsid w:val="000A3830"/>
    <w:rsid w:val="000A5A9D"/>
    <w:rsid w:val="000A6542"/>
    <w:rsid w:val="000B4374"/>
    <w:rsid w:val="000B4C9A"/>
    <w:rsid w:val="000B7065"/>
    <w:rsid w:val="000B7689"/>
    <w:rsid w:val="000B7B7D"/>
    <w:rsid w:val="000C047F"/>
    <w:rsid w:val="000C0AF2"/>
    <w:rsid w:val="000C395C"/>
    <w:rsid w:val="000C5E70"/>
    <w:rsid w:val="000C66FD"/>
    <w:rsid w:val="000C79D5"/>
    <w:rsid w:val="000D2007"/>
    <w:rsid w:val="000D2681"/>
    <w:rsid w:val="000D3E61"/>
    <w:rsid w:val="000D582B"/>
    <w:rsid w:val="000D7177"/>
    <w:rsid w:val="000D7F27"/>
    <w:rsid w:val="000D7F8D"/>
    <w:rsid w:val="000E0735"/>
    <w:rsid w:val="000E14B9"/>
    <w:rsid w:val="000E58C8"/>
    <w:rsid w:val="000F09D5"/>
    <w:rsid w:val="000F1217"/>
    <w:rsid w:val="000F1353"/>
    <w:rsid w:val="000F1C5E"/>
    <w:rsid w:val="000F207C"/>
    <w:rsid w:val="000F24E8"/>
    <w:rsid w:val="000F5165"/>
    <w:rsid w:val="000F5349"/>
    <w:rsid w:val="000F535C"/>
    <w:rsid w:val="000F6D42"/>
    <w:rsid w:val="0010218F"/>
    <w:rsid w:val="001034C4"/>
    <w:rsid w:val="00103DB7"/>
    <w:rsid w:val="001040A1"/>
    <w:rsid w:val="001057BD"/>
    <w:rsid w:val="00106536"/>
    <w:rsid w:val="0010745D"/>
    <w:rsid w:val="001112BF"/>
    <w:rsid w:val="00111873"/>
    <w:rsid w:val="0011289F"/>
    <w:rsid w:val="00112FED"/>
    <w:rsid w:val="0011391C"/>
    <w:rsid w:val="001149AB"/>
    <w:rsid w:val="00116D48"/>
    <w:rsid w:val="001208EF"/>
    <w:rsid w:val="0012425F"/>
    <w:rsid w:val="00124F04"/>
    <w:rsid w:val="001262C3"/>
    <w:rsid w:val="00126953"/>
    <w:rsid w:val="00130092"/>
    <w:rsid w:val="001309E1"/>
    <w:rsid w:val="001315C5"/>
    <w:rsid w:val="00131D7A"/>
    <w:rsid w:val="00132A55"/>
    <w:rsid w:val="0013421F"/>
    <w:rsid w:val="00134AD5"/>
    <w:rsid w:val="00135D2B"/>
    <w:rsid w:val="001373B3"/>
    <w:rsid w:val="0014383E"/>
    <w:rsid w:val="00144622"/>
    <w:rsid w:val="00144AA2"/>
    <w:rsid w:val="0014526F"/>
    <w:rsid w:val="001461A7"/>
    <w:rsid w:val="00147CF6"/>
    <w:rsid w:val="0015014F"/>
    <w:rsid w:val="001502A5"/>
    <w:rsid w:val="00150E91"/>
    <w:rsid w:val="00152741"/>
    <w:rsid w:val="00153098"/>
    <w:rsid w:val="001579AA"/>
    <w:rsid w:val="00160328"/>
    <w:rsid w:val="00160B37"/>
    <w:rsid w:val="001641B5"/>
    <w:rsid w:val="00165CC0"/>
    <w:rsid w:val="0017017D"/>
    <w:rsid w:val="00170ECD"/>
    <w:rsid w:val="001720D8"/>
    <w:rsid w:val="00173628"/>
    <w:rsid w:val="001736AB"/>
    <w:rsid w:val="001759CD"/>
    <w:rsid w:val="001773A6"/>
    <w:rsid w:val="00181AE2"/>
    <w:rsid w:val="00181B06"/>
    <w:rsid w:val="00182DB3"/>
    <w:rsid w:val="0018455C"/>
    <w:rsid w:val="0019013F"/>
    <w:rsid w:val="001904D0"/>
    <w:rsid w:val="0019090A"/>
    <w:rsid w:val="00191781"/>
    <w:rsid w:val="001923B5"/>
    <w:rsid w:val="00192599"/>
    <w:rsid w:val="001928D1"/>
    <w:rsid w:val="001931AF"/>
    <w:rsid w:val="00193EA2"/>
    <w:rsid w:val="00194611"/>
    <w:rsid w:val="00194633"/>
    <w:rsid w:val="00194B34"/>
    <w:rsid w:val="00194D5D"/>
    <w:rsid w:val="00194EFF"/>
    <w:rsid w:val="00196387"/>
    <w:rsid w:val="00196A58"/>
    <w:rsid w:val="001A0758"/>
    <w:rsid w:val="001A2B35"/>
    <w:rsid w:val="001A2DCF"/>
    <w:rsid w:val="001A4C29"/>
    <w:rsid w:val="001A5408"/>
    <w:rsid w:val="001A68F4"/>
    <w:rsid w:val="001B03D7"/>
    <w:rsid w:val="001B0B69"/>
    <w:rsid w:val="001B143D"/>
    <w:rsid w:val="001B3433"/>
    <w:rsid w:val="001B382F"/>
    <w:rsid w:val="001B4418"/>
    <w:rsid w:val="001C0D35"/>
    <w:rsid w:val="001C1695"/>
    <w:rsid w:val="001C42C7"/>
    <w:rsid w:val="001C6DB4"/>
    <w:rsid w:val="001D1801"/>
    <w:rsid w:val="001D3D6D"/>
    <w:rsid w:val="001D49DB"/>
    <w:rsid w:val="001D68F3"/>
    <w:rsid w:val="001D69C8"/>
    <w:rsid w:val="001D71D1"/>
    <w:rsid w:val="001D7279"/>
    <w:rsid w:val="001D7BFD"/>
    <w:rsid w:val="001E54B7"/>
    <w:rsid w:val="001E54C2"/>
    <w:rsid w:val="001E654E"/>
    <w:rsid w:val="001E7CB1"/>
    <w:rsid w:val="001F5046"/>
    <w:rsid w:val="001F531B"/>
    <w:rsid w:val="001F6AD9"/>
    <w:rsid w:val="001F7558"/>
    <w:rsid w:val="001F7AED"/>
    <w:rsid w:val="00201075"/>
    <w:rsid w:val="002052D4"/>
    <w:rsid w:val="00206986"/>
    <w:rsid w:val="0020741A"/>
    <w:rsid w:val="00207425"/>
    <w:rsid w:val="0021005E"/>
    <w:rsid w:val="00210704"/>
    <w:rsid w:val="00210752"/>
    <w:rsid w:val="0021166A"/>
    <w:rsid w:val="00211D26"/>
    <w:rsid w:val="002131C4"/>
    <w:rsid w:val="002134F0"/>
    <w:rsid w:val="00214DE9"/>
    <w:rsid w:val="00216E86"/>
    <w:rsid w:val="002208A4"/>
    <w:rsid w:val="00220A99"/>
    <w:rsid w:val="00221E71"/>
    <w:rsid w:val="0022220A"/>
    <w:rsid w:val="00222DCF"/>
    <w:rsid w:val="00222E6C"/>
    <w:rsid w:val="0022317B"/>
    <w:rsid w:val="00224E83"/>
    <w:rsid w:val="002269F5"/>
    <w:rsid w:val="00226A10"/>
    <w:rsid w:val="00226AF7"/>
    <w:rsid w:val="00231036"/>
    <w:rsid w:val="002314C6"/>
    <w:rsid w:val="00232372"/>
    <w:rsid w:val="00233E0F"/>
    <w:rsid w:val="002343B7"/>
    <w:rsid w:val="0024074E"/>
    <w:rsid w:val="00240DAA"/>
    <w:rsid w:val="0024150A"/>
    <w:rsid w:val="00245B49"/>
    <w:rsid w:val="00245E8B"/>
    <w:rsid w:val="00251203"/>
    <w:rsid w:val="00251D63"/>
    <w:rsid w:val="0026181C"/>
    <w:rsid w:val="0026269E"/>
    <w:rsid w:val="00262BFA"/>
    <w:rsid w:val="00263270"/>
    <w:rsid w:val="00270946"/>
    <w:rsid w:val="00270B18"/>
    <w:rsid w:val="00270BF1"/>
    <w:rsid w:val="00271058"/>
    <w:rsid w:val="0027157D"/>
    <w:rsid w:val="00273A20"/>
    <w:rsid w:val="00273E8D"/>
    <w:rsid w:val="00276444"/>
    <w:rsid w:val="00276E57"/>
    <w:rsid w:val="00277CE4"/>
    <w:rsid w:val="00277DA6"/>
    <w:rsid w:val="00277F9D"/>
    <w:rsid w:val="00280935"/>
    <w:rsid w:val="00281FBA"/>
    <w:rsid w:val="002821CA"/>
    <w:rsid w:val="0028514D"/>
    <w:rsid w:val="002873EC"/>
    <w:rsid w:val="00291445"/>
    <w:rsid w:val="00294EA4"/>
    <w:rsid w:val="002958C8"/>
    <w:rsid w:val="002964C9"/>
    <w:rsid w:val="00296943"/>
    <w:rsid w:val="002A0E7C"/>
    <w:rsid w:val="002A1B54"/>
    <w:rsid w:val="002A1EB3"/>
    <w:rsid w:val="002A1FD5"/>
    <w:rsid w:val="002A2ABF"/>
    <w:rsid w:val="002A3AF5"/>
    <w:rsid w:val="002A3C3A"/>
    <w:rsid w:val="002A4456"/>
    <w:rsid w:val="002A6B4D"/>
    <w:rsid w:val="002A6DE2"/>
    <w:rsid w:val="002A729B"/>
    <w:rsid w:val="002B2342"/>
    <w:rsid w:val="002B33D8"/>
    <w:rsid w:val="002B3644"/>
    <w:rsid w:val="002B4523"/>
    <w:rsid w:val="002B61E7"/>
    <w:rsid w:val="002B7B7F"/>
    <w:rsid w:val="002C01C3"/>
    <w:rsid w:val="002C0DF1"/>
    <w:rsid w:val="002C1157"/>
    <w:rsid w:val="002C49EF"/>
    <w:rsid w:val="002C4AB7"/>
    <w:rsid w:val="002C55A1"/>
    <w:rsid w:val="002C55DE"/>
    <w:rsid w:val="002C5DDA"/>
    <w:rsid w:val="002C7733"/>
    <w:rsid w:val="002D01DD"/>
    <w:rsid w:val="002D193F"/>
    <w:rsid w:val="002D4702"/>
    <w:rsid w:val="002E1103"/>
    <w:rsid w:val="002E113D"/>
    <w:rsid w:val="002E153A"/>
    <w:rsid w:val="002E488F"/>
    <w:rsid w:val="002E5550"/>
    <w:rsid w:val="002E654D"/>
    <w:rsid w:val="002F00E5"/>
    <w:rsid w:val="002F0E33"/>
    <w:rsid w:val="002F2A84"/>
    <w:rsid w:val="003003A3"/>
    <w:rsid w:val="00302D57"/>
    <w:rsid w:val="00304689"/>
    <w:rsid w:val="00306451"/>
    <w:rsid w:val="00313C88"/>
    <w:rsid w:val="00313F22"/>
    <w:rsid w:val="0031414E"/>
    <w:rsid w:val="00314629"/>
    <w:rsid w:val="003148F9"/>
    <w:rsid w:val="00315BA0"/>
    <w:rsid w:val="003207AF"/>
    <w:rsid w:val="00321563"/>
    <w:rsid w:val="003216D2"/>
    <w:rsid w:val="003219EE"/>
    <w:rsid w:val="00321B3C"/>
    <w:rsid w:val="00321BBE"/>
    <w:rsid w:val="00321ED9"/>
    <w:rsid w:val="00322FE7"/>
    <w:rsid w:val="00323C56"/>
    <w:rsid w:val="00325F6B"/>
    <w:rsid w:val="0032702A"/>
    <w:rsid w:val="00327EDF"/>
    <w:rsid w:val="0033083F"/>
    <w:rsid w:val="003312E6"/>
    <w:rsid w:val="00331918"/>
    <w:rsid w:val="00334145"/>
    <w:rsid w:val="00334378"/>
    <w:rsid w:val="00334C05"/>
    <w:rsid w:val="0033648E"/>
    <w:rsid w:val="003401C9"/>
    <w:rsid w:val="003413D6"/>
    <w:rsid w:val="003453B3"/>
    <w:rsid w:val="00346285"/>
    <w:rsid w:val="00346461"/>
    <w:rsid w:val="00350147"/>
    <w:rsid w:val="0035083C"/>
    <w:rsid w:val="00351A62"/>
    <w:rsid w:val="00351C4B"/>
    <w:rsid w:val="00354178"/>
    <w:rsid w:val="00356E12"/>
    <w:rsid w:val="003575D5"/>
    <w:rsid w:val="0036276C"/>
    <w:rsid w:val="00362DBE"/>
    <w:rsid w:val="003643BD"/>
    <w:rsid w:val="003648D1"/>
    <w:rsid w:val="00365020"/>
    <w:rsid w:val="00367ED4"/>
    <w:rsid w:val="003700E0"/>
    <w:rsid w:val="00370C20"/>
    <w:rsid w:val="00370F96"/>
    <w:rsid w:val="003736C1"/>
    <w:rsid w:val="00373725"/>
    <w:rsid w:val="0037401E"/>
    <w:rsid w:val="0037569D"/>
    <w:rsid w:val="00376A0E"/>
    <w:rsid w:val="00377DB9"/>
    <w:rsid w:val="00384116"/>
    <w:rsid w:val="00385133"/>
    <w:rsid w:val="00385910"/>
    <w:rsid w:val="0038753A"/>
    <w:rsid w:val="00390509"/>
    <w:rsid w:val="00390D61"/>
    <w:rsid w:val="00393DD8"/>
    <w:rsid w:val="003967A5"/>
    <w:rsid w:val="00397BB4"/>
    <w:rsid w:val="003A190F"/>
    <w:rsid w:val="003A287C"/>
    <w:rsid w:val="003A2DA5"/>
    <w:rsid w:val="003A4A16"/>
    <w:rsid w:val="003A5652"/>
    <w:rsid w:val="003A6C29"/>
    <w:rsid w:val="003B2AAE"/>
    <w:rsid w:val="003C1456"/>
    <w:rsid w:val="003C1A7A"/>
    <w:rsid w:val="003C4A55"/>
    <w:rsid w:val="003C579D"/>
    <w:rsid w:val="003C58A7"/>
    <w:rsid w:val="003C5DDA"/>
    <w:rsid w:val="003C6139"/>
    <w:rsid w:val="003D0028"/>
    <w:rsid w:val="003D24C9"/>
    <w:rsid w:val="003D709F"/>
    <w:rsid w:val="003E14A8"/>
    <w:rsid w:val="003E2C0A"/>
    <w:rsid w:val="003E457D"/>
    <w:rsid w:val="003E517C"/>
    <w:rsid w:val="003E5700"/>
    <w:rsid w:val="003E5D96"/>
    <w:rsid w:val="003E5FB6"/>
    <w:rsid w:val="003E6724"/>
    <w:rsid w:val="003E7158"/>
    <w:rsid w:val="003F00B9"/>
    <w:rsid w:val="003F2CBB"/>
    <w:rsid w:val="003F4114"/>
    <w:rsid w:val="003F581B"/>
    <w:rsid w:val="003F5A3B"/>
    <w:rsid w:val="003F7611"/>
    <w:rsid w:val="003F78F4"/>
    <w:rsid w:val="004016E7"/>
    <w:rsid w:val="00401AC3"/>
    <w:rsid w:val="00412654"/>
    <w:rsid w:val="00415A17"/>
    <w:rsid w:val="00415E5A"/>
    <w:rsid w:val="0041683E"/>
    <w:rsid w:val="00417E0D"/>
    <w:rsid w:val="0042146A"/>
    <w:rsid w:val="00424FDD"/>
    <w:rsid w:val="00425899"/>
    <w:rsid w:val="00430A3B"/>
    <w:rsid w:val="00431CD6"/>
    <w:rsid w:val="00433F91"/>
    <w:rsid w:val="004341D4"/>
    <w:rsid w:val="00434D03"/>
    <w:rsid w:val="004350C1"/>
    <w:rsid w:val="00435712"/>
    <w:rsid w:val="00435D8B"/>
    <w:rsid w:val="00437DC7"/>
    <w:rsid w:val="00437EE8"/>
    <w:rsid w:val="0044075A"/>
    <w:rsid w:val="00441ABC"/>
    <w:rsid w:val="00443646"/>
    <w:rsid w:val="00443B55"/>
    <w:rsid w:val="004470C1"/>
    <w:rsid w:val="00450BCC"/>
    <w:rsid w:val="0045179B"/>
    <w:rsid w:val="00453030"/>
    <w:rsid w:val="00455554"/>
    <w:rsid w:val="004577BB"/>
    <w:rsid w:val="004618DD"/>
    <w:rsid w:val="00463B58"/>
    <w:rsid w:val="00475811"/>
    <w:rsid w:val="00475D50"/>
    <w:rsid w:val="00475EB5"/>
    <w:rsid w:val="0048121E"/>
    <w:rsid w:val="00481D7B"/>
    <w:rsid w:val="004824F6"/>
    <w:rsid w:val="00490D08"/>
    <w:rsid w:val="00491672"/>
    <w:rsid w:val="00491E09"/>
    <w:rsid w:val="00491E4B"/>
    <w:rsid w:val="00493B9D"/>
    <w:rsid w:val="004947C4"/>
    <w:rsid w:val="00494CB1"/>
    <w:rsid w:val="00497688"/>
    <w:rsid w:val="0049780B"/>
    <w:rsid w:val="004979AC"/>
    <w:rsid w:val="004A0007"/>
    <w:rsid w:val="004A010A"/>
    <w:rsid w:val="004A096A"/>
    <w:rsid w:val="004A2428"/>
    <w:rsid w:val="004A2AC3"/>
    <w:rsid w:val="004A4100"/>
    <w:rsid w:val="004A532B"/>
    <w:rsid w:val="004B0044"/>
    <w:rsid w:val="004B1554"/>
    <w:rsid w:val="004B1DAE"/>
    <w:rsid w:val="004B5955"/>
    <w:rsid w:val="004B7032"/>
    <w:rsid w:val="004C2233"/>
    <w:rsid w:val="004C2306"/>
    <w:rsid w:val="004C4AAF"/>
    <w:rsid w:val="004C5E83"/>
    <w:rsid w:val="004C6B2F"/>
    <w:rsid w:val="004D197C"/>
    <w:rsid w:val="004D1D9B"/>
    <w:rsid w:val="004D3271"/>
    <w:rsid w:val="004D38AD"/>
    <w:rsid w:val="004D3C22"/>
    <w:rsid w:val="004D425B"/>
    <w:rsid w:val="004D650E"/>
    <w:rsid w:val="004D7B6F"/>
    <w:rsid w:val="004E0FD8"/>
    <w:rsid w:val="004E22C0"/>
    <w:rsid w:val="004E34C1"/>
    <w:rsid w:val="004F09B1"/>
    <w:rsid w:val="004F21C2"/>
    <w:rsid w:val="004F26D2"/>
    <w:rsid w:val="004F2C1C"/>
    <w:rsid w:val="004F3CC3"/>
    <w:rsid w:val="004F4044"/>
    <w:rsid w:val="004F6F14"/>
    <w:rsid w:val="004F6F68"/>
    <w:rsid w:val="004F7AFB"/>
    <w:rsid w:val="005001C1"/>
    <w:rsid w:val="00501058"/>
    <w:rsid w:val="00501205"/>
    <w:rsid w:val="00501306"/>
    <w:rsid w:val="00502E5B"/>
    <w:rsid w:val="005059ED"/>
    <w:rsid w:val="00507EA8"/>
    <w:rsid w:val="00511CFB"/>
    <w:rsid w:val="0051256B"/>
    <w:rsid w:val="00516158"/>
    <w:rsid w:val="00520418"/>
    <w:rsid w:val="00521B3B"/>
    <w:rsid w:val="0052265F"/>
    <w:rsid w:val="00523CCE"/>
    <w:rsid w:val="005255A4"/>
    <w:rsid w:val="0052686F"/>
    <w:rsid w:val="0052696A"/>
    <w:rsid w:val="00526A01"/>
    <w:rsid w:val="005273B0"/>
    <w:rsid w:val="00527BB1"/>
    <w:rsid w:val="00527C42"/>
    <w:rsid w:val="00531857"/>
    <w:rsid w:val="00542181"/>
    <w:rsid w:val="005439BC"/>
    <w:rsid w:val="00545512"/>
    <w:rsid w:val="0054720F"/>
    <w:rsid w:val="005475AE"/>
    <w:rsid w:val="00550EED"/>
    <w:rsid w:val="00550FC8"/>
    <w:rsid w:val="00552BA7"/>
    <w:rsid w:val="005535A4"/>
    <w:rsid w:val="00553D8D"/>
    <w:rsid w:val="00556797"/>
    <w:rsid w:val="00556F05"/>
    <w:rsid w:val="00557A68"/>
    <w:rsid w:val="005608C1"/>
    <w:rsid w:val="00560D7F"/>
    <w:rsid w:val="005618AE"/>
    <w:rsid w:val="005618ED"/>
    <w:rsid w:val="00562579"/>
    <w:rsid w:val="00562754"/>
    <w:rsid w:val="005639E5"/>
    <w:rsid w:val="00563D6D"/>
    <w:rsid w:val="0056474D"/>
    <w:rsid w:val="00565A31"/>
    <w:rsid w:val="005666D7"/>
    <w:rsid w:val="0057290A"/>
    <w:rsid w:val="00574D21"/>
    <w:rsid w:val="005767E2"/>
    <w:rsid w:val="00580A7D"/>
    <w:rsid w:val="00580C44"/>
    <w:rsid w:val="00582C18"/>
    <w:rsid w:val="00584488"/>
    <w:rsid w:val="0058603E"/>
    <w:rsid w:val="00591D45"/>
    <w:rsid w:val="00592CB4"/>
    <w:rsid w:val="00594126"/>
    <w:rsid w:val="00595B20"/>
    <w:rsid w:val="0059690A"/>
    <w:rsid w:val="00596CCF"/>
    <w:rsid w:val="005A1F6D"/>
    <w:rsid w:val="005A2051"/>
    <w:rsid w:val="005A2657"/>
    <w:rsid w:val="005A29C4"/>
    <w:rsid w:val="005A3D63"/>
    <w:rsid w:val="005A458A"/>
    <w:rsid w:val="005A5ECD"/>
    <w:rsid w:val="005A7779"/>
    <w:rsid w:val="005A7D8B"/>
    <w:rsid w:val="005B07AC"/>
    <w:rsid w:val="005B41CC"/>
    <w:rsid w:val="005B4D13"/>
    <w:rsid w:val="005B6A56"/>
    <w:rsid w:val="005C0219"/>
    <w:rsid w:val="005C1C13"/>
    <w:rsid w:val="005C2A3B"/>
    <w:rsid w:val="005C4DDF"/>
    <w:rsid w:val="005C50A3"/>
    <w:rsid w:val="005C548C"/>
    <w:rsid w:val="005C6A67"/>
    <w:rsid w:val="005C6AA7"/>
    <w:rsid w:val="005C7290"/>
    <w:rsid w:val="005C7F04"/>
    <w:rsid w:val="005D2142"/>
    <w:rsid w:val="005D2FC3"/>
    <w:rsid w:val="005D3EB2"/>
    <w:rsid w:val="005E1368"/>
    <w:rsid w:val="005E3201"/>
    <w:rsid w:val="005E42DF"/>
    <w:rsid w:val="005E5866"/>
    <w:rsid w:val="005F1F0B"/>
    <w:rsid w:val="005F2789"/>
    <w:rsid w:val="005F38D0"/>
    <w:rsid w:val="005F430A"/>
    <w:rsid w:val="005F52CB"/>
    <w:rsid w:val="005F5B1A"/>
    <w:rsid w:val="0060271E"/>
    <w:rsid w:val="006037C1"/>
    <w:rsid w:val="00603D16"/>
    <w:rsid w:val="00604DD2"/>
    <w:rsid w:val="006063E1"/>
    <w:rsid w:val="0061010B"/>
    <w:rsid w:val="00610813"/>
    <w:rsid w:val="00610865"/>
    <w:rsid w:val="00610959"/>
    <w:rsid w:val="006134B8"/>
    <w:rsid w:val="00613832"/>
    <w:rsid w:val="00622DFB"/>
    <w:rsid w:val="00623239"/>
    <w:rsid w:val="0062465D"/>
    <w:rsid w:val="00624B5C"/>
    <w:rsid w:val="00626538"/>
    <w:rsid w:val="00626A61"/>
    <w:rsid w:val="00626BD1"/>
    <w:rsid w:val="00631943"/>
    <w:rsid w:val="006333DE"/>
    <w:rsid w:val="00633D79"/>
    <w:rsid w:val="0063468C"/>
    <w:rsid w:val="00634E28"/>
    <w:rsid w:val="006352A4"/>
    <w:rsid w:val="0064409C"/>
    <w:rsid w:val="006449B6"/>
    <w:rsid w:val="006468EF"/>
    <w:rsid w:val="00646B63"/>
    <w:rsid w:val="00646D32"/>
    <w:rsid w:val="00646D76"/>
    <w:rsid w:val="006508AB"/>
    <w:rsid w:val="00651E99"/>
    <w:rsid w:val="00654074"/>
    <w:rsid w:val="00655021"/>
    <w:rsid w:val="00655F85"/>
    <w:rsid w:val="00656472"/>
    <w:rsid w:val="00657282"/>
    <w:rsid w:val="006617D6"/>
    <w:rsid w:val="00663453"/>
    <w:rsid w:val="00663559"/>
    <w:rsid w:val="006639DB"/>
    <w:rsid w:val="00663D57"/>
    <w:rsid w:val="006739C6"/>
    <w:rsid w:val="00675394"/>
    <w:rsid w:val="00675DC5"/>
    <w:rsid w:val="00680FBA"/>
    <w:rsid w:val="00682171"/>
    <w:rsid w:val="00682287"/>
    <w:rsid w:val="006835F0"/>
    <w:rsid w:val="00685DB0"/>
    <w:rsid w:val="00686178"/>
    <w:rsid w:val="006866B9"/>
    <w:rsid w:val="00691818"/>
    <w:rsid w:val="00691E89"/>
    <w:rsid w:val="0069283A"/>
    <w:rsid w:val="00692C62"/>
    <w:rsid w:val="00693590"/>
    <w:rsid w:val="00694EFE"/>
    <w:rsid w:val="00697F9D"/>
    <w:rsid w:val="006A1715"/>
    <w:rsid w:val="006A2184"/>
    <w:rsid w:val="006A4C20"/>
    <w:rsid w:val="006A5082"/>
    <w:rsid w:val="006A5CFA"/>
    <w:rsid w:val="006A7D07"/>
    <w:rsid w:val="006B0621"/>
    <w:rsid w:val="006B12D5"/>
    <w:rsid w:val="006B4693"/>
    <w:rsid w:val="006C4041"/>
    <w:rsid w:val="006C5F4C"/>
    <w:rsid w:val="006C71BC"/>
    <w:rsid w:val="006C741B"/>
    <w:rsid w:val="006D0D37"/>
    <w:rsid w:val="006D2797"/>
    <w:rsid w:val="006D3666"/>
    <w:rsid w:val="006D3FB7"/>
    <w:rsid w:val="006D61EA"/>
    <w:rsid w:val="006D6B12"/>
    <w:rsid w:val="006D6D86"/>
    <w:rsid w:val="006E2500"/>
    <w:rsid w:val="006E28A3"/>
    <w:rsid w:val="006E43A2"/>
    <w:rsid w:val="006E47AA"/>
    <w:rsid w:val="006E6F8E"/>
    <w:rsid w:val="006E7DDB"/>
    <w:rsid w:val="006E7E72"/>
    <w:rsid w:val="006F12CE"/>
    <w:rsid w:val="006F2F4E"/>
    <w:rsid w:val="006F47C1"/>
    <w:rsid w:val="006F51F9"/>
    <w:rsid w:val="006F5F49"/>
    <w:rsid w:val="00700B1E"/>
    <w:rsid w:val="00702332"/>
    <w:rsid w:val="00702DDD"/>
    <w:rsid w:val="00703BD1"/>
    <w:rsid w:val="00704AA0"/>
    <w:rsid w:val="007057AA"/>
    <w:rsid w:val="00711E73"/>
    <w:rsid w:val="00712320"/>
    <w:rsid w:val="0071238D"/>
    <w:rsid w:val="00712CC9"/>
    <w:rsid w:val="007137ED"/>
    <w:rsid w:val="00716698"/>
    <w:rsid w:val="00716908"/>
    <w:rsid w:val="00720937"/>
    <w:rsid w:val="007222B6"/>
    <w:rsid w:val="007226B5"/>
    <w:rsid w:val="00723C3B"/>
    <w:rsid w:val="00724366"/>
    <w:rsid w:val="0072482E"/>
    <w:rsid w:val="00725599"/>
    <w:rsid w:val="00726CAD"/>
    <w:rsid w:val="00726FFA"/>
    <w:rsid w:val="00727408"/>
    <w:rsid w:val="0072759E"/>
    <w:rsid w:val="007321A8"/>
    <w:rsid w:val="0073587C"/>
    <w:rsid w:val="007359F5"/>
    <w:rsid w:val="00737326"/>
    <w:rsid w:val="0073737E"/>
    <w:rsid w:val="00743A24"/>
    <w:rsid w:val="0074686C"/>
    <w:rsid w:val="00750909"/>
    <w:rsid w:val="00754E5C"/>
    <w:rsid w:val="00755B91"/>
    <w:rsid w:val="00757190"/>
    <w:rsid w:val="00761FF7"/>
    <w:rsid w:val="00763CD1"/>
    <w:rsid w:val="00764859"/>
    <w:rsid w:val="00767663"/>
    <w:rsid w:val="007725C2"/>
    <w:rsid w:val="007733AC"/>
    <w:rsid w:val="0077347B"/>
    <w:rsid w:val="00774B2D"/>
    <w:rsid w:val="0077685D"/>
    <w:rsid w:val="00777040"/>
    <w:rsid w:val="0078220A"/>
    <w:rsid w:val="007837DE"/>
    <w:rsid w:val="007842DB"/>
    <w:rsid w:val="007847D7"/>
    <w:rsid w:val="007856D0"/>
    <w:rsid w:val="00785941"/>
    <w:rsid w:val="007900C7"/>
    <w:rsid w:val="0079080F"/>
    <w:rsid w:val="0079700C"/>
    <w:rsid w:val="0079737B"/>
    <w:rsid w:val="00797BA5"/>
    <w:rsid w:val="007A0CB7"/>
    <w:rsid w:val="007A4512"/>
    <w:rsid w:val="007A4C1D"/>
    <w:rsid w:val="007A5464"/>
    <w:rsid w:val="007A5B15"/>
    <w:rsid w:val="007A642A"/>
    <w:rsid w:val="007A7BA2"/>
    <w:rsid w:val="007B5A30"/>
    <w:rsid w:val="007C1152"/>
    <w:rsid w:val="007C63A4"/>
    <w:rsid w:val="007C68D8"/>
    <w:rsid w:val="007C7207"/>
    <w:rsid w:val="007C75BD"/>
    <w:rsid w:val="007C7CC9"/>
    <w:rsid w:val="007D28EA"/>
    <w:rsid w:val="007D42CF"/>
    <w:rsid w:val="007D58A6"/>
    <w:rsid w:val="007D64F8"/>
    <w:rsid w:val="007D6533"/>
    <w:rsid w:val="007D6FCA"/>
    <w:rsid w:val="007E10AF"/>
    <w:rsid w:val="007E1ACE"/>
    <w:rsid w:val="007E209A"/>
    <w:rsid w:val="007E5680"/>
    <w:rsid w:val="007F00B1"/>
    <w:rsid w:val="007F0C7B"/>
    <w:rsid w:val="007F29C5"/>
    <w:rsid w:val="007F358A"/>
    <w:rsid w:val="007F519C"/>
    <w:rsid w:val="007F563D"/>
    <w:rsid w:val="007F6104"/>
    <w:rsid w:val="007F7280"/>
    <w:rsid w:val="007F75F1"/>
    <w:rsid w:val="007F7A55"/>
    <w:rsid w:val="00800BC7"/>
    <w:rsid w:val="008038C0"/>
    <w:rsid w:val="00803F86"/>
    <w:rsid w:val="008042A5"/>
    <w:rsid w:val="00805186"/>
    <w:rsid w:val="00805A45"/>
    <w:rsid w:val="0081112E"/>
    <w:rsid w:val="00811C9C"/>
    <w:rsid w:val="00811E3E"/>
    <w:rsid w:val="00812C9A"/>
    <w:rsid w:val="0081437F"/>
    <w:rsid w:val="00814C22"/>
    <w:rsid w:val="008156E5"/>
    <w:rsid w:val="0081739B"/>
    <w:rsid w:val="0081778A"/>
    <w:rsid w:val="00821B59"/>
    <w:rsid w:val="008220F5"/>
    <w:rsid w:val="008231DD"/>
    <w:rsid w:val="0082426A"/>
    <w:rsid w:val="00824884"/>
    <w:rsid w:val="00824E4F"/>
    <w:rsid w:val="00824E62"/>
    <w:rsid w:val="00827D6B"/>
    <w:rsid w:val="00834063"/>
    <w:rsid w:val="00835498"/>
    <w:rsid w:val="00837088"/>
    <w:rsid w:val="008433E7"/>
    <w:rsid w:val="008464BA"/>
    <w:rsid w:val="0084720E"/>
    <w:rsid w:val="00850382"/>
    <w:rsid w:val="00853E30"/>
    <w:rsid w:val="00855653"/>
    <w:rsid w:val="00857DA3"/>
    <w:rsid w:val="008618FC"/>
    <w:rsid w:val="008619A5"/>
    <w:rsid w:val="008656F3"/>
    <w:rsid w:val="00867F6B"/>
    <w:rsid w:val="00870E17"/>
    <w:rsid w:val="00871A1B"/>
    <w:rsid w:val="00873027"/>
    <w:rsid w:val="00873286"/>
    <w:rsid w:val="0087339D"/>
    <w:rsid w:val="0087447A"/>
    <w:rsid w:val="00874AFC"/>
    <w:rsid w:val="00876337"/>
    <w:rsid w:val="00880AD6"/>
    <w:rsid w:val="008813AD"/>
    <w:rsid w:val="00881F6C"/>
    <w:rsid w:val="00882116"/>
    <w:rsid w:val="0088291B"/>
    <w:rsid w:val="008851FE"/>
    <w:rsid w:val="00885400"/>
    <w:rsid w:val="008854CC"/>
    <w:rsid w:val="008902C7"/>
    <w:rsid w:val="0089391F"/>
    <w:rsid w:val="00893A1A"/>
    <w:rsid w:val="00895866"/>
    <w:rsid w:val="008974FD"/>
    <w:rsid w:val="008977A9"/>
    <w:rsid w:val="00897816"/>
    <w:rsid w:val="00897A7A"/>
    <w:rsid w:val="008A0D3D"/>
    <w:rsid w:val="008A2A98"/>
    <w:rsid w:val="008A5458"/>
    <w:rsid w:val="008A57F0"/>
    <w:rsid w:val="008A59DA"/>
    <w:rsid w:val="008A71D1"/>
    <w:rsid w:val="008B0DD6"/>
    <w:rsid w:val="008B17E5"/>
    <w:rsid w:val="008B183B"/>
    <w:rsid w:val="008B3317"/>
    <w:rsid w:val="008B59BD"/>
    <w:rsid w:val="008B6667"/>
    <w:rsid w:val="008B68F0"/>
    <w:rsid w:val="008B6F81"/>
    <w:rsid w:val="008C22AA"/>
    <w:rsid w:val="008C279A"/>
    <w:rsid w:val="008C2B10"/>
    <w:rsid w:val="008C7576"/>
    <w:rsid w:val="008C7DA5"/>
    <w:rsid w:val="008D216D"/>
    <w:rsid w:val="008D4C98"/>
    <w:rsid w:val="008D539F"/>
    <w:rsid w:val="008D6D5C"/>
    <w:rsid w:val="008D7C6D"/>
    <w:rsid w:val="008E24F9"/>
    <w:rsid w:val="008E34E4"/>
    <w:rsid w:val="008F05A6"/>
    <w:rsid w:val="008F08AC"/>
    <w:rsid w:val="008F1C89"/>
    <w:rsid w:val="008F1D1F"/>
    <w:rsid w:val="008F2B03"/>
    <w:rsid w:val="008F42B7"/>
    <w:rsid w:val="008F6541"/>
    <w:rsid w:val="008F7F76"/>
    <w:rsid w:val="00900346"/>
    <w:rsid w:val="00900730"/>
    <w:rsid w:val="00900D52"/>
    <w:rsid w:val="009030B4"/>
    <w:rsid w:val="00903FC9"/>
    <w:rsid w:val="009057A6"/>
    <w:rsid w:val="009059C0"/>
    <w:rsid w:val="00907890"/>
    <w:rsid w:val="009102BC"/>
    <w:rsid w:val="009110B3"/>
    <w:rsid w:val="0091403D"/>
    <w:rsid w:val="009148BD"/>
    <w:rsid w:val="00916F55"/>
    <w:rsid w:val="009171B8"/>
    <w:rsid w:val="00921CB4"/>
    <w:rsid w:val="00923C34"/>
    <w:rsid w:val="0092565F"/>
    <w:rsid w:val="009259E9"/>
    <w:rsid w:val="009263B0"/>
    <w:rsid w:val="0092772F"/>
    <w:rsid w:val="00930B50"/>
    <w:rsid w:val="00932BEF"/>
    <w:rsid w:val="009335E0"/>
    <w:rsid w:val="0093490C"/>
    <w:rsid w:val="00935365"/>
    <w:rsid w:val="00935849"/>
    <w:rsid w:val="009368E6"/>
    <w:rsid w:val="009414E5"/>
    <w:rsid w:val="00942154"/>
    <w:rsid w:val="00942AAA"/>
    <w:rsid w:val="0094355B"/>
    <w:rsid w:val="00946734"/>
    <w:rsid w:val="009474EB"/>
    <w:rsid w:val="009476E2"/>
    <w:rsid w:val="0094772E"/>
    <w:rsid w:val="00947BB7"/>
    <w:rsid w:val="009504E7"/>
    <w:rsid w:val="00950559"/>
    <w:rsid w:val="00951B21"/>
    <w:rsid w:val="009552F5"/>
    <w:rsid w:val="00955698"/>
    <w:rsid w:val="00962D0E"/>
    <w:rsid w:val="00964D1A"/>
    <w:rsid w:val="00965AB6"/>
    <w:rsid w:val="00965DC5"/>
    <w:rsid w:val="00965E43"/>
    <w:rsid w:val="009666FD"/>
    <w:rsid w:val="00970FC1"/>
    <w:rsid w:val="0097251E"/>
    <w:rsid w:val="00973003"/>
    <w:rsid w:val="0097428E"/>
    <w:rsid w:val="0097536C"/>
    <w:rsid w:val="00976A6C"/>
    <w:rsid w:val="00976F97"/>
    <w:rsid w:val="00980AC8"/>
    <w:rsid w:val="00981213"/>
    <w:rsid w:val="009812B0"/>
    <w:rsid w:val="00981F3F"/>
    <w:rsid w:val="00981F41"/>
    <w:rsid w:val="009831E4"/>
    <w:rsid w:val="009862E0"/>
    <w:rsid w:val="00986441"/>
    <w:rsid w:val="00986E67"/>
    <w:rsid w:val="00987BCF"/>
    <w:rsid w:val="00990185"/>
    <w:rsid w:val="00992E92"/>
    <w:rsid w:val="00996365"/>
    <w:rsid w:val="00997AF9"/>
    <w:rsid w:val="00997E21"/>
    <w:rsid w:val="009A09AB"/>
    <w:rsid w:val="009A200B"/>
    <w:rsid w:val="009A3700"/>
    <w:rsid w:val="009A4C1E"/>
    <w:rsid w:val="009A5F18"/>
    <w:rsid w:val="009B006B"/>
    <w:rsid w:val="009B42FC"/>
    <w:rsid w:val="009B4954"/>
    <w:rsid w:val="009B569C"/>
    <w:rsid w:val="009C0653"/>
    <w:rsid w:val="009C0658"/>
    <w:rsid w:val="009C0E17"/>
    <w:rsid w:val="009C19CD"/>
    <w:rsid w:val="009C5DAF"/>
    <w:rsid w:val="009C5DEA"/>
    <w:rsid w:val="009C7021"/>
    <w:rsid w:val="009C74D2"/>
    <w:rsid w:val="009C7DCE"/>
    <w:rsid w:val="009D0F5C"/>
    <w:rsid w:val="009D1890"/>
    <w:rsid w:val="009D2703"/>
    <w:rsid w:val="009D54FD"/>
    <w:rsid w:val="009D57E7"/>
    <w:rsid w:val="009D6CFE"/>
    <w:rsid w:val="009E077E"/>
    <w:rsid w:val="009E15D0"/>
    <w:rsid w:val="009E288F"/>
    <w:rsid w:val="009E39FF"/>
    <w:rsid w:val="009E4315"/>
    <w:rsid w:val="009F0753"/>
    <w:rsid w:val="009F2642"/>
    <w:rsid w:val="009F3AFF"/>
    <w:rsid w:val="009F5901"/>
    <w:rsid w:val="00A00F36"/>
    <w:rsid w:val="00A01533"/>
    <w:rsid w:val="00A0196B"/>
    <w:rsid w:val="00A01DDD"/>
    <w:rsid w:val="00A0293D"/>
    <w:rsid w:val="00A0547D"/>
    <w:rsid w:val="00A11D9B"/>
    <w:rsid w:val="00A13640"/>
    <w:rsid w:val="00A137DC"/>
    <w:rsid w:val="00A14B0E"/>
    <w:rsid w:val="00A14F01"/>
    <w:rsid w:val="00A17E5E"/>
    <w:rsid w:val="00A20632"/>
    <w:rsid w:val="00A20811"/>
    <w:rsid w:val="00A23A5A"/>
    <w:rsid w:val="00A23AEE"/>
    <w:rsid w:val="00A23CCA"/>
    <w:rsid w:val="00A24783"/>
    <w:rsid w:val="00A2534B"/>
    <w:rsid w:val="00A25B41"/>
    <w:rsid w:val="00A26C2D"/>
    <w:rsid w:val="00A27468"/>
    <w:rsid w:val="00A3242A"/>
    <w:rsid w:val="00A32474"/>
    <w:rsid w:val="00A34591"/>
    <w:rsid w:val="00A37A4D"/>
    <w:rsid w:val="00A402D2"/>
    <w:rsid w:val="00A4076A"/>
    <w:rsid w:val="00A42551"/>
    <w:rsid w:val="00A42D93"/>
    <w:rsid w:val="00A43E9B"/>
    <w:rsid w:val="00A4609F"/>
    <w:rsid w:val="00A477DE"/>
    <w:rsid w:val="00A47B9A"/>
    <w:rsid w:val="00A5050D"/>
    <w:rsid w:val="00A5256F"/>
    <w:rsid w:val="00A55787"/>
    <w:rsid w:val="00A570A7"/>
    <w:rsid w:val="00A60F42"/>
    <w:rsid w:val="00A6265B"/>
    <w:rsid w:val="00A642AA"/>
    <w:rsid w:val="00A71174"/>
    <w:rsid w:val="00A71886"/>
    <w:rsid w:val="00A7337B"/>
    <w:rsid w:val="00A904F6"/>
    <w:rsid w:val="00A910D9"/>
    <w:rsid w:val="00A92595"/>
    <w:rsid w:val="00A9335C"/>
    <w:rsid w:val="00A93CE3"/>
    <w:rsid w:val="00A945CA"/>
    <w:rsid w:val="00A94E78"/>
    <w:rsid w:val="00A9528E"/>
    <w:rsid w:val="00A97A15"/>
    <w:rsid w:val="00A97BD9"/>
    <w:rsid w:val="00AA07D4"/>
    <w:rsid w:val="00AA13A0"/>
    <w:rsid w:val="00AA13C3"/>
    <w:rsid w:val="00AA17E7"/>
    <w:rsid w:val="00AA4BC4"/>
    <w:rsid w:val="00AA611F"/>
    <w:rsid w:val="00AA695C"/>
    <w:rsid w:val="00AA7E9F"/>
    <w:rsid w:val="00AB17D6"/>
    <w:rsid w:val="00AB1AFD"/>
    <w:rsid w:val="00AB219F"/>
    <w:rsid w:val="00AB2A8C"/>
    <w:rsid w:val="00AB2DEC"/>
    <w:rsid w:val="00AB3236"/>
    <w:rsid w:val="00AB3310"/>
    <w:rsid w:val="00AB467E"/>
    <w:rsid w:val="00AB4BE2"/>
    <w:rsid w:val="00AB615C"/>
    <w:rsid w:val="00AB6D69"/>
    <w:rsid w:val="00AB7719"/>
    <w:rsid w:val="00AB79D3"/>
    <w:rsid w:val="00AB7FE7"/>
    <w:rsid w:val="00AC15DB"/>
    <w:rsid w:val="00AC15FC"/>
    <w:rsid w:val="00AC27D5"/>
    <w:rsid w:val="00AC2A0D"/>
    <w:rsid w:val="00AC3A92"/>
    <w:rsid w:val="00AC44FC"/>
    <w:rsid w:val="00AC4A5F"/>
    <w:rsid w:val="00AC67BF"/>
    <w:rsid w:val="00AC6BB7"/>
    <w:rsid w:val="00AC6FEE"/>
    <w:rsid w:val="00AD047E"/>
    <w:rsid w:val="00AD05CA"/>
    <w:rsid w:val="00AD1D4F"/>
    <w:rsid w:val="00AD213C"/>
    <w:rsid w:val="00AD3300"/>
    <w:rsid w:val="00AD3EB9"/>
    <w:rsid w:val="00AD4DD7"/>
    <w:rsid w:val="00AD5A36"/>
    <w:rsid w:val="00AD61FF"/>
    <w:rsid w:val="00AE09F6"/>
    <w:rsid w:val="00AE224B"/>
    <w:rsid w:val="00AE54E2"/>
    <w:rsid w:val="00AF02B4"/>
    <w:rsid w:val="00AF342C"/>
    <w:rsid w:val="00AF3FBC"/>
    <w:rsid w:val="00AF4092"/>
    <w:rsid w:val="00AF4628"/>
    <w:rsid w:val="00B00289"/>
    <w:rsid w:val="00B035EF"/>
    <w:rsid w:val="00B067B0"/>
    <w:rsid w:val="00B06965"/>
    <w:rsid w:val="00B079D8"/>
    <w:rsid w:val="00B101B7"/>
    <w:rsid w:val="00B1034B"/>
    <w:rsid w:val="00B12ECE"/>
    <w:rsid w:val="00B1382D"/>
    <w:rsid w:val="00B15199"/>
    <w:rsid w:val="00B15255"/>
    <w:rsid w:val="00B16DD1"/>
    <w:rsid w:val="00B171A6"/>
    <w:rsid w:val="00B215E5"/>
    <w:rsid w:val="00B25633"/>
    <w:rsid w:val="00B265DC"/>
    <w:rsid w:val="00B318AD"/>
    <w:rsid w:val="00B32EDA"/>
    <w:rsid w:val="00B334E5"/>
    <w:rsid w:val="00B34F0A"/>
    <w:rsid w:val="00B362DA"/>
    <w:rsid w:val="00B3679E"/>
    <w:rsid w:val="00B41D9F"/>
    <w:rsid w:val="00B428E6"/>
    <w:rsid w:val="00B42AA1"/>
    <w:rsid w:val="00B42FED"/>
    <w:rsid w:val="00B4356D"/>
    <w:rsid w:val="00B44E64"/>
    <w:rsid w:val="00B4683C"/>
    <w:rsid w:val="00B46C19"/>
    <w:rsid w:val="00B47979"/>
    <w:rsid w:val="00B50BF9"/>
    <w:rsid w:val="00B52167"/>
    <w:rsid w:val="00B54332"/>
    <w:rsid w:val="00B6073D"/>
    <w:rsid w:val="00B609FF"/>
    <w:rsid w:val="00B61F9F"/>
    <w:rsid w:val="00B6232C"/>
    <w:rsid w:val="00B6375B"/>
    <w:rsid w:val="00B67888"/>
    <w:rsid w:val="00B67B9F"/>
    <w:rsid w:val="00B67D3F"/>
    <w:rsid w:val="00B7089C"/>
    <w:rsid w:val="00B720A8"/>
    <w:rsid w:val="00B74026"/>
    <w:rsid w:val="00B74037"/>
    <w:rsid w:val="00B74B9C"/>
    <w:rsid w:val="00B750AB"/>
    <w:rsid w:val="00B765B4"/>
    <w:rsid w:val="00B81722"/>
    <w:rsid w:val="00B822D9"/>
    <w:rsid w:val="00B831C1"/>
    <w:rsid w:val="00B85771"/>
    <w:rsid w:val="00B86445"/>
    <w:rsid w:val="00B879B3"/>
    <w:rsid w:val="00B87AF4"/>
    <w:rsid w:val="00B90F8B"/>
    <w:rsid w:val="00B91635"/>
    <w:rsid w:val="00B916E0"/>
    <w:rsid w:val="00B9286A"/>
    <w:rsid w:val="00B93FD3"/>
    <w:rsid w:val="00B942DF"/>
    <w:rsid w:val="00B94C0F"/>
    <w:rsid w:val="00B963E8"/>
    <w:rsid w:val="00BA2C59"/>
    <w:rsid w:val="00BA2E57"/>
    <w:rsid w:val="00BA5AD8"/>
    <w:rsid w:val="00BA5EE5"/>
    <w:rsid w:val="00BB084A"/>
    <w:rsid w:val="00BB1573"/>
    <w:rsid w:val="00BB1AB2"/>
    <w:rsid w:val="00BB2ADC"/>
    <w:rsid w:val="00BB40CE"/>
    <w:rsid w:val="00BB41D2"/>
    <w:rsid w:val="00BB4705"/>
    <w:rsid w:val="00BB477A"/>
    <w:rsid w:val="00BB4FA9"/>
    <w:rsid w:val="00BB51DD"/>
    <w:rsid w:val="00BB7189"/>
    <w:rsid w:val="00BC16B4"/>
    <w:rsid w:val="00BC43F1"/>
    <w:rsid w:val="00BC55E7"/>
    <w:rsid w:val="00BC6EED"/>
    <w:rsid w:val="00BD0554"/>
    <w:rsid w:val="00BD0F36"/>
    <w:rsid w:val="00BD2BD5"/>
    <w:rsid w:val="00BD4155"/>
    <w:rsid w:val="00BD68BB"/>
    <w:rsid w:val="00BE197D"/>
    <w:rsid w:val="00BE2676"/>
    <w:rsid w:val="00BF2A47"/>
    <w:rsid w:val="00BF2AA3"/>
    <w:rsid w:val="00BF4331"/>
    <w:rsid w:val="00BF4454"/>
    <w:rsid w:val="00BF6E41"/>
    <w:rsid w:val="00BF7714"/>
    <w:rsid w:val="00C01BA2"/>
    <w:rsid w:val="00C0242A"/>
    <w:rsid w:val="00C02A10"/>
    <w:rsid w:val="00C0358C"/>
    <w:rsid w:val="00C044D0"/>
    <w:rsid w:val="00C05BCA"/>
    <w:rsid w:val="00C066E1"/>
    <w:rsid w:val="00C07415"/>
    <w:rsid w:val="00C075C3"/>
    <w:rsid w:val="00C11594"/>
    <w:rsid w:val="00C11BBC"/>
    <w:rsid w:val="00C13942"/>
    <w:rsid w:val="00C13DFA"/>
    <w:rsid w:val="00C14237"/>
    <w:rsid w:val="00C14C41"/>
    <w:rsid w:val="00C151B8"/>
    <w:rsid w:val="00C164EF"/>
    <w:rsid w:val="00C16E46"/>
    <w:rsid w:val="00C16E56"/>
    <w:rsid w:val="00C17A0D"/>
    <w:rsid w:val="00C17E8C"/>
    <w:rsid w:val="00C2013C"/>
    <w:rsid w:val="00C20850"/>
    <w:rsid w:val="00C224EF"/>
    <w:rsid w:val="00C237FD"/>
    <w:rsid w:val="00C26EBD"/>
    <w:rsid w:val="00C30360"/>
    <w:rsid w:val="00C30BEB"/>
    <w:rsid w:val="00C336AD"/>
    <w:rsid w:val="00C33DA6"/>
    <w:rsid w:val="00C34209"/>
    <w:rsid w:val="00C345CD"/>
    <w:rsid w:val="00C35191"/>
    <w:rsid w:val="00C408AE"/>
    <w:rsid w:val="00C408F9"/>
    <w:rsid w:val="00C41261"/>
    <w:rsid w:val="00C412D2"/>
    <w:rsid w:val="00C427E4"/>
    <w:rsid w:val="00C43653"/>
    <w:rsid w:val="00C46D2C"/>
    <w:rsid w:val="00C47899"/>
    <w:rsid w:val="00C47E35"/>
    <w:rsid w:val="00C50CFC"/>
    <w:rsid w:val="00C523E2"/>
    <w:rsid w:val="00C524FC"/>
    <w:rsid w:val="00C52921"/>
    <w:rsid w:val="00C53093"/>
    <w:rsid w:val="00C55D2B"/>
    <w:rsid w:val="00C55D9C"/>
    <w:rsid w:val="00C573A5"/>
    <w:rsid w:val="00C5775B"/>
    <w:rsid w:val="00C57F3F"/>
    <w:rsid w:val="00C60591"/>
    <w:rsid w:val="00C627DB"/>
    <w:rsid w:val="00C63096"/>
    <w:rsid w:val="00C6638C"/>
    <w:rsid w:val="00C71BC6"/>
    <w:rsid w:val="00C72AAE"/>
    <w:rsid w:val="00C74B60"/>
    <w:rsid w:val="00C76F23"/>
    <w:rsid w:val="00C81065"/>
    <w:rsid w:val="00C81134"/>
    <w:rsid w:val="00C82983"/>
    <w:rsid w:val="00C83957"/>
    <w:rsid w:val="00C84681"/>
    <w:rsid w:val="00C87F8D"/>
    <w:rsid w:val="00C91B4F"/>
    <w:rsid w:val="00C938D1"/>
    <w:rsid w:val="00C94D55"/>
    <w:rsid w:val="00C95802"/>
    <w:rsid w:val="00C9666A"/>
    <w:rsid w:val="00C9688F"/>
    <w:rsid w:val="00CA0AD7"/>
    <w:rsid w:val="00CA18D0"/>
    <w:rsid w:val="00CA3219"/>
    <w:rsid w:val="00CA4FB4"/>
    <w:rsid w:val="00CB5C6C"/>
    <w:rsid w:val="00CC0045"/>
    <w:rsid w:val="00CC3C70"/>
    <w:rsid w:val="00CC477A"/>
    <w:rsid w:val="00CC51D8"/>
    <w:rsid w:val="00CC5C0C"/>
    <w:rsid w:val="00CD2141"/>
    <w:rsid w:val="00CD792C"/>
    <w:rsid w:val="00CE2E50"/>
    <w:rsid w:val="00CF1703"/>
    <w:rsid w:val="00CF19BF"/>
    <w:rsid w:val="00CF60B3"/>
    <w:rsid w:val="00D01537"/>
    <w:rsid w:val="00D0235A"/>
    <w:rsid w:val="00D03B61"/>
    <w:rsid w:val="00D04873"/>
    <w:rsid w:val="00D07F71"/>
    <w:rsid w:val="00D10728"/>
    <w:rsid w:val="00D108BE"/>
    <w:rsid w:val="00D10B96"/>
    <w:rsid w:val="00D12479"/>
    <w:rsid w:val="00D128ED"/>
    <w:rsid w:val="00D144E4"/>
    <w:rsid w:val="00D20337"/>
    <w:rsid w:val="00D205AC"/>
    <w:rsid w:val="00D2321F"/>
    <w:rsid w:val="00D24332"/>
    <w:rsid w:val="00D27BFB"/>
    <w:rsid w:val="00D31090"/>
    <w:rsid w:val="00D31E9C"/>
    <w:rsid w:val="00D36384"/>
    <w:rsid w:val="00D4147B"/>
    <w:rsid w:val="00D42147"/>
    <w:rsid w:val="00D42350"/>
    <w:rsid w:val="00D4331A"/>
    <w:rsid w:val="00D47E96"/>
    <w:rsid w:val="00D47F99"/>
    <w:rsid w:val="00D50133"/>
    <w:rsid w:val="00D53441"/>
    <w:rsid w:val="00D555D8"/>
    <w:rsid w:val="00D603D1"/>
    <w:rsid w:val="00D60682"/>
    <w:rsid w:val="00D61542"/>
    <w:rsid w:val="00D61B2E"/>
    <w:rsid w:val="00D623C9"/>
    <w:rsid w:val="00D62D11"/>
    <w:rsid w:val="00D660C9"/>
    <w:rsid w:val="00D66EEA"/>
    <w:rsid w:val="00D67467"/>
    <w:rsid w:val="00D70346"/>
    <w:rsid w:val="00D70810"/>
    <w:rsid w:val="00D72C34"/>
    <w:rsid w:val="00D73106"/>
    <w:rsid w:val="00D73B42"/>
    <w:rsid w:val="00D74691"/>
    <w:rsid w:val="00D74938"/>
    <w:rsid w:val="00D76BEF"/>
    <w:rsid w:val="00D76E41"/>
    <w:rsid w:val="00D8289A"/>
    <w:rsid w:val="00D82F0C"/>
    <w:rsid w:val="00D840ED"/>
    <w:rsid w:val="00D84733"/>
    <w:rsid w:val="00D84A72"/>
    <w:rsid w:val="00D850DB"/>
    <w:rsid w:val="00D85FA2"/>
    <w:rsid w:val="00D8665A"/>
    <w:rsid w:val="00D87CFD"/>
    <w:rsid w:val="00D91BB1"/>
    <w:rsid w:val="00D921D4"/>
    <w:rsid w:val="00D92565"/>
    <w:rsid w:val="00D94EFC"/>
    <w:rsid w:val="00D96757"/>
    <w:rsid w:val="00D96D34"/>
    <w:rsid w:val="00D97017"/>
    <w:rsid w:val="00D973F4"/>
    <w:rsid w:val="00DA356F"/>
    <w:rsid w:val="00DA65FA"/>
    <w:rsid w:val="00DA6A72"/>
    <w:rsid w:val="00DB0369"/>
    <w:rsid w:val="00DB5228"/>
    <w:rsid w:val="00DB7618"/>
    <w:rsid w:val="00DC2F2F"/>
    <w:rsid w:val="00DC3A08"/>
    <w:rsid w:val="00DD0607"/>
    <w:rsid w:val="00DD06D9"/>
    <w:rsid w:val="00DD1C66"/>
    <w:rsid w:val="00DD28A3"/>
    <w:rsid w:val="00DD344B"/>
    <w:rsid w:val="00DD43DE"/>
    <w:rsid w:val="00DD48E6"/>
    <w:rsid w:val="00DD529F"/>
    <w:rsid w:val="00DD7B04"/>
    <w:rsid w:val="00DE1953"/>
    <w:rsid w:val="00DE1CD8"/>
    <w:rsid w:val="00DE31C3"/>
    <w:rsid w:val="00DE6F82"/>
    <w:rsid w:val="00DE79DE"/>
    <w:rsid w:val="00DF16DA"/>
    <w:rsid w:val="00DF57E9"/>
    <w:rsid w:val="00E00C76"/>
    <w:rsid w:val="00E01755"/>
    <w:rsid w:val="00E0289F"/>
    <w:rsid w:val="00E03D31"/>
    <w:rsid w:val="00E05604"/>
    <w:rsid w:val="00E05B3F"/>
    <w:rsid w:val="00E10BEC"/>
    <w:rsid w:val="00E10FC8"/>
    <w:rsid w:val="00E13520"/>
    <w:rsid w:val="00E150EB"/>
    <w:rsid w:val="00E16E22"/>
    <w:rsid w:val="00E178D8"/>
    <w:rsid w:val="00E17E3E"/>
    <w:rsid w:val="00E20C04"/>
    <w:rsid w:val="00E22204"/>
    <w:rsid w:val="00E230EA"/>
    <w:rsid w:val="00E23669"/>
    <w:rsid w:val="00E23DA5"/>
    <w:rsid w:val="00E24133"/>
    <w:rsid w:val="00E24CAE"/>
    <w:rsid w:val="00E25AD6"/>
    <w:rsid w:val="00E264BB"/>
    <w:rsid w:val="00E30B86"/>
    <w:rsid w:val="00E34DDD"/>
    <w:rsid w:val="00E37496"/>
    <w:rsid w:val="00E424F0"/>
    <w:rsid w:val="00E42928"/>
    <w:rsid w:val="00E438AB"/>
    <w:rsid w:val="00E44663"/>
    <w:rsid w:val="00E44A40"/>
    <w:rsid w:val="00E451F5"/>
    <w:rsid w:val="00E464AC"/>
    <w:rsid w:val="00E47033"/>
    <w:rsid w:val="00E47103"/>
    <w:rsid w:val="00E47281"/>
    <w:rsid w:val="00E509C8"/>
    <w:rsid w:val="00E50A22"/>
    <w:rsid w:val="00E549F4"/>
    <w:rsid w:val="00E5564E"/>
    <w:rsid w:val="00E558AD"/>
    <w:rsid w:val="00E559A2"/>
    <w:rsid w:val="00E56C5F"/>
    <w:rsid w:val="00E571EE"/>
    <w:rsid w:val="00E611C1"/>
    <w:rsid w:val="00E67902"/>
    <w:rsid w:val="00E70F41"/>
    <w:rsid w:val="00E72D0F"/>
    <w:rsid w:val="00E734BE"/>
    <w:rsid w:val="00E7510C"/>
    <w:rsid w:val="00E758DD"/>
    <w:rsid w:val="00E77FC4"/>
    <w:rsid w:val="00E80344"/>
    <w:rsid w:val="00E80486"/>
    <w:rsid w:val="00E8056A"/>
    <w:rsid w:val="00E813AE"/>
    <w:rsid w:val="00E84AC3"/>
    <w:rsid w:val="00E850AA"/>
    <w:rsid w:val="00E852FD"/>
    <w:rsid w:val="00E90DAB"/>
    <w:rsid w:val="00E9245C"/>
    <w:rsid w:val="00EA126B"/>
    <w:rsid w:val="00EA2216"/>
    <w:rsid w:val="00EA3072"/>
    <w:rsid w:val="00EA36A3"/>
    <w:rsid w:val="00EA4FB0"/>
    <w:rsid w:val="00EA5514"/>
    <w:rsid w:val="00EA699F"/>
    <w:rsid w:val="00EA7250"/>
    <w:rsid w:val="00EA728A"/>
    <w:rsid w:val="00EA72B0"/>
    <w:rsid w:val="00EB0661"/>
    <w:rsid w:val="00EB2608"/>
    <w:rsid w:val="00EB3784"/>
    <w:rsid w:val="00EB40D7"/>
    <w:rsid w:val="00EB67A9"/>
    <w:rsid w:val="00EB7143"/>
    <w:rsid w:val="00EC1229"/>
    <w:rsid w:val="00EC2665"/>
    <w:rsid w:val="00EC4F08"/>
    <w:rsid w:val="00EC5D6B"/>
    <w:rsid w:val="00EC672F"/>
    <w:rsid w:val="00EC73CB"/>
    <w:rsid w:val="00EC744E"/>
    <w:rsid w:val="00EC7A8F"/>
    <w:rsid w:val="00ED00DA"/>
    <w:rsid w:val="00ED13EC"/>
    <w:rsid w:val="00ED1899"/>
    <w:rsid w:val="00ED1DAB"/>
    <w:rsid w:val="00ED3400"/>
    <w:rsid w:val="00ED3631"/>
    <w:rsid w:val="00ED5096"/>
    <w:rsid w:val="00ED54FA"/>
    <w:rsid w:val="00ED61A7"/>
    <w:rsid w:val="00EE09D0"/>
    <w:rsid w:val="00EE0A16"/>
    <w:rsid w:val="00EE36A0"/>
    <w:rsid w:val="00EE3D3E"/>
    <w:rsid w:val="00EE3EEE"/>
    <w:rsid w:val="00EE782E"/>
    <w:rsid w:val="00EF18A7"/>
    <w:rsid w:val="00EF1D9D"/>
    <w:rsid w:val="00EF32EC"/>
    <w:rsid w:val="00EF44D8"/>
    <w:rsid w:val="00EF4B76"/>
    <w:rsid w:val="00EF74AB"/>
    <w:rsid w:val="00F00C86"/>
    <w:rsid w:val="00F0175B"/>
    <w:rsid w:val="00F0377D"/>
    <w:rsid w:val="00F0498B"/>
    <w:rsid w:val="00F05DBB"/>
    <w:rsid w:val="00F0623F"/>
    <w:rsid w:val="00F10747"/>
    <w:rsid w:val="00F12BB2"/>
    <w:rsid w:val="00F13B73"/>
    <w:rsid w:val="00F151D7"/>
    <w:rsid w:val="00F2396E"/>
    <w:rsid w:val="00F23D98"/>
    <w:rsid w:val="00F24115"/>
    <w:rsid w:val="00F24EAE"/>
    <w:rsid w:val="00F250C3"/>
    <w:rsid w:val="00F26E75"/>
    <w:rsid w:val="00F31DFB"/>
    <w:rsid w:val="00F32724"/>
    <w:rsid w:val="00F3323F"/>
    <w:rsid w:val="00F36E75"/>
    <w:rsid w:val="00F37809"/>
    <w:rsid w:val="00F4082F"/>
    <w:rsid w:val="00F41A2C"/>
    <w:rsid w:val="00F4310C"/>
    <w:rsid w:val="00F44349"/>
    <w:rsid w:val="00F46108"/>
    <w:rsid w:val="00F5422A"/>
    <w:rsid w:val="00F57475"/>
    <w:rsid w:val="00F577CC"/>
    <w:rsid w:val="00F60388"/>
    <w:rsid w:val="00F62E20"/>
    <w:rsid w:val="00F637D4"/>
    <w:rsid w:val="00F63B44"/>
    <w:rsid w:val="00F7012E"/>
    <w:rsid w:val="00F710C4"/>
    <w:rsid w:val="00F71E74"/>
    <w:rsid w:val="00F73602"/>
    <w:rsid w:val="00F75CB1"/>
    <w:rsid w:val="00F762B7"/>
    <w:rsid w:val="00F80511"/>
    <w:rsid w:val="00F8161E"/>
    <w:rsid w:val="00F8179D"/>
    <w:rsid w:val="00F835E1"/>
    <w:rsid w:val="00F8478D"/>
    <w:rsid w:val="00F859C3"/>
    <w:rsid w:val="00F87B0A"/>
    <w:rsid w:val="00F905B0"/>
    <w:rsid w:val="00F907EC"/>
    <w:rsid w:val="00F92C17"/>
    <w:rsid w:val="00F9591F"/>
    <w:rsid w:val="00FA09B4"/>
    <w:rsid w:val="00FA09C4"/>
    <w:rsid w:val="00FA09F6"/>
    <w:rsid w:val="00FA1DBA"/>
    <w:rsid w:val="00FA46E7"/>
    <w:rsid w:val="00FA508B"/>
    <w:rsid w:val="00FA7EB2"/>
    <w:rsid w:val="00FB069F"/>
    <w:rsid w:val="00FB0E40"/>
    <w:rsid w:val="00FB0F65"/>
    <w:rsid w:val="00FB27F6"/>
    <w:rsid w:val="00FB30A0"/>
    <w:rsid w:val="00FB7858"/>
    <w:rsid w:val="00FC0948"/>
    <w:rsid w:val="00FC2990"/>
    <w:rsid w:val="00FC2A54"/>
    <w:rsid w:val="00FC31BD"/>
    <w:rsid w:val="00FC3E9C"/>
    <w:rsid w:val="00FC744C"/>
    <w:rsid w:val="00FD10D3"/>
    <w:rsid w:val="00FD3132"/>
    <w:rsid w:val="00FD5BCA"/>
    <w:rsid w:val="00FE0972"/>
    <w:rsid w:val="00FE0D78"/>
    <w:rsid w:val="00FE1353"/>
    <w:rsid w:val="00FE2716"/>
    <w:rsid w:val="00FE2EF0"/>
    <w:rsid w:val="00FE5760"/>
    <w:rsid w:val="00FE70B9"/>
    <w:rsid w:val="00FF2AB2"/>
    <w:rsid w:val="00FF4327"/>
    <w:rsid w:val="00FF44BA"/>
    <w:rsid w:val="00FF4C7E"/>
    <w:rsid w:val="00FF50CD"/>
    <w:rsid w:val="00FF5236"/>
    <w:rsid w:val="00FF5EC7"/>
    <w:rsid w:val="00FF6107"/>
    <w:rsid w:val="00FF7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uiPriority="2" w:qFormat="1"/>
    <w:lsdException w:name="heading 6"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uiPriority="2"/>
    <w:lsdException w:name="annotation text" w:uiPriority="99"/>
    <w:lsdException w:name="header" w:uiPriority="99" w:qFormat="1"/>
    <w:lsdException w:name="footer" w:uiPriority="99" w:qFormat="1"/>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qFormat="1"/>
    <w:lsdException w:name="List Number 3" w:uiPriority="99"/>
    <w:lsdException w:name="List Number 4" w:uiPriority="99"/>
    <w:lsdException w:name="List Number 5" w:uiPriority="99"/>
    <w:lsdException w:name="Title" w:uiPriority="10"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qFormat="1"/>
    <w:lsdException w:name="Note Heading" w:uiPriority="99"/>
    <w:lsdException w:name="Body Text 3" w:uiPriority="99"/>
    <w:lsdException w:name="Hyperlink" w:uiPriority="99" w:qFormat="1"/>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D425B"/>
    <w:rPr>
      <w:sz w:val="24"/>
      <w:szCs w:val="24"/>
      <w:lang w:eastAsia="en-US"/>
    </w:rPr>
  </w:style>
  <w:style w:type="paragraph" w:styleId="Heading1">
    <w:name w:val="heading 1"/>
    <w:basedOn w:val="Normal"/>
    <w:next w:val="Normal"/>
    <w:link w:val="Heading1Char"/>
    <w:autoRedefine/>
    <w:qFormat/>
    <w:rsid w:val="000F1353"/>
    <w:pPr>
      <w:keepNext/>
      <w:spacing w:after="480"/>
      <w:jc w:val="right"/>
      <w:outlineLvl w:val="0"/>
    </w:pPr>
    <w:rPr>
      <w:rFonts w:ascii="Arial" w:hAnsi="Arial" w:cs="Arial"/>
      <w:b/>
      <w:bCs/>
      <w:kern w:val="32"/>
      <w:sz w:val="36"/>
      <w:szCs w:val="32"/>
    </w:rPr>
  </w:style>
  <w:style w:type="paragraph" w:styleId="Heading2">
    <w:name w:val="heading 2"/>
    <w:next w:val="Normal"/>
    <w:link w:val="Heading2Char"/>
    <w:qFormat/>
    <w:rsid w:val="000F1353"/>
    <w:pPr>
      <w:pBdr>
        <w:bottom w:val="single" w:sz="4" w:space="1" w:color="auto"/>
      </w:pBdr>
      <w:jc w:val="right"/>
      <w:outlineLvl w:val="1"/>
    </w:pPr>
    <w:rPr>
      <w:rFonts w:ascii="Arial" w:hAnsi="Arial" w:cs="Arial"/>
      <w:b/>
      <w:bCs/>
      <w:sz w:val="30"/>
      <w:szCs w:val="24"/>
      <w:lang w:eastAsia="en-US"/>
    </w:rPr>
  </w:style>
  <w:style w:type="paragraph" w:styleId="Heading3">
    <w:name w:val="heading 3"/>
    <w:basedOn w:val="Normal"/>
    <w:next w:val="Normal"/>
    <w:link w:val="Heading3Char"/>
    <w:qFormat/>
    <w:rsid w:val="003C58A7"/>
    <w:pPr>
      <w:keepNext/>
      <w:spacing w:before="320" w:after="240"/>
      <w:outlineLvl w:val="2"/>
    </w:pPr>
    <w:rPr>
      <w:rFonts w:ascii="Arial" w:hAnsi="Arial" w:cs="Arial"/>
      <w:b/>
      <w:bCs/>
      <w:sz w:val="30"/>
      <w:szCs w:val="30"/>
    </w:rPr>
  </w:style>
  <w:style w:type="paragraph" w:styleId="Heading4">
    <w:name w:val="heading 4"/>
    <w:basedOn w:val="Numbered"/>
    <w:next w:val="Normal"/>
    <w:link w:val="Heading4Char"/>
    <w:qFormat/>
    <w:rsid w:val="004D425B"/>
    <w:pPr>
      <w:outlineLvl w:val="3"/>
    </w:pPr>
    <w:rPr>
      <w:b/>
    </w:rPr>
  </w:style>
  <w:style w:type="paragraph" w:styleId="Heading5">
    <w:name w:val="heading 5"/>
    <w:basedOn w:val="Numbered"/>
    <w:next w:val="Normal"/>
    <w:link w:val="Heading5Char"/>
    <w:uiPriority w:val="2"/>
    <w:qFormat/>
    <w:rsid w:val="004D425B"/>
    <w:pPr>
      <w:ind w:left="0" w:firstLine="0"/>
      <w:outlineLvl w:val="4"/>
    </w:pPr>
    <w:rPr>
      <w:i/>
    </w:rPr>
  </w:style>
  <w:style w:type="paragraph" w:styleId="Heading6">
    <w:name w:val="heading 6"/>
    <w:basedOn w:val="Normal"/>
    <w:next w:val="Normal"/>
    <w:link w:val="Heading6Char"/>
    <w:uiPriority w:val="2"/>
    <w:qFormat/>
    <w:rsid w:val="003E7158"/>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2"/>
    <w:unhideWhenUsed/>
    <w:qFormat/>
    <w:rsid w:val="003E7158"/>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2"/>
    <w:unhideWhenUsed/>
    <w:qFormat/>
    <w:rsid w:val="003E7158"/>
    <w:pPr>
      <w:spacing w:before="240" w:after="60"/>
      <w:outlineLvl w:val="7"/>
    </w:pPr>
    <w:rPr>
      <w:rFonts w:asciiTheme="minorHAnsi" w:eastAsiaTheme="minorEastAsia" w:hAnsiTheme="minorHAnsi" w:cstheme="minorBidi"/>
      <w:i/>
      <w:iCs/>
    </w:rPr>
  </w:style>
  <w:style w:type="paragraph" w:styleId="Heading9">
    <w:name w:val="heading 9"/>
    <w:aliases w:val="Numbered Table"/>
    <w:basedOn w:val="Normal"/>
    <w:next w:val="Normal"/>
    <w:link w:val="Heading9Char"/>
    <w:uiPriority w:val="2"/>
    <w:unhideWhenUsed/>
    <w:qFormat/>
    <w:rsid w:val="003E715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autoRedefine/>
    <w:qFormat/>
    <w:rsid w:val="009A09AB"/>
    <w:pPr>
      <w:numPr>
        <w:numId w:val="9"/>
      </w:numPr>
      <w:spacing w:before="240" w:after="120"/>
      <w:ind w:left="567" w:hanging="567"/>
    </w:pPr>
    <w:rPr>
      <w:rFonts w:ascii="Arial" w:eastAsia="Arial" w:hAnsi="Arial" w:cs="Arial"/>
      <w:sz w:val="22"/>
      <w:szCs w:val="22"/>
    </w:rPr>
  </w:style>
  <w:style w:type="character" w:styleId="Hyperlink">
    <w:name w:val="Hyperlink"/>
    <w:basedOn w:val="DefaultParagraphFont"/>
    <w:uiPriority w:val="99"/>
    <w:qFormat/>
    <w:rPr>
      <w:color w:val="0000FF"/>
      <w:u w:val="single"/>
    </w:rPr>
  </w:style>
  <w:style w:type="paragraph" w:styleId="Header">
    <w:name w:val="header"/>
    <w:basedOn w:val="Normal"/>
    <w:link w:val="HeaderChar"/>
    <w:uiPriority w:val="99"/>
    <w:qFormat/>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PageNumber">
    <w:name w:val="page number"/>
    <w:basedOn w:val="DefaultParagraphFont"/>
  </w:style>
  <w:style w:type="character" w:customStyle="1" w:styleId="Heading4Char">
    <w:name w:val="Heading 4 Char"/>
    <w:basedOn w:val="DefaultParagraphFont"/>
    <w:link w:val="Heading4"/>
    <w:rsid w:val="004D425B"/>
    <w:rPr>
      <w:rFonts w:ascii="Arial" w:eastAsia="Arial" w:hAnsi="Arial" w:cs="Arial"/>
      <w:b/>
      <w:sz w:val="22"/>
      <w:szCs w:val="22"/>
      <w:lang w:eastAsia="en-US"/>
    </w:rPr>
  </w:style>
  <w:style w:type="paragraph" w:customStyle="1" w:styleId="NormalParagraph">
    <w:name w:val="Normal Paragraph"/>
    <w:basedOn w:val="Numbered"/>
    <w:link w:val="NormalParagraphChar"/>
    <w:uiPriority w:val="99"/>
    <w:rsid w:val="00987BCF"/>
  </w:style>
  <w:style w:type="paragraph" w:styleId="ListParagraph">
    <w:name w:val="List Paragraph"/>
    <w:basedOn w:val="ListBullet"/>
    <w:uiPriority w:val="34"/>
    <w:qFormat/>
    <w:rsid w:val="00A42D93"/>
    <w:pPr>
      <w:tabs>
        <w:tab w:val="left" w:pos="993"/>
        <w:tab w:val="left" w:pos="1134"/>
      </w:tabs>
      <w:spacing w:before="120" w:after="120" w:line="360" w:lineRule="auto"/>
    </w:pPr>
    <w:rPr>
      <w:rFonts w:ascii="Arial" w:hAnsi="Arial"/>
      <w:sz w:val="22"/>
    </w:rPr>
  </w:style>
  <w:style w:type="character" w:customStyle="1" w:styleId="FooterChar">
    <w:name w:val="Footer Char"/>
    <w:basedOn w:val="DefaultParagraphFont"/>
    <w:link w:val="Footer"/>
    <w:uiPriority w:val="99"/>
    <w:rsid w:val="00497688"/>
    <w:rPr>
      <w:sz w:val="24"/>
      <w:szCs w:val="24"/>
      <w:lang w:eastAsia="en-US"/>
    </w:rPr>
  </w:style>
  <w:style w:type="paragraph" w:styleId="ListBullet">
    <w:name w:val="List Bullet"/>
    <w:basedOn w:val="Normal"/>
    <w:uiPriority w:val="99"/>
    <w:rsid w:val="007F75F1"/>
    <w:pPr>
      <w:numPr>
        <w:numId w:val="1"/>
      </w:numPr>
      <w:contextualSpacing/>
    </w:pPr>
  </w:style>
  <w:style w:type="paragraph" w:styleId="Date">
    <w:name w:val="Date"/>
    <w:basedOn w:val="Normal"/>
    <w:next w:val="Normal"/>
    <w:link w:val="DateChar"/>
    <w:qFormat/>
    <w:rsid w:val="00E23669"/>
    <w:pPr>
      <w:spacing w:after="240"/>
      <w:jc w:val="right"/>
    </w:pPr>
    <w:rPr>
      <w:rFonts w:ascii="Arial" w:hAnsi="Arial" w:cs="Arial"/>
      <w:b/>
      <w:sz w:val="28"/>
      <w:szCs w:val="28"/>
    </w:rPr>
  </w:style>
  <w:style w:type="character" w:customStyle="1" w:styleId="DateChar">
    <w:name w:val="Date Char"/>
    <w:basedOn w:val="DefaultParagraphFont"/>
    <w:link w:val="Date"/>
    <w:rsid w:val="00E23669"/>
    <w:rPr>
      <w:rFonts w:ascii="Arial" w:hAnsi="Arial" w:cs="Arial"/>
      <w:b/>
      <w:sz w:val="28"/>
      <w:szCs w:val="28"/>
      <w:lang w:eastAsia="en-US"/>
    </w:rPr>
  </w:style>
  <w:style w:type="paragraph" w:styleId="BalloonText">
    <w:name w:val="Balloon Text"/>
    <w:basedOn w:val="Normal"/>
    <w:link w:val="BalloonTextChar"/>
    <w:uiPriority w:val="99"/>
    <w:rsid w:val="002B61E7"/>
    <w:rPr>
      <w:rFonts w:ascii="Tahoma" w:hAnsi="Tahoma" w:cs="Tahoma"/>
      <w:sz w:val="16"/>
      <w:szCs w:val="16"/>
    </w:rPr>
  </w:style>
  <w:style w:type="character" w:customStyle="1" w:styleId="BalloonTextChar">
    <w:name w:val="Balloon Text Char"/>
    <w:basedOn w:val="DefaultParagraphFont"/>
    <w:link w:val="BalloonText"/>
    <w:uiPriority w:val="99"/>
    <w:rsid w:val="002B61E7"/>
    <w:rPr>
      <w:rFonts w:ascii="Tahoma" w:hAnsi="Tahoma" w:cs="Tahoma"/>
      <w:sz w:val="16"/>
      <w:szCs w:val="16"/>
      <w:lang w:eastAsia="en-US"/>
    </w:rPr>
  </w:style>
  <w:style w:type="paragraph" w:customStyle="1" w:styleId="commentbox">
    <w:name w:val="comment box"/>
    <w:basedOn w:val="NormalParagraph"/>
    <w:qFormat/>
    <w:rsid w:val="00E813AE"/>
    <w:pPr>
      <w:shd w:val="clear" w:color="auto" w:fill="D9D9D9"/>
      <w:spacing w:after="240"/>
    </w:pPr>
  </w:style>
  <w:style w:type="paragraph" w:customStyle="1" w:styleId="ABCList">
    <w:name w:val="ABC List"/>
    <w:qFormat/>
    <w:rsid w:val="002314C6"/>
    <w:pPr>
      <w:numPr>
        <w:numId w:val="2"/>
      </w:numPr>
      <w:spacing w:after="120"/>
    </w:pPr>
    <w:rPr>
      <w:rFonts w:ascii="Arial" w:hAnsi="Arial"/>
      <w:sz w:val="22"/>
      <w:szCs w:val="24"/>
      <w:lang w:eastAsia="en-US"/>
    </w:rPr>
  </w:style>
  <w:style w:type="character" w:styleId="CommentReference">
    <w:name w:val="annotation reference"/>
    <w:basedOn w:val="DefaultParagraphFont"/>
    <w:uiPriority w:val="99"/>
    <w:rsid w:val="00C50CFC"/>
    <w:rPr>
      <w:sz w:val="16"/>
      <w:szCs w:val="16"/>
    </w:rPr>
  </w:style>
  <w:style w:type="paragraph" w:styleId="CommentText">
    <w:name w:val="annotation text"/>
    <w:basedOn w:val="Normal"/>
    <w:link w:val="CommentTextChar"/>
    <w:uiPriority w:val="99"/>
    <w:rsid w:val="00C50CFC"/>
    <w:rPr>
      <w:sz w:val="20"/>
      <w:szCs w:val="20"/>
    </w:rPr>
  </w:style>
  <w:style w:type="character" w:customStyle="1" w:styleId="CommentTextChar">
    <w:name w:val="Comment Text Char"/>
    <w:basedOn w:val="DefaultParagraphFont"/>
    <w:link w:val="CommentText"/>
    <w:uiPriority w:val="99"/>
    <w:rsid w:val="00C50CFC"/>
    <w:rPr>
      <w:lang w:eastAsia="en-US"/>
    </w:rPr>
  </w:style>
  <w:style w:type="paragraph" w:styleId="CommentSubject">
    <w:name w:val="annotation subject"/>
    <w:basedOn w:val="CommentText"/>
    <w:next w:val="CommentText"/>
    <w:link w:val="CommentSubjectChar"/>
    <w:uiPriority w:val="99"/>
    <w:rsid w:val="00C50CFC"/>
    <w:rPr>
      <w:b/>
      <w:bCs/>
    </w:rPr>
  </w:style>
  <w:style w:type="character" w:customStyle="1" w:styleId="CommentSubjectChar">
    <w:name w:val="Comment Subject Char"/>
    <w:basedOn w:val="CommentTextChar"/>
    <w:link w:val="CommentSubject"/>
    <w:uiPriority w:val="99"/>
    <w:rsid w:val="00C50CFC"/>
    <w:rPr>
      <w:b/>
      <w:bCs/>
      <w:lang w:eastAsia="en-US"/>
    </w:rPr>
  </w:style>
  <w:style w:type="paragraph" w:styleId="FootnoteText">
    <w:name w:val="footnote text"/>
    <w:basedOn w:val="Normal"/>
    <w:link w:val="FootnoteTextChar"/>
    <w:uiPriority w:val="2"/>
    <w:rsid w:val="0081112E"/>
    <w:pPr>
      <w:jc w:val="both"/>
    </w:pPr>
    <w:rPr>
      <w:sz w:val="20"/>
      <w:szCs w:val="20"/>
      <w:lang w:eastAsia="en-AU"/>
    </w:rPr>
  </w:style>
  <w:style w:type="character" w:customStyle="1" w:styleId="FootnoteTextChar">
    <w:name w:val="Footnote Text Char"/>
    <w:basedOn w:val="DefaultParagraphFont"/>
    <w:link w:val="FootnoteText"/>
    <w:uiPriority w:val="2"/>
    <w:rsid w:val="0081112E"/>
  </w:style>
  <w:style w:type="character" w:styleId="FootnoteReference">
    <w:name w:val="footnote reference"/>
    <w:uiPriority w:val="99"/>
    <w:rsid w:val="0081112E"/>
    <w:rPr>
      <w:position w:val="6"/>
      <w:sz w:val="16"/>
      <w:szCs w:val="16"/>
    </w:rPr>
  </w:style>
  <w:style w:type="paragraph" w:styleId="Revision">
    <w:name w:val="Revision"/>
    <w:hidden/>
    <w:uiPriority w:val="99"/>
    <w:semiHidden/>
    <w:rsid w:val="00A910D9"/>
    <w:rPr>
      <w:sz w:val="24"/>
      <w:szCs w:val="24"/>
      <w:lang w:eastAsia="en-US"/>
    </w:rPr>
  </w:style>
  <w:style w:type="character" w:customStyle="1" w:styleId="Heading5Char">
    <w:name w:val="Heading 5 Char"/>
    <w:basedOn w:val="DefaultParagraphFont"/>
    <w:link w:val="Heading5"/>
    <w:uiPriority w:val="2"/>
    <w:rsid w:val="004D425B"/>
    <w:rPr>
      <w:rFonts w:ascii="Arial" w:eastAsia="Arial" w:hAnsi="Arial" w:cs="Arial"/>
      <w:i/>
      <w:sz w:val="22"/>
      <w:szCs w:val="22"/>
      <w:lang w:eastAsia="en-US"/>
    </w:rPr>
  </w:style>
  <w:style w:type="paragraph" w:customStyle="1" w:styleId="Bulletpoint">
    <w:name w:val="Bullet point"/>
    <w:basedOn w:val="ListBullet"/>
    <w:qFormat/>
    <w:rsid w:val="00E44A40"/>
    <w:pPr>
      <w:numPr>
        <w:numId w:val="4"/>
      </w:numPr>
      <w:spacing w:before="120" w:after="120"/>
      <w:contextualSpacing w:val="0"/>
    </w:pPr>
    <w:rPr>
      <w:rFonts w:ascii="Arial" w:eastAsia="Arial" w:hAnsi="Arial"/>
      <w:sz w:val="22"/>
      <w:szCs w:val="22"/>
    </w:rPr>
  </w:style>
  <w:style w:type="paragraph" w:styleId="ListNumber">
    <w:name w:val="List Number"/>
    <w:basedOn w:val="Normal"/>
    <w:uiPriority w:val="99"/>
    <w:rsid w:val="00E44A40"/>
    <w:pPr>
      <w:tabs>
        <w:tab w:val="num" w:pos="360"/>
      </w:tabs>
      <w:spacing w:before="120" w:after="120"/>
      <w:ind w:left="357" w:hanging="357"/>
    </w:pPr>
    <w:rPr>
      <w:rFonts w:ascii="Arial" w:eastAsia="Arial" w:hAnsi="Arial"/>
      <w:color w:val="000000"/>
      <w:sz w:val="22"/>
      <w:szCs w:val="22"/>
    </w:rPr>
  </w:style>
  <w:style w:type="paragraph" w:styleId="ListNumber2">
    <w:name w:val="List Number 2"/>
    <w:aliases w:val="List alphabet"/>
    <w:next w:val="Normal"/>
    <w:qFormat/>
    <w:rsid w:val="00E44A40"/>
    <w:pPr>
      <w:tabs>
        <w:tab w:val="num" w:pos="720"/>
      </w:tabs>
      <w:spacing w:before="120"/>
      <w:ind w:left="357" w:hanging="357"/>
    </w:pPr>
    <w:rPr>
      <w:rFonts w:ascii="Arial" w:eastAsia="Arial" w:hAnsi="Arial"/>
      <w:sz w:val="22"/>
      <w:szCs w:val="22"/>
      <w:lang w:eastAsia="en-US"/>
    </w:rPr>
  </w:style>
  <w:style w:type="paragraph" w:customStyle="1" w:styleId="Numberedlist">
    <w:name w:val="Numbered list"/>
    <w:basedOn w:val="ListNumber"/>
    <w:link w:val="NumberedlistChar"/>
    <w:rsid w:val="00E44A40"/>
    <w:pPr>
      <w:numPr>
        <w:numId w:val="3"/>
      </w:numPr>
      <w:ind w:left="357" w:hanging="357"/>
    </w:pPr>
  </w:style>
  <w:style w:type="character" w:customStyle="1" w:styleId="NumberedlistChar">
    <w:name w:val="Numbered list Char"/>
    <w:link w:val="Numberedlist"/>
    <w:rsid w:val="00E44A40"/>
    <w:rPr>
      <w:rFonts w:ascii="Arial" w:eastAsia="Arial" w:hAnsi="Arial"/>
      <w:color w:val="000000"/>
      <w:sz w:val="22"/>
      <w:szCs w:val="22"/>
      <w:lang w:eastAsia="en-US"/>
    </w:rPr>
  </w:style>
  <w:style w:type="table" w:styleId="TableGrid">
    <w:name w:val="Table Grid"/>
    <w:aliases w:val="ACCC Table"/>
    <w:basedOn w:val="TableNormal"/>
    <w:uiPriority w:val="59"/>
    <w:rsid w:val="009E077E"/>
    <w:pPr>
      <w:spacing w:before="60" w:after="60"/>
    </w:pPr>
    <w:rPr>
      <w:rFonts w:ascii="Arial" w:eastAsia="Arial" w:hAnsi="Arial"/>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character" w:customStyle="1" w:styleId="NormalParagraphChar">
    <w:name w:val="Normal Paragraph Char"/>
    <w:link w:val="NormalParagraph"/>
    <w:uiPriority w:val="99"/>
    <w:rsid w:val="001149AB"/>
    <w:rPr>
      <w:rFonts w:ascii="Arial" w:eastAsia="Arial" w:hAnsi="Arial" w:cs="Arial"/>
      <w:sz w:val="22"/>
      <w:szCs w:val="22"/>
      <w:lang w:eastAsia="en-US"/>
    </w:rPr>
  </w:style>
  <w:style w:type="paragraph" w:customStyle="1" w:styleId="Tabletext">
    <w:name w:val="Table text"/>
    <w:basedOn w:val="Numberedlist"/>
    <w:link w:val="TabletextChar"/>
    <w:uiPriority w:val="1"/>
    <w:qFormat/>
    <w:rsid w:val="00F46108"/>
    <w:pPr>
      <w:numPr>
        <w:numId w:val="0"/>
      </w:numPr>
    </w:pPr>
  </w:style>
  <w:style w:type="character" w:styleId="FollowedHyperlink">
    <w:name w:val="FollowedHyperlink"/>
    <w:basedOn w:val="DefaultParagraphFont"/>
    <w:rsid w:val="00DF57E9"/>
    <w:rPr>
      <w:color w:val="800080" w:themeColor="followedHyperlink"/>
      <w:u w:val="single"/>
    </w:rPr>
  </w:style>
  <w:style w:type="paragraph" w:styleId="ListBullet3">
    <w:name w:val="List Bullet 3"/>
    <w:basedOn w:val="Normal"/>
    <w:uiPriority w:val="99"/>
    <w:rsid w:val="003E7158"/>
    <w:pPr>
      <w:contextualSpacing/>
    </w:pPr>
  </w:style>
  <w:style w:type="paragraph" w:customStyle="1" w:styleId="Numbered11">
    <w:name w:val="Numbered 1.1"/>
    <w:basedOn w:val="Heading2"/>
    <w:next w:val="Normal"/>
    <w:qFormat/>
    <w:rsid w:val="003E7158"/>
    <w:pPr>
      <w:numPr>
        <w:ilvl w:val="1"/>
        <w:numId w:val="5"/>
      </w:numPr>
      <w:pBdr>
        <w:bottom w:val="none" w:sz="0" w:space="0" w:color="auto"/>
      </w:pBdr>
      <w:tabs>
        <w:tab w:val="left" w:pos="1021"/>
      </w:tabs>
      <w:spacing w:before="200" w:line="240" w:lineRule="atLeast"/>
      <w:jc w:val="left"/>
    </w:pPr>
    <w:rPr>
      <w:b w:val="0"/>
      <w:color w:val="51626F"/>
      <w:sz w:val="28"/>
      <w:szCs w:val="26"/>
    </w:rPr>
  </w:style>
  <w:style w:type="paragraph" w:customStyle="1" w:styleId="Numbered111">
    <w:name w:val="Numbered 1.1.1"/>
    <w:basedOn w:val="Heading3"/>
    <w:next w:val="Normal"/>
    <w:qFormat/>
    <w:rsid w:val="003E7158"/>
    <w:pPr>
      <w:keepNext w:val="0"/>
      <w:numPr>
        <w:ilvl w:val="2"/>
        <w:numId w:val="5"/>
      </w:numPr>
      <w:tabs>
        <w:tab w:val="left" w:pos="1361"/>
      </w:tabs>
      <w:spacing w:before="240" w:after="0"/>
      <w:contextualSpacing/>
    </w:pPr>
    <w:rPr>
      <w:rFonts w:cs="Times New Roman"/>
      <w:color w:val="000000"/>
      <w:sz w:val="24"/>
      <w:szCs w:val="22"/>
    </w:rPr>
  </w:style>
  <w:style w:type="paragraph" w:customStyle="1" w:styleId="Numbered1111">
    <w:name w:val="Numbered 1.1.1.1"/>
    <w:basedOn w:val="Heading4"/>
    <w:next w:val="Normal"/>
    <w:rsid w:val="003E7158"/>
    <w:pPr>
      <w:numPr>
        <w:ilvl w:val="3"/>
      </w:numPr>
      <w:tabs>
        <w:tab w:val="left" w:pos="1361"/>
      </w:tabs>
      <w:spacing w:after="0"/>
    </w:pPr>
    <w:rPr>
      <w:rFonts w:cs="Times New Roman"/>
      <w:bCs/>
      <w:i/>
      <w:iCs/>
      <w:color w:val="51626F"/>
      <w:sz w:val="24"/>
    </w:rPr>
  </w:style>
  <w:style w:type="paragraph" w:customStyle="1" w:styleId="Numbered11111">
    <w:name w:val="Numbered 1.1.1.1.1"/>
    <w:basedOn w:val="Heading5"/>
    <w:next w:val="Normal"/>
    <w:uiPriority w:val="2"/>
    <w:rsid w:val="003E7158"/>
    <w:pPr>
      <w:numPr>
        <w:ilvl w:val="4"/>
      </w:numPr>
      <w:tabs>
        <w:tab w:val="left" w:pos="1701"/>
      </w:tabs>
      <w:spacing w:before="200" w:after="0" w:line="240" w:lineRule="atLeast"/>
    </w:pPr>
    <w:rPr>
      <w:rFonts w:cs="Times New Roman"/>
      <w:b/>
      <w:i w:val="0"/>
      <w:color w:val="283037"/>
    </w:rPr>
  </w:style>
  <w:style w:type="paragraph" w:customStyle="1" w:styleId="Numbered111111">
    <w:name w:val="Numbered 1.1.1.1.1.1"/>
    <w:basedOn w:val="Heading6"/>
    <w:next w:val="Normal"/>
    <w:uiPriority w:val="2"/>
    <w:rsid w:val="003E7158"/>
    <w:pPr>
      <w:numPr>
        <w:ilvl w:val="5"/>
        <w:numId w:val="5"/>
      </w:numPr>
      <w:tabs>
        <w:tab w:val="left" w:pos="1701"/>
      </w:tabs>
      <w:spacing w:after="0"/>
    </w:pPr>
    <w:rPr>
      <w:rFonts w:ascii="Arial" w:eastAsia="Times New Roman" w:hAnsi="Arial" w:cs="Times New Roman"/>
      <w:bCs w:val="0"/>
      <w:i/>
      <w:iCs/>
    </w:rPr>
  </w:style>
  <w:style w:type="paragraph" w:customStyle="1" w:styleId="Numbered1111111">
    <w:name w:val="Numbered 1.1.1.1.1.1.1"/>
    <w:basedOn w:val="Heading7"/>
    <w:next w:val="Normal"/>
    <w:uiPriority w:val="2"/>
    <w:rsid w:val="003E7158"/>
    <w:pPr>
      <w:numPr>
        <w:ilvl w:val="6"/>
        <w:numId w:val="5"/>
      </w:numPr>
      <w:tabs>
        <w:tab w:val="left" w:pos="2041"/>
      </w:tabs>
      <w:spacing w:after="0"/>
    </w:pPr>
    <w:rPr>
      <w:rFonts w:ascii="Arial" w:eastAsia="Times New Roman" w:hAnsi="Arial" w:cs="Times New Roman"/>
      <w:i/>
      <w:iCs/>
      <w:color w:val="404040"/>
      <w:sz w:val="22"/>
      <w:szCs w:val="22"/>
    </w:rPr>
  </w:style>
  <w:style w:type="paragraph" w:customStyle="1" w:styleId="Numbered11111111">
    <w:name w:val="Numbered 1.1.1.1.1.1.1.1"/>
    <w:basedOn w:val="Heading8"/>
    <w:next w:val="Normal"/>
    <w:uiPriority w:val="2"/>
    <w:rsid w:val="003E7158"/>
    <w:pPr>
      <w:numPr>
        <w:ilvl w:val="7"/>
        <w:numId w:val="5"/>
      </w:numPr>
      <w:tabs>
        <w:tab w:val="left" w:pos="2041"/>
      </w:tabs>
      <w:spacing w:after="0"/>
    </w:pPr>
    <w:rPr>
      <w:rFonts w:ascii="Arial" w:eastAsia="Times New Roman" w:hAnsi="Arial" w:cs="Times New Roman"/>
      <w:i w:val="0"/>
      <w:iCs w:val="0"/>
      <w:color w:val="51626F"/>
      <w:sz w:val="22"/>
      <w:szCs w:val="20"/>
    </w:rPr>
  </w:style>
  <w:style w:type="paragraph" w:customStyle="1" w:styleId="Numbered111111111">
    <w:name w:val="Numbered 1.1.1.1.1.1.1.1.1"/>
    <w:basedOn w:val="Heading9"/>
    <w:next w:val="Normal"/>
    <w:uiPriority w:val="2"/>
    <w:rsid w:val="003E7158"/>
    <w:pPr>
      <w:numPr>
        <w:ilvl w:val="8"/>
        <w:numId w:val="5"/>
      </w:numPr>
      <w:tabs>
        <w:tab w:val="left" w:pos="340"/>
        <w:tab w:val="left" w:pos="2381"/>
      </w:tabs>
      <w:spacing w:after="120"/>
    </w:pPr>
    <w:rPr>
      <w:rFonts w:ascii="Arial" w:hAnsi="Arial"/>
      <w:b/>
      <w:iCs/>
      <w:color w:val="000000"/>
      <w:sz w:val="24"/>
      <w:szCs w:val="20"/>
    </w:rPr>
  </w:style>
  <w:style w:type="paragraph" w:customStyle="1" w:styleId="Numberedparagraph11">
    <w:name w:val="Numbered paragraph 1.1"/>
    <w:basedOn w:val="Numbered11"/>
    <w:qFormat/>
    <w:rsid w:val="003E7158"/>
    <w:pPr>
      <w:ind w:left="680" w:hanging="680"/>
      <w:outlineLvl w:val="9"/>
    </w:pPr>
    <w:rPr>
      <w:bCs w:val="0"/>
      <w:color w:val="auto"/>
      <w:sz w:val="22"/>
    </w:rPr>
  </w:style>
  <w:style w:type="character" w:customStyle="1" w:styleId="Heading6Char">
    <w:name w:val="Heading 6 Char"/>
    <w:basedOn w:val="DefaultParagraphFont"/>
    <w:link w:val="Heading6"/>
    <w:uiPriority w:val="2"/>
    <w:rsid w:val="003E7158"/>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2"/>
    <w:rsid w:val="003E715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2"/>
    <w:rsid w:val="003E7158"/>
    <w:rPr>
      <w:rFonts w:asciiTheme="minorHAnsi" w:eastAsiaTheme="minorEastAsia" w:hAnsiTheme="minorHAnsi" w:cstheme="minorBidi"/>
      <w:i/>
      <w:iCs/>
      <w:sz w:val="24"/>
      <w:szCs w:val="24"/>
      <w:lang w:eastAsia="en-US"/>
    </w:rPr>
  </w:style>
  <w:style w:type="character" w:customStyle="1" w:styleId="Heading9Char">
    <w:name w:val="Heading 9 Char"/>
    <w:aliases w:val="Numbered Table Char"/>
    <w:basedOn w:val="DefaultParagraphFont"/>
    <w:link w:val="Heading9"/>
    <w:uiPriority w:val="2"/>
    <w:rsid w:val="003E7158"/>
    <w:rPr>
      <w:rFonts w:asciiTheme="majorHAnsi" w:eastAsiaTheme="majorEastAsia" w:hAnsiTheme="majorHAnsi" w:cstheme="majorBidi"/>
      <w:sz w:val="22"/>
      <w:szCs w:val="22"/>
      <w:lang w:eastAsia="en-US"/>
    </w:rPr>
  </w:style>
  <w:style w:type="paragraph" w:customStyle="1" w:styleId="Charttitle">
    <w:name w:val="Chart title"/>
    <w:basedOn w:val="Normal"/>
    <w:rsid w:val="00CE2E50"/>
    <w:pPr>
      <w:spacing w:before="240" w:after="120"/>
    </w:pPr>
    <w:rPr>
      <w:rFonts w:ascii="Arial" w:eastAsia="Arial" w:hAnsi="Arial"/>
      <w:b/>
      <w:szCs w:val="20"/>
    </w:rPr>
  </w:style>
  <w:style w:type="character" w:customStyle="1" w:styleId="Heading2Char">
    <w:name w:val="Heading 2 Char"/>
    <w:link w:val="Heading2"/>
    <w:rsid w:val="00CE2E50"/>
    <w:rPr>
      <w:rFonts w:ascii="Arial" w:hAnsi="Arial" w:cs="Arial"/>
      <w:b/>
      <w:bCs/>
      <w:sz w:val="30"/>
      <w:szCs w:val="24"/>
      <w:lang w:eastAsia="en-US"/>
    </w:rPr>
  </w:style>
  <w:style w:type="paragraph" w:customStyle="1" w:styleId="TableHeading">
    <w:name w:val="Table Heading"/>
    <w:basedOn w:val="Tabletext"/>
    <w:link w:val="TableHeadingChar"/>
    <w:qFormat/>
    <w:rsid w:val="00C11594"/>
    <w:pPr>
      <w:widowControl w:val="0"/>
      <w:spacing w:before="60" w:after="60" w:line="276" w:lineRule="auto"/>
    </w:pPr>
    <w:rPr>
      <w:b/>
      <w:color w:val="auto"/>
      <w:lang w:val="en-US"/>
    </w:rPr>
  </w:style>
  <w:style w:type="character" w:customStyle="1" w:styleId="TableHeadingChar">
    <w:name w:val="Table Heading Char"/>
    <w:link w:val="TableHeading"/>
    <w:rsid w:val="00C11594"/>
    <w:rPr>
      <w:rFonts w:ascii="Arial" w:eastAsia="Arial" w:hAnsi="Arial"/>
      <w:b/>
      <w:sz w:val="22"/>
      <w:szCs w:val="22"/>
      <w:lang w:val="en-US" w:eastAsia="en-US"/>
    </w:rPr>
  </w:style>
  <w:style w:type="character" w:customStyle="1" w:styleId="Heading1Char">
    <w:name w:val="Heading 1 Char"/>
    <w:link w:val="Heading1"/>
    <w:rsid w:val="00C11594"/>
    <w:rPr>
      <w:rFonts w:ascii="Arial" w:hAnsi="Arial" w:cs="Arial"/>
      <w:b/>
      <w:bCs/>
      <w:kern w:val="32"/>
      <w:sz w:val="36"/>
      <w:szCs w:val="32"/>
      <w:lang w:eastAsia="en-US"/>
    </w:rPr>
  </w:style>
  <w:style w:type="character" w:customStyle="1" w:styleId="Heading3Char">
    <w:name w:val="Heading 3 Char"/>
    <w:link w:val="Heading3"/>
    <w:rsid w:val="00C11594"/>
    <w:rPr>
      <w:rFonts w:ascii="Arial" w:hAnsi="Arial" w:cs="Arial"/>
      <w:b/>
      <w:bCs/>
      <w:sz w:val="30"/>
      <w:szCs w:val="30"/>
      <w:lang w:eastAsia="en-US"/>
    </w:rPr>
  </w:style>
  <w:style w:type="paragraph" w:customStyle="1" w:styleId="Chaptertitle">
    <w:name w:val="Chapter title"/>
    <w:basedOn w:val="Normal"/>
    <w:link w:val="ChaptertitleChar"/>
    <w:rsid w:val="00C11594"/>
    <w:pPr>
      <w:widowControl w:val="0"/>
      <w:spacing w:before="520" w:after="120" w:line="276" w:lineRule="auto"/>
    </w:pPr>
    <w:rPr>
      <w:rFonts w:ascii="Lucida Fax" w:eastAsia="Arial" w:hAnsi="Lucida Fax"/>
      <w:color w:val="4F2D7F"/>
      <w:sz w:val="52"/>
      <w:szCs w:val="52"/>
      <w:lang w:val="en-US"/>
    </w:rPr>
  </w:style>
  <w:style w:type="character" w:customStyle="1" w:styleId="ChaptertitleChar">
    <w:name w:val="Chapter title Char"/>
    <w:link w:val="Chaptertitle"/>
    <w:rsid w:val="00C11594"/>
    <w:rPr>
      <w:rFonts w:ascii="Lucida Fax" w:eastAsia="Arial" w:hAnsi="Lucida Fax"/>
      <w:color w:val="4F2D7F"/>
      <w:sz w:val="52"/>
      <w:szCs w:val="52"/>
      <w:lang w:val="en-US" w:eastAsia="en-US"/>
    </w:rPr>
  </w:style>
  <w:style w:type="paragraph" w:customStyle="1" w:styleId="Copyrighttext">
    <w:name w:val="Copyright text"/>
    <w:basedOn w:val="Normal"/>
    <w:link w:val="CopyrighttextChar"/>
    <w:uiPriority w:val="2"/>
    <w:qFormat/>
    <w:rsid w:val="00C11594"/>
    <w:pPr>
      <w:widowControl w:val="0"/>
      <w:spacing w:after="200" w:line="360" w:lineRule="auto"/>
      <w:contextualSpacing/>
    </w:pPr>
    <w:rPr>
      <w:rFonts w:ascii="Arial" w:eastAsia="Arial" w:hAnsi="Arial"/>
      <w:color w:val="51626F"/>
      <w:sz w:val="16"/>
      <w:szCs w:val="16"/>
      <w:lang w:val="en-US"/>
    </w:rPr>
  </w:style>
  <w:style w:type="character" w:customStyle="1" w:styleId="CopyrighttextChar">
    <w:name w:val="Copyright text Char"/>
    <w:link w:val="Copyrighttext"/>
    <w:uiPriority w:val="2"/>
    <w:rsid w:val="00C11594"/>
    <w:rPr>
      <w:rFonts w:ascii="Arial" w:eastAsia="Arial" w:hAnsi="Arial"/>
      <w:color w:val="51626F"/>
      <w:sz w:val="16"/>
      <w:szCs w:val="16"/>
      <w:lang w:val="en-US" w:eastAsia="en-US"/>
    </w:rPr>
  </w:style>
  <w:style w:type="paragraph" w:styleId="TOC8">
    <w:name w:val="toc 8"/>
    <w:basedOn w:val="Normal"/>
    <w:next w:val="Normal"/>
    <w:uiPriority w:val="39"/>
    <w:rsid w:val="00C11594"/>
    <w:pPr>
      <w:widowControl w:val="0"/>
      <w:tabs>
        <w:tab w:val="right" w:leader="dot" w:pos="9016"/>
      </w:tabs>
      <w:spacing w:after="100" w:line="276" w:lineRule="auto"/>
      <w:ind w:left="2977"/>
    </w:pPr>
    <w:rPr>
      <w:rFonts w:ascii="Arial" w:eastAsia="Arial" w:hAnsi="Arial"/>
      <w:noProof/>
      <w:sz w:val="22"/>
      <w:szCs w:val="22"/>
      <w:lang w:val="en-US"/>
    </w:rPr>
  </w:style>
  <w:style w:type="paragraph" w:styleId="TOC9">
    <w:name w:val="toc 9"/>
    <w:basedOn w:val="Normal"/>
    <w:next w:val="Normal"/>
    <w:uiPriority w:val="39"/>
    <w:rsid w:val="00C11594"/>
    <w:pPr>
      <w:widowControl w:val="0"/>
      <w:tabs>
        <w:tab w:val="right" w:leader="dot" w:pos="9016"/>
      </w:tabs>
      <w:spacing w:after="100" w:line="276" w:lineRule="auto"/>
      <w:ind w:left="3402"/>
    </w:pPr>
    <w:rPr>
      <w:rFonts w:ascii="Arial" w:eastAsia="Arial" w:hAnsi="Arial"/>
      <w:noProof/>
      <w:sz w:val="22"/>
      <w:szCs w:val="22"/>
      <w:lang w:val="en-US"/>
    </w:rPr>
  </w:style>
  <w:style w:type="paragraph" w:customStyle="1" w:styleId="Numbered1">
    <w:name w:val="Numbered 1"/>
    <w:basedOn w:val="Heading1"/>
    <w:next w:val="Normal"/>
    <w:link w:val="Numbered1Char"/>
    <w:qFormat/>
    <w:rsid w:val="00C11594"/>
    <w:pPr>
      <w:keepNext w:val="0"/>
      <w:widowControl w:val="0"/>
      <w:tabs>
        <w:tab w:val="left" w:pos="680"/>
      </w:tabs>
      <w:spacing w:before="240" w:after="200" w:line="276" w:lineRule="auto"/>
      <w:ind w:left="680" w:hanging="680"/>
      <w:jc w:val="left"/>
    </w:pPr>
    <w:rPr>
      <w:rFonts w:ascii="Lucida Fax" w:hAnsi="Lucida Fax" w:cs="Times New Roman"/>
      <w:b w:val="0"/>
      <w:color w:val="51626F"/>
      <w:kern w:val="0"/>
      <w:sz w:val="32"/>
      <w:szCs w:val="28"/>
      <w:lang w:val="en-US"/>
    </w:rPr>
  </w:style>
  <w:style w:type="character" w:customStyle="1" w:styleId="HeaderChar">
    <w:name w:val="Header Char"/>
    <w:link w:val="Header"/>
    <w:uiPriority w:val="99"/>
    <w:rsid w:val="00C11594"/>
    <w:rPr>
      <w:sz w:val="24"/>
      <w:szCs w:val="24"/>
      <w:lang w:eastAsia="en-US"/>
    </w:rPr>
  </w:style>
  <w:style w:type="paragraph" w:styleId="NoSpacing">
    <w:name w:val="No Spacing"/>
    <w:uiPriority w:val="1"/>
    <w:qFormat/>
    <w:rsid w:val="00C11594"/>
    <w:rPr>
      <w:rFonts w:ascii="Arial" w:eastAsia="Arial" w:hAnsi="Arial"/>
      <w:sz w:val="22"/>
      <w:szCs w:val="22"/>
      <w:lang w:eastAsia="en-US"/>
    </w:rPr>
  </w:style>
  <w:style w:type="paragraph" w:customStyle="1" w:styleId="Tabletitle">
    <w:name w:val="Table title"/>
    <w:basedOn w:val="Normal"/>
    <w:link w:val="TabletitleChar"/>
    <w:qFormat/>
    <w:rsid w:val="00C11594"/>
    <w:pPr>
      <w:widowControl w:val="0"/>
      <w:spacing w:before="240" w:after="120" w:line="276" w:lineRule="auto"/>
    </w:pPr>
    <w:rPr>
      <w:rFonts w:ascii="Arial" w:eastAsia="Arial" w:hAnsi="Arial"/>
      <w:b/>
      <w:sz w:val="22"/>
      <w:szCs w:val="20"/>
      <w:lang w:val="en-US"/>
    </w:rPr>
  </w:style>
  <w:style w:type="character" w:customStyle="1" w:styleId="TabletitleChar">
    <w:name w:val="Table title Char"/>
    <w:link w:val="Tabletitle"/>
    <w:rsid w:val="00C11594"/>
    <w:rPr>
      <w:rFonts w:ascii="Arial" w:eastAsia="Arial" w:hAnsi="Arial"/>
      <w:b/>
      <w:sz w:val="22"/>
      <w:lang w:val="en-US" w:eastAsia="en-US"/>
    </w:rPr>
  </w:style>
  <w:style w:type="paragraph" w:styleId="EndnoteText">
    <w:name w:val="endnote text"/>
    <w:basedOn w:val="Normal"/>
    <w:link w:val="EndnoteTextChar"/>
    <w:uiPriority w:val="99"/>
    <w:rsid w:val="00C11594"/>
    <w:pPr>
      <w:widowControl w:val="0"/>
      <w:spacing w:after="200" w:line="276" w:lineRule="auto"/>
    </w:pPr>
    <w:rPr>
      <w:rFonts w:ascii="Arial" w:eastAsia="Arial" w:hAnsi="Arial"/>
      <w:sz w:val="20"/>
      <w:szCs w:val="20"/>
      <w:lang w:val="en-US"/>
    </w:rPr>
  </w:style>
  <w:style w:type="character" w:customStyle="1" w:styleId="EndnoteTextChar">
    <w:name w:val="Endnote Text Char"/>
    <w:basedOn w:val="DefaultParagraphFont"/>
    <w:link w:val="EndnoteText"/>
    <w:uiPriority w:val="99"/>
    <w:rsid w:val="00C11594"/>
    <w:rPr>
      <w:rFonts w:ascii="Arial" w:eastAsia="Arial" w:hAnsi="Arial"/>
      <w:lang w:val="en-US" w:eastAsia="en-US"/>
    </w:rPr>
  </w:style>
  <w:style w:type="paragraph" w:customStyle="1" w:styleId="Boxedtext">
    <w:name w:val="Boxed text"/>
    <w:basedOn w:val="Normal"/>
    <w:link w:val="BoxedtextChar"/>
    <w:uiPriority w:val="1"/>
    <w:rsid w:val="00C11594"/>
    <w:pPr>
      <w:widowControl w:val="0"/>
      <w:pBdr>
        <w:top w:val="single" w:sz="4" w:space="1" w:color="FFFFFF"/>
        <w:left w:val="single" w:sz="4" w:space="4" w:color="FFFFFF"/>
        <w:bottom w:val="single" w:sz="4" w:space="1" w:color="FFFFFF"/>
        <w:right w:val="single" w:sz="4" w:space="4" w:color="FFFFFF"/>
      </w:pBdr>
      <w:shd w:val="clear" w:color="auto" w:fill="F2F2F2"/>
      <w:spacing w:after="240" w:line="276" w:lineRule="auto"/>
    </w:pPr>
    <w:rPr>
      <w:rFonts w:ascii="Arial" w:eastAsia="Arial" w:hAnsi="Arial"/>
      <w:sz w:val="22"/>
      <w:szCs w:val="20"/>
      <w:lang w:val="en-US"/>
    </w:rPr>
  </w:style>
  <w:style w:type="character" w:customStyle="1" w:styleId="BoxedtextChar">
    <w:name w:val="Boxed text Char"/>
    <w:link w:val="Boxedtext"/>
    <w:uiPriority w:val="1"/>
    <w:rsid w:val="00C11594"/>
    <w:rPr>
      <w:rFonts w:ascii="Arial" w:eastAsia="Arial" w:hAnsi="Arial"/>
      <w:sz w:val="22"/>
      <w:shd w:val="clear" w:color="auto" w:fill="F2F2F2"/>
      <w:lang w:val="en-US" w:eastAsia="en-US"/>
    </w:rPr>
  </w:style>
  <w:style w:type="paragraph" w:customStyle="1" w:styleId="Pullquoteheading">
    <w:name w:val="Pull quote heading"/>
    <w:basedOn w:val="Normal"/>
    <w:link w:val="PullquoteheadingChar"/>
    <w:uiPriority w:val="1"/>
    <w:rsid w:val="00C11594"/>
    <w:pPr>
      <w:widowControl w:val="0"/>
      <w:spacing w:after="120" w:line="276" w:lineRule="auto"/>
      <w:contextualSpacing/>
    </w:pPr>
    <w:rPr>
      <w:rFonts w:ascii="Lucida Fax" w:eastAsia="Arial" w:hAnsi="Lucida Fax"/>
      <w:b/>
      <w:color w:val="DC5034"/>
      <w:lang w:val="en-US"/>
    </w:rPr>
  </w:style>
  <w:style w:type="character" w:customStyle="1" w:styleId="PullquoteheadingChar">
    <w:name w:val="Pull quote heading Char"/>
    <w:link w:val="Pullquoteheading"/>
    <w:uiPriority w:val="1"/>
    <w:rsid w:val="00C11594"/>
    <w:rPr>
      <w:rFonts w:ascii="Lucida Fax" w:eastAsia="Arial" w:hAnsi="Lucida Fax"/>
      <w:b/>
      <w:color w:val="DC5034"/>
      <w:sz w:val="24"/>
      <w:szCs w:val="24"/>
      <w:lang w:val="en-US" w:eastAsia="en-US"/>
    </w:rPr>
  </w:style>
  <w:style w:type="paragraph" w:customStyle="1" w:styleId="Pullquotetext">
    <w:name w:val="Pull quote text"/>
    <w:link w:val="PullquotetextChar"/>
    <w:uiPriority w:val="1"/>
    <w:rsid w:val="00C11594"/>
    <w:pPr>
      <w:spacing w:before="120"/>
    </w:pPr>
    <w:rPr>
      <w:rFonts w:ascii="Lucida Fax" w:eastAsia="Arial" w:hAnsi="Lucida Fax"/>
      <w:color w:val="DC5034"/>
      <w:sz w:val="22"/>
      <w:szCs w:val="24"/>
      <w:lang w:eastAsia="en-US"/>
    </w:rPr>
  </w:style>
  <w:style w:type="character" w:customStyle="1" w:styleId="PullquotetextChar">
    <w:name w:val="Pull quote text Char"/>
    <w:link w:val="Pullquotetext"/>
    <w:uiPriority w:val="1"/>
    <w:rsid w:val="00C11594"/>
    <w:rPr>
      <w:rFonts w:ascii="Lucida Fax" w:eastAsia="Arial" w:hAnsi="Lucida Fax"/>
      <w:color w:val="DC5034"/>
      <w:sz w:val="22"/>
      <w:szCs w:val="24"/>
      <w:lang w:eastAsia="en-US"/>
    </w:rPr>
  </w:style>
  <w:style w:type="paragraph" w:customStyle="1" w:styleId="Note">
    <w:name w:val="Note"/>
    <w:basedOn w:val="Normal"/>
    <w:link w:val="NoteChar"/>
    <w:rsid w:val="00C11594"/>
    <w:pPr>
      <w:widowControl w:val="0"/>
      <w:spacing w:after="120" w:line="276" w:lineRule="auto"/>
    </w:pPr>
    <w:rPr>
      <w:rFonts w:ascii="Arial" w:eastAsia="Arial" w:hAnsi="Arial"/>
      <w:i/>
      <w:sz w:val="16"/>
      <w:szCs w:val="16"/>
      <w:lang w:val="en-US"/>
    </w:rPr>
  </w:style>
  <w:style w:type="character" w:customStyle="1" w:styleId="NoteChar">
    <w:name w:val="Note Char"/>
    <w:link w:val="Note"/>
    <w:rsid w:val="00C11594"/>
    <w:rPr>
      <w:rFonts w:ascii="Arial" w:eastAsia="Arial" w:hAnsi="Arial"/>
      <w:i/>
      <w:sz w:val="16"/>
      <w:szCs w:val="16"/>
      <w:lang w:val="en-US" w:eastAsia="en-US"/>
    </w:rPr>
  </w:style>
  <w:style w:type="paragraph" w:customStyle="1" w:styleId="Source">
    <w:name w:val="Source"/>
    <w:basedOn w:val="Normal"/>
    <w:link w:val="SourceChar"/>
    <w:rsid w:val="00C11594"/>
    <w:pPr>
      <w:widowControl w:val="0"/>
      <w:spacing w:after="60" w:line="276" w:lineRule="auto"/>
    </w:pPr>
    <w:rPr>
      <w:rFonts w:ascii="Arial" w:eastAsia="Arial" w:hAnsi="Arial"/>
      <w:sz w:val="16"/>
      <w:szCs w:val="16"/>
      <w:lang w:val="en-US"/>
    </w:rPr>
  </w:style>
  <w:style w:type="character" w:customStyle="1" w:styleId="SourceChar">
    <w:name w:val="Source Char"/>
    <w:link w:val="Source"/>
    <w:rsid w:val="00C11594"/>
    <w:rPr>
      <w:rFonts w:ascii="Arial" w:eastAsia="Arial" w:hAnsi="Arial"/>
      <w:sz w:val="16"/>
      <w:szCs w:val="16"/>
      <w:lang w:val="en-US" w:eastAsia="en-US"/>
    </w:rPr>
  </w:style>
  <w:style w:type="paragraph" w:customStyle="1" w:styleId="Footnotes">
    <w:name w:val="Footnotes"/>
    <w:basedOn w:val="FootnoteText"/>
    <w:link w:val="FootnotesChar"/>
    <w:uiPriority w:val="4"/>
    <w:semiHidden/>
    <w:qFormat/>
    <w:rsid w:val="00C11594"/>
  </w:style>
  <w:style w:type="character" w:customStyle="1" w:styleId="FootnotesChar">
    <w:name w:val="Footnotes Char"/>
    <w:link w:val="Footnotes"/>
    <w:uiPriority w:val="4"/>
    <w:semiHidden/>
    <w:rsid w:val="00C11594"/>
  </w:style>
  <w:style w:type="paragraph" w:styleId="Quote">
    <w:name w:val="Quote"/>
    <w:basedOn w:val="Normal"/>
    <w:next w:val="Normal"/>
    <w:link w:val="QuoteChar"/>
    <w:uiPriority w:val="29"/>
    <w:rsid w:val="00C11594"/>
    <w:pPr>
      <w:widowControl w:val="0"/>
      <w:spacing w:after="200" w:line="276" w:lineRule="auto"/>
      <w:ind w:left="737"/>
    </w:pPr>
    <w:rPr>
      <w:rFonts w:ascii="Arial" w:eastAsia="Arial" w:hAnsi="Arial"/>
      <w:i/>
      <w:iCs/>
      <w:color w:val="000000"/>
      <w:sz w:val="22"/>
      <w:szCs w:val="22"/>
      <w:lang w:val="en-US"/>
    </w:rPr>
  </w:style>
  <w:style w:type="character" w:customStyle="1" w:styleId="QuoteChar">
    <w:name w:val="Quote Char"/>
    <w:basedOn w:val="DefaultParagraphFont"/>
    <w:link w:val="Quote"/>
    <w:uiPriority w:val="29"/>
    <w:rsid w:val="00C11594"/>
    <w:rPr>
      <w:rFonts w:ascii="Arial" w:eastAsia="Arial" w:hAnsi="Arial"/>
      <w:i/>
      <w:iCs/>
      <w:color w:val="000000"/>
      <w:sz w:val="22"/>
      <w:szCs w:val="22"/>
      <w:lang w:val="en-US" w:eastAsia="en-US"/>
    </w:rPr>
  </w:style>
  <w:style w:type="paragraph" w:customStyle="1" w:styleId="Bulletpoint2">
    <w:name w:val="Bullet point 2"/>
    <w:basedOn w:val="ListBullet2"/>
    <w:uiPriority w:val="1"/>
    <w:qFormat/>
    <w:rsid w:val="00C11594"/>
    <w:pPr>
      <w:numPr>
        <w:numId w:val="15"/>
      </w:numPr>
      <w:tabs>
        <w:tab w:val="left" w:pos="680"/>
      </w:tabs>
      <w:ind w:left="680" w:hanging="340"/>
    </w:pPr>
  </w:style>
  <w:style w:type="paragraph" w:styleId="ListBullet2">
    <w:name w:val="List Bullet 2"/>
    <w:basedOn w:val="Normal"/>
    <w:uiPriority w:val="99"/>
    <w:rsid w:val="00C11594"/>
    <w:pPr>
      <w:widowControl w:val="0"/>
      <w:numPr>
        <w:numId w:val="10"/>
      </w:numPr>
      <w:tabs>
        <w:tab w:val="clear" w:pos="643"/>
        <w:tab w:val="num" w:pos="680"/>
      </w:tabs>
      <w:spacing w:before="120" w:after="200" w:line="276" w:lineRule="auto"/>
      <w:ind w:left="680" w:hanging="340"/>
    </w:pPr>
    <w:rPr>
      <w:rFonts w:ascii="Arial" w:eastAsia="Arial" w:hAnsi="Arial"/>
      <w:sz w:val="22"/>
      <w:szCs w:val="22"/>
      <w:lang w:val="en-US"/>
    </w:rPr>
  </w:style>
  <w:style w:type="paragraph" w:styleId="TOCHeading">
    <w:name w:val="TOC Heading"/>
    <w:basedOn w:val="Normal"/>
    <w:next w:val="Normal"/>
    <w:uiPriority w:val="39"/>
    <w:qFormat/>
    <w:rsid w:val="00C11594"/>
    <w:pPr>
      <w:widowControl w:val="0"/>
      <w:spacing w:before="480" w:after="120" w:line="276" w:lineRule="auto"/>
    </w:pPr>
    <w:rPr>
      <w:rFonts w:ascii="Lucida Fax" w:hAnsi="Lucida Fax"/>
      <w:bCs/>
      <w:color w:val="51626F"/>
      <w:sz w:val="32"/>
      <w:szCs w:val="28"/>
      <w:lang w:val="en-US" w:eastAsia="ja-JP"/>
    </w:rPr>
  </w:style>
  <w:style w:type="table" w:styleId="LightShading">
    <w:name w:val="Light Shading"/>
    <w:basedOn w:val="TableNormal"/>
    <w:uiPriority w:val="60"/>
    <w:rsid w:val="00C11594"/>
    <w:pPr>
      <w:spacing w:before="120" w:after="120"/>
    </w:pPr>
    <w:rPr>
      <w:rFonts w:ascii="Arial" w:eastAsia="Arial" w:hAnsi="Arial"/>
      <w:szCs w:val="22"/>
      <w:lang w:eastAsia="en-US"/>
    </w:rPr>
    <w:tblPr>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Pr>
    <w:tcPr>
      <w:shd w:val="clear" w:color="auto" w:fill="auto"/>
      <w:vAlign w:val="center"/>
    </w:tcPr>
    <w:tblStylePr w:type="firstRow">
      <w:pPr>
        <w:wordWrap/>
        <w:spacing w:beforeLines="0" w:before="120" w:beforeAutospacing="0" w:afterLines="0" w:after="120" w:afterAutospacing="0" w:line="240" w:lineRule="auto"/>
      </w:pPr>
      <w:rPr>
        <w:rFonts w:ascii="Arial" w:hAnsi="Arial"/>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C11594"/>
    <w:rPr>
      <w:rFonts w:ascii="Arial" w:eastAsia="Arial" w:hAnsi="Arial"/>
      <w:color w:val="3C4953"/>
      <w:sz w:val="22"/>
      <w:szCs w:val="22"/>
      <w:lang w:eastAsia="en-US"/>
    </w:rPr>
    <w:tblPr>
      <w:tblStyleRowBandSize w:val="1"/>
      <w:tblStyleColBandSize w:val="1"/>
      <w:tblBorders>
        <w:top w:val="single" w:sz="8" w:space="0" w:color="51626F"/>
        <w:bottom w:val="single" w:sz="8" w:space="0" w:color="51626F"/>
      </w:tblBorders>
    </w:tblPr>
    <w:tblStylePr w:type="fir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la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cPr>
    </w:tblStylePr>
    <w:tblStylePr w:type="band1Horz">
      <w:tblPr/>
      <w:tcPr>
        <w:tcBorders>
          <w:left w:val="nil"/>
          <w:right w:val="nil"/>
          <w:insideH w:val="nil"/>
          <w:insideV w:val="nil"/>
        </w:tcBorders>
        <w:shd w:val="clear" w:color="auto" w:fill="D1D8DD"/>
      </w:tcPr>
    </w:tblStylePr>
  </w:style>
  <w:style w:type="table" w:styleId="LightShading-Accent2">
    <w:name w:val="Light Shading Accent 2"/>
    <w:basedOn w:val="TableNormal"/>
    <w:uiPriority w:val="60"/>
    <w:rsid w:val="00C11594"/>
    <w:rPr>
      <w:rFonts w:ascii="Arial" w:eastAsia="Arial" w:hAnsi="Arial"/>
      <w:color w:val="000000"/>
      <w:sz w:val="22"/>
      <w:szCs w:val="22"/>
      <w:lang w:eastAsia="en-US"/>
    </w:rPr>
    <w:tblPr>
      <w:tblBorders>
        <w:top w:val="single" w:sz="4" w:space="0" w:color="B71202"/>
        <w:left w:val="single" w:sz="4" w:space="0" w:color="B71202"/>
        <w:bottom w:val="single" w:sz="4" w:space="0" w:color="B71202"/>
        <w:right w:val="single" w:sz="4" w:space="0" w:color="B71202"/>
        <w:insideH w:val="single" w:sz="4" w:space="0" w:color="B71202"/>
        <w:insideV w:val="single" w:sz="4" w:space="0" w:color="B71202"/>
      </w:tblBorders>
    </w:tblPr>
    <w:tcPr>
      <w:vAlign w:val="center"/>
    </w:tcPr>
    <w:tblStylePr w:type="fir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l2br w:val="nil"/>
          <w:tr2bl w:val="nil"/>
        </w:tcBorders>
      </w:tcPr>
    </w:tblStylePr>
    <w:tblStylePr w:type="la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C11594"/>
    <w:rPr>
      <w:rFonts w:ascii="Arial" w:eastAsia="Arial" w:hAnsi="Arial"/>
      <w:color w:val="007192"/>
      <w:sz w:val="22"/>
      <w:szCs w:val="22"/>
      <w:lang w:eastAsia="en-US"/>
    </w:rPr>
    <w:tblPr>
      <w:tblStyleRowBandSize w:val="1"/>
      <w:tblStyleColBandSize w:val="1"/>
      <w:tblBorders>
        <w:top w:val="single" w:sz="8" w:space="0" w:color="0098C3"/>
        <w:bottom w:val="single" w:sz="8" w:space="0" w:color="0098C3"/>
      </w:tblBorders>
    </w:tblPr>
    <w:tblStylePr w:type="fir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la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cPr>
    </w:tblStylePr>
    <w:tblStylePr w:type="band1Horz">
      <w:tblPr/>
      <w:tcPr>
        <w:tcBorders>
          <w:left w:val="nil"/>
          <w:right w:val="nil"/>
          <w:insideH w:val="nil"/>
          <w:insideV w:val="nil"/>
        </w:tcBorders>
        <w:shd w:val="clear" w:color="auto" w:fill="B1EDFF"/>
      </w:tcPr>
    </w:tblStylePr>
  </w:style>
  <w:style w:type="table" w:styleId="LightGrid-Accent6">
    <w:name w:val="Light Grid Accent 6"/>
    <w:basedOn w:val="TableNormal"/>
    <w:uiPriority w:val="62"/>
    <w:rsid w:val="00C11594"/>
    <w:rPr>
      <w:rFonts w:ascii="Arial" w:eastAsia="Arial" w:hAnsi="Arial"/>
      <w:sz w:val="22"/>
      <w:szCs w:val="22"/>
      <w:lang w:eastAsia="en-US"/>
    </w:rPr>
    <w:tblPr>
      <w:tblStyleRowBandSize w:val="1"/>
      <w:tblStyleColBandSize w:val="1"/>
      <w:tblBorders>
        <w:top w:val="single" w:sz="8" w:space="0" w:color="DC5034"/>
        <w:left w:val="single" w:sz="8" w:space="0" w:color="DC5034"/>
        <w:bottom w:val="single" w:sz="8" w:space="0" w:color="DC5034"/>
        <w:right w:val="single" w:sz="8" w:space="0" w:color="DC5034"/>
        <w:insideH w:val="single" w:sz="8" w:space="0" w:color="DC5034"/>
        <w:insideV w:val="single" w:sz="8" w:space="0" w:color="DC5034"/>
      </w:tblBorders>
    </w:tblPr>
    <w:tblStylePr w:type="firstRow">
      <w:pPr>
        <w:spacing w:before="0" w:after="0" w:line="240" w:lineRule="auto"/>
      </w:pPr>
      <w:rPr>
        <w:rFonts w:ascii="Lucida Fax" w:eastAsia="Times New Roman" w:hAnsi="Lucida Fax" w:cs="Times New Roman"/>
        <w:b/>
        <w:bCs/>
      </w:rPr>
      <w:tblPr/>
      <w:tcPr>
        <w:tcBorders>
          <w:top w:val="single" w:sz="8" w:space="0" w:color="DC5034"/>
          <w:left w:val="single" w:sz="8" w:space="0" w:color="DC5034"/>
          <w:bottom w:val="single" w:sz="18" w:space="0" w:color="DC5034"/>
          <w:right w:val="single" w:sz="8" w:space="0" w:color="DC5034"/>
          <w:insideH w:val="nil"/>
          <w:insideV w:val="single" w:sz="8" w:space="0" w:color="DC5034"/>
        </w:tcBorders>
      </w:tcPr>
    </w:tblStylePr>
    <w:tblStylePr w:type="lastRow">
      <w:pPr>
        <w:spacing w:before="0" w:after="0" w:line="240" w:lineRule="auto"/>
      </w:pPr>
      <w:rPr>
        <w:rFonts w:ascii="Lucida Fax" w:eastAsia="Times New Roman" w:hAnsi="Lucida Fax" w:cs="Times New Roman"/>
        <w:b/>
        <w:bCs/>
      </w:rPr>
      <w:tblPr/>
      <w:tcPr>
        <w:tcBorders>
          <w:top w:val="double" w:sz="6" w:space="0" w:color="DC5034"/>
          <w:left w:val="single" w:sz="8" w:space="0" w:color="DC5034"/>
          <w:bottom w:val="single" w:sz="8" w:space="0" w:color="DC5034"/>
          <w:right w:val="single" w:sz="8" w:space="0" w:color="DC5034"/>
          <w:insideH w:val="nil"/>
          <w:insideV w:val="single" w:sz="8" w:space="0" w:color="DC5034"/>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DC5034"/>
          <w:left w:val="single" w:sz="8" w:space="0" w:color="DC5034"/>
          <w:bottom w:val="single" w:sz="8" w:space="0" w:color="DC5034"/>
          <w:right w:val="single" w:sz="8" w:space="0" w:color="DC5034"/>
        </w:tcBorders>
      </w:tcPr>
    </w:tblStylePr>
    <w:tblStylePr w:type="band1Vert">
      <w:tblPr/>
      <w:tcPr>
        <w:tcBorders>
          <w:top w:val="single" w:sz="8" w:space="0" w:color="DC5034"/>
          <w:left w:val="single" w:sz="8" w:space="0" w:color="DC5034"/>
          <w:bottom w:val="single" w:sz="8" w:space="0" w:color="DC5034"/>
          <w:right w:val="single" w:sz="8" w:space="0" w:color="DC5034"/>
        </w:tcBorders>
        <w:shd w:val="clear" w:color="auto" w:fill="F6D3CC"/>
      </w:tcPr>
    </w:tblStylePr>
    <w:tblStylePr w:type="band1Horz">
      <w:tblPr/>
      <w:tcPr>
        <w:tcBorders>
          <w:top w:val="single" w:sz="8" w:space="0" w:color="DC5034"/>
          <w:left w:val="single" w:sz="8" w:space="0" w:color="DC5034"/>
          <w:bottom w:val="single" w:sz="8" w:space="0" w:color="DC5034"/>
          <w:right w:val="single" w:sz="8" w:space="0" w:color="DC5034"/>
          <w:insideV w:val="single" w:sz="8" w:space="0" w:color="DC5034"/>
        </w:tcBorders>
        <w:shd w:val="clear" w:color="auto" w:fill="F6D3CC"/>
      </w:tcPr>
    </w:tblStylePr>
    <w:tblStylePr w:type="band2Horz">
      <w:tblPr/>
      <w:tcPr>
        <w:tcBorders>
          <w:top w:val="single" w:sz="8" w:space="0" w:color="DC5034"/>
          <w:left w:val="single" w:sz="8" w:space="0" w:color="DC5034"/>
          <w:bottom w:val="single" w:sz="8" w:space="0" w:color="DC5034"/>
          <w:right w:val="single" w:sz="8" w:space="0" w:color="DC5034"/>
          <w:insideV w:val="single" w:sz="8" w:space="0" w:color="DC5034"/>
        </w:tcBorders>
      </w:tcPr>
    </w:tblStylePr>
  </w:style>
  <w:style w:type="table" w:styleId="MediumShading1">
    <w:name w:val="Medium Shading 1"/>
    <w:basedOn w:val="TableNormal"/>
    <w:uiPriority w:val="63"/>
    <w:rsid w:val="00C11594"/>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11594"/>
    <w:rPr>
      <w:rFonts w:ascii="Arial" w:eastAsia="Arial" w:hAnsi="Arial"/>
      <w:sz w:val="22"/>
      <w:szCs w:val="22"/>
      <w:lang w:eastAsia="en-US"/>
    </w:rPr>
    <w:tblPr>
      <w:tblStyleRowBandSize w:val="1"/>
      <w:tblStyleColBandSize w:val="1"/>
      <w:tblBorders>
        <w:top w:val="single" w:sz="8" w:space="0" w:color="758A9A"/>
        <w:left w:val="single" w:sz="8" w:space="0" w:color="758A9A"/>
        <w:bottom w:val="single" w:sz="8" w:space="0" w:color="758A9A"/>
        <w:right w:val="single" w:sz="8" w:space="0" w:color="758A9A"/>
        <w:insideH w:val="single" w:sz="8" w:space="0" w:color="758A9A"/>
      </w:tblBorders>
    </w:tblPr>
    <w:tblStylePr w:type="firstRow">
      <w:pPr>
        <w:spacing w:before="0" w:after="0" w:line="240" w:lineRule="auto"/>
      </w:pPr>
      <w:rPr>
        <w:b/>
        <w:bCs/>
        <w:color w:val="FFFFFF"/>
      </w:rPr>
      <w:tblPr/>
      <w:tcPr>
        <w:tcBorders>
          <w:top w:val="single" w:sz="8" w:space="0" w:color="758A9A"/>
          <w:left w:val="single" w:sz="8" w:space="0" w:color="758A9A"/>
          <w:bottom w:val="single" w:sz="8" w:space="0" w:color="758A9A"/>
          <w:right w:val="single" w:sz="8" w:space="0" w:color="758A9A"/>
          <w:insideH w:val="nil"/>
          <w:insideV w:val="nil"/>
        </w:tcBorders>
        <w:shd w:val="clear" w:color="auto" w:fill="51626F"/>
      </w:tcPr>
    </w:tblStylePr>
    <w:tblStylePr w:type="lastRow">
      <w:pPr>
        <w:spacing w:before="0" w:after="0" w:line="240" w:lineRule="auto"/>
      </w:pPr>
      <w:rPr>
        <w:b/>
        <w:bCs/>
      </w:rPr>
      <w:tblPr/>
      <w:tcPr>
        <w:tcBorders>
          <w:top w:val="double" w:sz="6" w:space="0" w:color="758A9A"/>
          <w:left w:val="single" w:sz="8" w:space="0" w:color="758A9A"/>
          <w:bottom w:val="single" w:sz="8" w:space="0" w:color="758A9A"/>
          <w:right w:val="single" w:sz="8" w:space="0" w:color="758A9A"/>
          <w:insideH w:val="nil"/>
          <w:insideV w:val="nil"/>
        </w:tcBorders>
      </w:tcPr>
    </w:tblStylePr>
    <w:tblStylePr w:type="firstCol">
      <w:rPr>
        <w:b/>
        <w:bCs/>
      </w:rPr>
    </w:tblStylePr>
    <w:tblStylePr w:type="lastCol">
      <w:rPr>
        <w:b/>
        <w:bCs/>
      </w:rPr>
    </w:tblStylePr>
    <w:tblStylePr w:type="band1Vert">
      <w:tblPr/>
      <w:tcPr>
        <w:shd w:val="clear" w:color="auto" w:fill="D1D8DD"/>
      </w:tcPr>
    </w:tblStylePr>
    <w:tblStylePr w:type="band1Horz">
      <w:tblPr/>
      <w:tcPr>
        <w:tcBorders>
          <w:insideH w:val="nil"/>
          <w:insideV w:val="nil"/>
        </w:tcBorders>
        <w:shd w:val="clear" w:color="auto" w:fill="D1D8D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11594"/>
    <w:rPr>
      <w:rFonts w:ascii="Arial" w:eastAsia="Arial" w:hAnsi="Arial"/>
      <w:sz w:val="22"/>
      <w:szCs w:val="22"/>
      <w:lang w:eastAsia="en-US"/>
    </w:rPr>
    <w:tblPr>
      <w:tblStyleRowBandSize w:val="1"/>
      <w:tblStyleColBandSize w:val="1"/>
      <w:tblBorders>
        <w:top w:val="single" w:sz="8" w:space="0" w:color="7643BB"/>
        <w:left w:val="single" w:sz="8" w:space="0" w:color="7643BB"/>
        <w:bottom w:val="single" w:sz="8" w:space="0" w:color="7643BB"/>
        <w:right w:val="single" w:sz="8" w:space="0" w:color="7643BB"/>
        <w:insideH w:val="single" w:sz="8" w:space="0" w:color="7643BB"/>
      </w:tblBorders>
    </w:tblPr>
    <w:tblStylePr w:type="firstRow">
      <w:pPr>
        <w:spacing w:before="0" w:after="0" w:line="240" w:lineRule="auto"/>
      </w:pPr>
      <w:rPr>
        <w:b/>
        <w:bCs/>
        <w:color w:val="FFFFFF"/>
      </w:rPr>
      <w:tblPr/>
      <w:tcPr>
        <w:tcBorders>
          <w:top w:val="single" w:sz="8" w:space="0" w:color="7643BB"/>
          <w:left w:val="single" w:sz="8" w:space="0" w:color="7643BB"/>
          <w:bottom w:val="single" w:sz="8" w:space="0" w:color="7643BB"/>
          <w:right w:val="single" w:sz="8" w:space="0" w:color="7643BB"/>
          <w:insideH w:val="nil"/>
          <w:insideV w:val="nil"/>
        </w:tcBorders>
        <w:shd w:val="clear" w:color="auto" w:fill="4F2D7D"/>
      </w:tcPr>
    </w:tblStylePr>
    <w:tblStylePr w:type="lastRow">
      <w:pPr>
        <w:spacing w:before="0" w:after="0" w:line="240" w:lineRule="auto"/>
      </w:pPr>
      <w:rPr>
        <w:b/>
        <w:bCs/>
      </w:rPr>
      <w:tblPr/>
      <w:tcPr>
        <w:tcBorders>
          <w:top w:val="double" w:sz="6" w:space="0" w:color="7643BB"/>
          <w:left w:val="single" w:sz="8" w:space="0" w:color="7643BB"/>
          <w:bottom w:val="single" w:sz="8" w:space="0" w:color="7643BB"/>
          <w:right w:val="single" w:sz="8" w:space="0" w:color="7643BB"/>
          <w:insideH w:val="nil"/>
          <w:insideV w:val="nil"/>
        </w:tcBorders>
      </w:tcPr>
    </w:tblStylePr>
    <w:tblStylePr w:type="firstCol">
      <w:rPr>
        <w:b/>
        <w:bCs/>
      </w:rPr>
    </w:tblStylePr>
    <w:tblStylePr w:type="lastCol">
      <w:rPr>
        <w:b/>
        <w:bCs/>
      </w:rPr>
    </w:tblStylePr>
    <w:tblStylePr w:type="band1Vert">
      <w:tblPr/>
      <w:tcPr>
        <w:shd w:val="clear" w:color="auto" w:fill="D1C1E8"/>
      </w:tcPr>
    </w:tblStylePr>
    <w:tblStylePr w:type="band1Horz">
      <w:tblPr/>
      <w:tcPr>
        <w:tcBorders>
          <w:insideH w:val="nil"/>
          <w:insideV w:val="nil"/>
        </w:tcBorders>
        <w:shd w:val="clear" w:color="auto" w:fill="D1C1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11594"/>
    <w:rPr>
      <w:rFonts w:ascii="Arial" w:eastAsia="Arial" w:hAnsi="Arial"/>
      <w:sz w:val="22"/>
      <w:szCs w:val="22"/>
      <w:lang w:eastAsia="en-US"/>
    </w:rPr>
    <w:tblPr>
      <w:tblStyleRowBandSize w:val="1"/>
      <w:tblStyleColBandSize w:val="1"/>
      <w:tblBorders>
        <w:top w:val="single" w:sz="8" w:space="0" w:color="13CAFF"/>
        <w:left w:val="single" w:sz="8" w:space="0" w:color="13CAFF"/>
        <w:bottom w:val="single" w:sz="8" w:space="0" w:color="13CAFF"/>
        <w:right w:val="single" w:sz="8" w:space="0" w:color="13CAFF"/>
        <w:insideH w:val="single" w:sz="8" w:space="0" w:color="13CAFF"/>
      </w:tblBorders>
    </w:tblPr>
    <w:tblStylePr w:type="firstRow">
      <w:pPr>
        <w:spacing w:before="0" w:after="0" w:line="240" w:lineRule="auto"/>
      </w:pPr>
      <w:rPr>
        <w:b/>
        <w:bCs/>
        <w:color w:val="FFFFFF"/>
      </w:rPr>
      <w:tblPr/>
      <w:tcPr>
        <w:tcBorders>
          <w:top w:val="single" w:sz="8" w:space="0" w:color="13CAFF"/>
          <w:left w:val="single" w:sz="8" w:space="0" w:color="13CAFF"/>
          <w:bottom w:val="single" w:sz="8" w:space="0" w:color="13CAFF"/>
          <w:right w:val="single" w:sz="8" w:space="0" w:color="13CAFF"/>
          <w:insideH w:val="nil"/>
          <w:insideV w:val="nil"/>
        </w:tcBorders>
        <w:shd w:val="clear" w:color="auto" w:fill="0098C3"/>
      </w:tcPr>
    </w:tblStylePr>
    <w:tblStylePr w:type="lastRow">
      <w:pPr>
        <w:spacing w:before="0" w:after="0" w:line="240" w:lineRule="auto"/>
      </w:pPr>
      <w:rPr>
        <w:b/>
        <w:bCs/>
      </w:rPr>
      <w:tblPr/>
      <w:tcPr>
        <w:tcBorders>
          <w:top w:val="double" w:sz="6" w:space="0" w:color="13CAFF"/>
          <w:left w:val="single" w:sz="8" w:space="0" w:color="13CAFF"/>
          <w:bottom w:val="single" w:sz="8" w:space="0" w:color="13CAFF"/>
          <w:right w:val="single" w:sz="8" w:space="0" w:color="13CAFF"/>
          <w:insideH w:val="nil"/>
          <w:insideV w:val="nil"/>
        </w:tcBorders>
      </w:tcPr>
    </w:tblStylePr>
    <w:tblStylePr w:type="firstCol">
      <w:rPr>
        <w:b/>
        <w:bCs/>
      </w:rPr>
    </w:tblStylePr>
    <w:tblStylePr w:type="lastCol">
      <w:rPr>
        <w:b/>
        <w:bCs/>
      </w:rPr>
    </w:tblStylePr>
    <w:tblStylePr w:type="band1Vert">
      <w:tblPr/>
      <w:tcPr>
        <w:shd w:val="clear" w:color="auto" w:fill="B1EDFF"/>
      </w:tcPr>
    </w:tblStylePr>
    <w:tblStylePr w:type="band1Horz">
      <w:tblPr/>
      <w:tcPr>
        <w:tcBorders>
          <w:insideH w:val="nil"/>
          <w:insideV w:val="nil"/>
        </w:tcBorders>
        <w:shd w:val="clear" w:color="auto" w:fill="B1EDF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11594"/>
    <w:rPr>
      <w:rFonts w:ascii="Arial" w:eastAsia="Arial" w:hAnsi="Arial"/>
      <w:sz w:val="22"/>
      <w:szCs w:val="22"/>
      <w:lang w:eastAsia="en-US"/>
    </w:rPr>
    <w:tblPr>
      <w:tblStyleRowBandSize w:val="1"/>
      <w:tblStyleColBandSize w:val="1"/>
      <w:tblBorders>
        <w:top w:val="single" w:sz="8" w:space="0" w:color="B7DAF0"/>
        <w:left w:val="single" w:sz="8" w:space="0" w:color="B7DAF0"/>
        <w:bottom w:val="single" w:sz="8" w:space="0" w:color="B7DAF0"/>
        <w:right w:val="single" w:sz="8" w:space="0" w:color="B7DAF0"/>
        <w:insideH w:val="single" w:sz="8" w:space="0" w:color="B7DAF0"/>
      </w:tblBorders>
    </w:tblPr>
    <w:tblStylePr w:type="firstRow">
      <w:pPr>
        <w:spacing w:before="0" w:after="0" w:line="240" w:lineRule="auto"/>
      </w:pPr>
      <w:rPr>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line="240" w:lineRule="auto"/>
      </w:pPr>
      <w:rPr>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b/>
        <w:bCs/>
      </w:rPr>
    </w:tblStylePr>
    <w:tblStylePr w:type="lastCol">
      <w:rPr>
        <w:b/>
        <w:bCs/>
      </w:rPr>
    </w:tblStylePr>
    <w:tblStylePr w:type="band1Vert">
      <w:tblPr/>
      <w:tcPr>
        <w:shd w:val="clear" w:color="auto" w:fill="E7F3FA"/>
      </w:tcPr>
    </w:tblStylePr>
    <w:tblStylePr w:type="band1Horz">
      <w:tblPr/>
      <w:tcPr>
        <w:tcBorders>
          <w:insideH w:val="nil"/>
          <w:insideV w:val="nil"/>
        </w:tcBorders>
        <w:shd w:val="clear" w:color="auto" w:fill="E7F3FA"/>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11594"/>
    <w:rPr>
      <w:rFonts w:ascii="Arial" w:eastAsia="Arial" w:hAnsi="Arial"/>
      <w:sz w:val="22"/>
      <w:szCs w:val="22"/>
      <w:lang w:eastAsia="en-US"/>
    </w:rPr>
    <w:tblPr>
      <w:tblStyleRowBandSize w:val="1"/>
      <w:tblStyleColBandSize w:val="1"/>
      <w:tblBorders>
        <w:top w:val="single" w:sz="8" w:space="0" w:color="FC220E"/>
        <w:left w:val="single" w:sz="8" w:space="0" w:color="FC220E"/>
        <w:bottom w:val="single" w:sz="8" w:space="0" w:color="FC220E"/>
        <w:right w:val="single" w:sz="8" w:space="0" w:color="FC220E"/>
        <w:insideH w:val="single" w:sz="8" w:space="0" w:color="FC220E"/>
      </w:tblBorders>
    </w:tblPr>
    <w:tblStylePr w:type="firstRow">
      <w:pPr>
        <w:spacing w:before="0" w:after="0" w:line="240" w:lineRule="auto"/>
      </w:pPr>
      <w:rPr>
        <w:b/>
        <w:bCs/>
        <w:color w:val="FFFFFF"/>
      </w:rPr>
      <w:tblPr/>
      <w:tcPr>
        <w:tcBorders>
          <w:top w:val="single" w:sz="8" w:space="0" w:color="FC220E"/>
          <w:left w:val="single" w:sz="8" w:space="0" w:color="FC220E"/>
          <w:bottom w:val="single" w:sz="8" w:space="0" w:color="FC220E"/>
          <w:right w:val="single" w:sz="8" w:space="0" w:color="FC220E"/>
          <w:insideH w:val="nil"/>
          <w:insideV w:val="nil"/>
        </w:tcBorders>
        <w:shd w:val="clear" w:color="auto" w:fill="B71202"/>
      </w:tcPr>
    </w:tblStylePr>
    <w:tblStylePr w:type="lastRow">
      <w:pPr>
        <w:spacing w:before="0" w:after="0" w:line="240" w:lineRule="auto"/>
      </w:pPr>
      <w:rPr>
        <w:b/>
        <w:bCs/>
      </w:rPr>
      <w:tblPr/>
      <w:tcPr>
        <w:tcBorders>
          <w:top w:val="double" w:sz="6" w:space="0" w:color="FC220E"/>
          <w:left w:val="single" w:sz="8" w:space="0" w:color="FC220E"/>
          <w:bottom w:val="single" w:sz="8" w:space="0" w:color="FC220E"/>
          <w:right w:val="single" w:sz="8" w:space="0" w:color="FC220E"/>
          <w:insideH w:val="nil"/>
          <w:insideV w:val="nil"/>
        </w:tcBorders>
      </w:tcPr>
    </w:tblStylePr>
    <w:tblStylePr w:type="firstCol">
      <w:rPr>
        <w:b/>
        <w:bCs/>
      </w:rPr>
    </w:tblStylePr>
    <w:tblStylePr w:type="lastCol">
      <w:rPr>
        <w:b/>
        <w:bCs/>
      </w:rPr>
    </w:tblStylePr>
    <w:tblStylePr w:type="band1Vert">
      <w:tblPr/>
      <w:tcPr>
        <w:shd w:val="clear" w:color="auto" w:fill="FEB6AF"/>
      </w:tcPr>
    </w:tblStylePr>
    <w:tblStylePr w:type="band1Horz">
      <w:tblPr/>
      <w:tcPr>
        <w:tcBorders>
          <w:insideH w:val="nil"/>
          <w:insideV w:val="nil"/>
        </w:tcBorders>
        <w:shd w:val="clear" w:color="auto" w:fill="FEB6AF"/>
      </w:tcPr>
    </w:tblStylePr>
    <w:tblStylePr w:type="band2Horz">
      <w:tblPr/>
      <w:tcPr>
        <w:tcBorders>
          <w:insideH w:val="nil"/>
          <w:insideV w:val="nil"/>
        </w:tcBorders>
      </w:tcPr>
    </w:tblStylePr>
  </w:style>
  <w:style w:type="table" w:styleId="LightList">
    <w:name w:val="Light List"/>
    <w:basedOn w:val="TableNormal"/>
    <w:uiPriority w:val="61"/>
    <w:rsid w:val="00C11594"/>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C11594"/>
    <w:rPr>
      <w:rFonts w:ascii="Arial" w:eastAsia="Arial" w:hAnsi="Arial"/>
      <w:color w:val="880D01"/>
      <w:sz w:val="22"/>
      <w:szCs w:val="22"/>
      <w:lang w:eastAsia="en-US"/>
    </w:rPr>
    <w:tblPr>
      <w:tblStyleRowBandSize w:val="1"/>
      <w:tblStyleColBandSize w:val="1"/>
      <w:tblBorders>
        <w:top w:val="single" w:sz="8" w:space="0" w:color="B71202"/>
        <w:bottom w:val="single" w:sz="8" w:space="0" w:color="B71202"/>
      </w:tblBorders>
    </w:tblPr>
    <w:tblStylePr w:type="fir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la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cPr>
    </w:tblStylePr>
    <w:tblStylePr w:type="band1Horz">
      <w:tblPr/>
      <w:tcPr>
        <w:tcBorders>
          <w:left w:val="nil"/>
          <w:right w:val="nil"/>
          <w:insideH w:val="nil"/>
          <w:insideV w:val="nil"/>
        </w:tcBorders>
        <w:shd w:val="clear" w:color="auto" w:fill="FEB6AF"/>
      </w:tcPr>
    </w:tblStylePr>
  </w:style>
  <w:style w:type="table" w:styleId="LightGrid-Accent3">
    <w:name w:val="Light Grid Accent 3"/>
    <w:basedOn w:val="TableNormal"/>
    <w:uiPriority w:val="62"/>
    <w:rsid w:val="00C11594"/>
    <w:rPr>
      <w:rFonts w:ascii="Arial" w:eastAsia="Arial" w:hAnsi="Arial"/>
      <w:sz w:val="22"/>
      <w:szCs w:val="22"/>
      <w:lang w:eastAsia="en-US"/>
    </w:rPr>
    <w:tblPr>
      <w:tblStyleRowBandSize w:val="1"/>
      <w:tblStyleColBandSize w:val="1"/>
      <w:tblBorders>
        <w:top w:val="single" w:sz="8" w:space="0" w:color="0098C3"/>
        <w:left w:val="single" w:sz="8" w:space="0" w:color="0098C3"/>
        <w:bottom w:val="single" w:sz="8" w:space="0" w:color="0098C3"/>
        <w:right w:val="single" w:sz="8" w:space="0" w:color="0098C3"/>
        <w:insideH w:val="single" w:sz="8" w:space="0" w:color="0098C3"/>
        <w:insideV w:val="single" w:sz="8" w:space="0" w:color="0098C3"/>
      </w:tblBorders>
    </w:tblPr>
    <w:tblStylePr w:type="firstRow">
      <w:pPr>
        <w:spacing w:before="0" w:after="0" w:line="240" w:lineRule="auto"/>
      </w:pPr>
      <w:rPr>
        <w:rFonts w:ascii="Lucida Fax" w:eastAsia="Times New Roman" w:hAnsi="Lucida Fax" w:cs="Times New Roman"/>
        <w:b/>
        <w:bCs/>
      </w:rPr>
      <w:tblPr/>
      <w:tcPr>
        <w:tcBorders>
          <w:top w:val="single" w:sz="8" w:space="0" w:color="0098C3"/>
          <w:left w:val="single" w:sz="8" w:space="0" w:color="0098C3"/>
          <w:bottom w:val="single" w:sz="18" w:space="0" w:color="0098C3"/>
          <w:right w:val="single" w:sz="8" w:space="0" w:color="0098C3"/>
          <w:insideH w:val="nil"/>
          <w:insideV w:val="single" w:sz="8" w:space="0" w:color="0098C3"/>
        </w:tcBorders>
      </w:tcPr>
    </w:tblStylePr>
    <w:tblStylePr w:type="lastRow">
      <w:pPr>
        <w:spacing w:before="0" w:after="0" w:line="240" w:lineRule="auto"/>
      </w:pPr>
      <w:rPr>
        <w:rFonts w:ascii="Lucida Fax" w:eastAsia="Times New Roman" w:hAnsi="Lucida Fax" w:cs="Times New Roman"/>
        <w:b/>
        <w:bCs/>
      </w:rPr>
      <w:tblPr/>
      <w:tcPr>
        <w:tcBorders>
          <w:top w:val="double" w:sz="6" w:space="0" w:color="0098C3"/>
          <w:left w:val="single" w:sz="8" w:space="0" w:color="0098C3"/>
          <w:bottom w:val="single" w:sz="8" w:space="0" w:color="0098C3"/>
          <w:right w:val="single" w:sz="8" w:space="0" w:color="0098C3"/>
          <w:insideH w:val="nil"/>
          <w:insideV w:val="single" w:sz="8" w:space="0" w:color="0098C3"/>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98C3"/>
          <w:left w:val="single" w:sz="8" w:space="0" w:color="0098C3"/>
          <w:bottom w:val="single" w:sz="8" w:space="0" w:color="0098C3"/>
          <w:right w:val="single" w:sz="8" w:space="0" w:color="0098C3"/>
        </w:tcBorders>
      </w:tcPr>
    </w:tblStylePr>
    <w:tblStylePr w:type="band1Vert">
      <w:tblPr/>
      <w:tcPr>
        <w:tcBorders>
          <w:top w:val="single" w:sz="8" w:space="0" w:color="0098C3"/>
          <w:left w:val="single" w:sz="8" w:space="0" w:color="0098C3"/>
          <w:bottom w:val="single" w:sz="8" w:space="0" w:color="0098C3"/>
          <w:right w:val="single" w:sz="8" w:space="0" w:color="0098C3"/>
        </w:tcBorders>
        <w:shd w:val="clear" w:color="auto" w:fill="B1EDFF"/>
      </w:tcPr>
    </w:tblStylePr>
    <w:tblStylePr w:type="band1Horz">
      <w:tblPr/>
      <w:tcPr>
        <w:tcBorders>
          <w:top w:val="single" w:sz="8" w:space="0" w:color="0098C3"/>
          <w:left w:val="single" w:sz="8" w:space="0" w:color="0098C3"/>
          <w:bottom w:val="single" w:sz="8" w:space="0" w:color="0098C3"/>
          <w:right w:val="single" w:sz="8" w:space="0" w:color="0098C3"/>
          <w:insideV w:val="single" w:sz="8" w:space="0" w:color="0098C3"/>
        </w:tcBorders>
        <w:shd w:val="clear" w:color="auto" w:fill="B1EDFF"/>
      </w:tcPr>
    </w:tblStylePr>
    <w:tblStylePr w:type="band2Horz">
      <w:tblPr/>
      <w:tcPr>
        <w:tcBorders>
          <w:top w:val="single" w:sz="8" w:space="0" w:color="0098C3"/>
          <w:left w:val="single" w:sz="8" w:space="0" w:color="0098C3"/>
          <w:bottom w:val="single" w:sz="8" w:space="0" w:color="0098C3"/>
          <w:right w:val="single" w:sz="8" w:space="0" w:color="0098C3"/>
          <w:insideV w:val="single" w:sz="8" w:space="0" w:color="0098C3"/>
        </w:tcBorders>
      </w:tcPr>
    </w:tblStylePr>
  </w:style>
  <w:style w:type="paragraph" w:styleId="Bibliography">
    <w:name w:val="Bibliography"/>
    <w:basedOn w:val="Normal"/>
    <w:next w:val="Normal"/>
    <w:uiPriority w:val="37"/>
    <w:semiHidden/>
    <w:rsid w:val="00C11594"/>
    <w:pPr>
      <w:widowControl w:val="0"/>
      <w:spacing w:after="200" w:line="276" w:lineRule="auto"/>
    </w:pPr>
    <w:rPr>
      <w:rFonts w:ascii="Arial" w:eastAsia="Arial" w:hAnsi="Arial"/>
      <w:sz w:val="22"/>
      <w:szCs w:val="22"/>
      <w:lang w:val="en-US"/>
    </w:rPr>
  </w:style>
  <w:style w:type="paragraph" w:styleId="BodyText3">
    <w:name w:val="Body Text 3"/>
    <w:basedOn w:val="Normal"/>
    <w:link w:val="BodyText3Char"/>
    <w:uiPriority w:val="99"/>
    <w:unhideWhenUsed/>
    <w:rsid w:val="00C11594"/>
    <w:pPr>
      <w:widowControl w:val="0"/>
      <w:spacing w:after="120" w:line="276" w:lineRule="auto"/>
    </w:pPr>
    <w:rPr>
      <w:rFonts w:ascii="Arial" w:eastAsia="Arial" w:hAnsi="Arial"/>
      <w:sz w:val="22"/>
      <w:szCs w:val="16"/>
      <w:lang w:val="en-US"/>
    </w:rPr>
  </w:style>
  <w:style w:type="character" w:customStyle="1" w:styleId="BodyText3Char">
    <w:name w:val="Body Text 3 Char"/>
    <w:basedOn w:val="DefaultParagraphFont"/>
    <w:link w:val="BodyText3"/>
    <w:uiPriority w:val="99"/>
    <w:rsid w:val="00C11594"/>
    <w:rPr>
      <w:rFonts w:ascii="Arial" w:eastAsia="Arial" w:hAnsi="Arial"/>
      <w:sz w:val="22"/>
      <w:szCs w:val="16"/>
      <w:lang w:val="en-US" w:eastAsia="en-US"/>
    </w:rPr>
  </w:style>
  <w:style w:type="paragraph" w:styleId="TOC1">
    <w:name w:val="toc 1"/>
    <w:basedOn w:val="Normal"/>
    <w:next w:val="Normal"/>
    <w:autoRedefine/>
    <w:uiPriority w:val="39"/>
    <w:qFormat/>
    <w:rsid w:val="00C11594"/>
    <w:pPr>
      <w:widowControl w:val="0"/>
      <w:tabs>
        <w:tab w:val="left" w:pos="426"/>
        <w:tab w:val="right" w:leader="dot" w:pos="9016"/>
      </w:tabs>
      <w:spacing w:after="100" w:line="276" w:lineRule="auto"/>
    </w:pPr>
    <w:rPr>
      <w:rFonts w:ascii="Arial" w:eastAsia="Arial" w:hAnsi="Arial"/>
      <w:noProof/>
      <w:sz w:val="22"/>
      <w:szCs w:val="22"/>
      <w:lang w:val="en-US" w:eastAsia="ja-JP"/>
    </w:rPr>
  </w:style>
  <w:style w:type="paragraph" w:styleId="TOC2">
    <w:name w:val="toc 2"/>
    <w:basedOn w:val="Normal"/>
    <w:next w:val="Normal"/>
    <w:uiPriority w:val="39"/>
    <w:qFormat/>
    <w:rsid w:val="00C11594"/>
    <w:pPr>
      <w:widowControl w:val="0"/>
      <w:tabs>
        <w:tab w:val="left" w:pos="880"/>
        <w:tab w:val="right" w:leader="dot" w:pos="9016"/>
      </w:tabs>
      <w:spacing w:after="100" w:line="276" w:lineRule="auto"/>
      <w:ind w:left="425"/>
    </w:pPr>
    <w:rPr>
      <w:rFonts w:ascii="Arial" w:eastAsia="Arial" w:hAnsi="Arial"/>
      <w:noProof/>
      <w:sz w:val="22"/>
      <w:szCs w:val="22"/>
      <w:lang w:val="en-US"/>
    </w:rPr>
  </w:style>
  <w:style w:type="paragraph" w:styleId="TOC3">
    <w:name w:val="toc 3"/>
    <w:basedOn w:val="Normal"/>
    <w:next w:val="Normal"/>
    <w:uiPriority w:val="39"/>
    <w:qFormat/>
    <w:rsid w:val="00C11594"/>
    <w:pPr>
      <w:widowControl w:val="0"/>
      <w:tabs>
        <w:tab w:val="left" w:pos="1760"/>
        <w:tab w:val="right" w:leader="dot" w:pos="9016"/>
      </w:tabs>
      <w:spacing w:after="100" w:line="276" w:lineRule="auto"/>
      <w:ind w:left="851"/>
    </w:pPr>
    <w:rPr>
      <w:rFonts w:ascii="Arial" w:eastAsia="Arial" w:hAnsi="Arial"/>
      <w:noProof/>
      <w:sz w:val="22"/>
      <w:szCs w:val="22"/>
      <w:lang w:val="en-US"/>
    </w:rPr>
  </w:style>
  <w:style w:type="paragraph" w:styleId="Title">
    <w:name w:val="Title"/>
    <w:basedOn w:val="Normal"/>
    <w:next w:val="Normal"/>
    <w:link w:val="TitleChar"/>
    <w:uiPriority w:val="10"/>
    <w:qFormat/>
    <w:rsid w:val="00C11594"/>
    <w:pPr>
      <w:widowControl w:val="0"/>
      <w:spacing w:before="720" w:after="120" w:line="276" w:lineRule="auto"/>
      <w:contextualSpacing/>
      <w:outlineLvl w:val="0"/>
    </w:pPr>
    <w:rPr>
      <w:rFonts w:ascii="Lucida Fax" w:hAnsi="Lucida Fax"/>
      <w:color w:val="4F2D7D"/>
      <w:spacing w:val="5"/>
      <w:kern w:val="28"/>
      <w:sz w:val="72"/>
      <w:szCs w:val="52"/>
      <w:lang w:val="en-US"/>
    </w:rPr>
  </w:style>
  <w:style w:type="character" w:customStyle="1" w:styleId="TitleChar">
    <w:name w:val="Title Char"/>
    <w:basedOn w:val="DefaultParagraphFont"/>
    <w:link w:val="Title"/>
    <w:uiPriority w:val="10"/>
    <w:rsid w:val="00C11594"/>
    <w:rPr>
      <w:rFonts w:ascii="Lucida Fax" w:hAnsi="Lucida Fax"/>
      <w:color w:val="4F2D7D"/>
      <w:spacing w:val="5"/>
      <w:kern w:val="28"/>
      <w:sz w:val="72"/>
      <w:szCs w:val="52"/>
      <w:lang w:val="en-US" w:eastAsia="en-US"/>
    </w:rPr>
  </w:style>
  <w:style w:type="paragraph" w:customStyle="1" w:styleId="CoverDate">
    <w:name w:val="Cover Date"/>
    <w:rsid w:val="00C11594"/>
    <w:pPr>
      <w:spacing w:before="200"/>
    </w:pPr>
    <w:rPr>
      <w:rFonts w:ascii="Lucida Fax" w:eastAsia="Arial" w:hAnsi="Lucida Fax"/>
      <w:color w:val="DC5034"/>
      <w:sz w:val="24"/>
      <w:szCs w:val="24"/>
      <w:lang w:eastAsia="en-US"/>
    </w:rPr>
  </w:style>
  <w:style w:type="character" w:styleId="BookTitle">
    <w:name w:val="Book Title"/>
    <w:uiPriority w:val="33"/>
    <w:rsid w:val="00C11594"/>
    <w:rPr>
      <w:rFonts w:ascii="Arial" w:hAnsi="Arial"/>
      <w:bCs/>
      <w:i/>
      <w:caps w:val="0"/>
      <w:smallCaps w:val="0"/>
      <w:spacing w:val="0"/>
      <w:sz w:val="22"/>
    </w:rPr>
  </w:style>
  <w:style w:type="table" w:styleId="LightList-Accent1">
    <w:name w:val="Light List Accent 1"/>
    <w:basedOn w:val="TableNormal"/>
    <w:uiPriority w:val="61"/>
    <w:rsid w:val="00C11594"/>
    <w:rPr>
      <w:rFonts w:ascii="Arial" w:eastAsia="Arial" w:hAnsi="Arial"/>
      <w:sz w:val="22"/>
      <w:szCs w:val="22"/>
      <w:lang w:eastAsia="en-US"/>
    </w:rPr>
    <w:tblPr>
      <w:tblStyleRowBandSize w:val="1"/>
      <w:tblStyleColBandSize w:val="1"/>
      <w:tblBorders>
        <w:top w:val="single" w:sz="8" w:space="0" w:color="51626F"/>
        <w:left w:val="single" w:sz="8" w:space="0" w:color="51626F"/>
        <w:bottom w:val="single" w:sz="8" w:space="0" w:color="51626F"/>
        <w:right w:val="single" w:sz="8" w:space="0" w:color="51626F"/>
      </w:tblBorders>
    </w:tblPr>
    <w:tblStylePr w:type="firstRow">
      <w:pPr>
        <w:spacing w:before="0" w:after="0" w:line="240" w:lineRule="auto"/>
      </w:pPr>
      <w:rPr>
        <w:b/>
        <w:bCs/>
        <w:color w:val="FFFFFF"/>
      </w:rPr>
      <w:tblPr/>
      <w:tcPr>
        <w:shd w:val="clear" w:color="auto" w:fill="51626F"/>
      </w:tcPr>
    </w:tblStylePr>
    <w:tblStylePr w:type="lastRow">
      <w:pPr>
        <w:spacing w:before="0" w:after="0" w:line="240" w:lineRule="auto"/>
      </w:pPr>
      <w:rPr>
        <w:b/>
        <w:bCs/>
      </w:rPr>
      <w:tblPr/>
      <w:tcPr>
        <w:tcBorders>
          <w:top w:val="double" w:sz="6" w:space="0" w:color="51626F"/>
          <w:left w:val="single" w:sz="8" w:space="0" w:color="51626F"/>
          <w:bottom w:val="single" w:sz="8" w:space="0" w:color="51626F"/>
          <w:right w:val="single" w:sz="8" w:space="0" w:color="51626F"/>
        </w:tcBorders>
      </w:tcPr>
    </w:tblStylePr>
    <w:tblStylePr w:type="firstCol">
      <w:rPr>
        <w:b/>
        <w:bCs/>
      </w:rPr>
    </w:tblStylePr>
    <w:tblStylePr w:type="lastCol">
      <w:rPr>
        <w:b/>
        <w:bCs/>
      </w:rPr>
    </w:tblStylePr>
    <w:tblStylePr w:type="band1Vert">
      <w:tblPr/>
      <w:tcPr>
        <w:tcBorders>
          <w:top w:val="single" w:sz="8" w:space="0" w:color="51626F"/>
          <w:left w:val="single" w:sz="8" w:space="0" w:color="51626F"/>
          <w:bottom w:val="single" w:sz="8" w:space="0" w:color="51626F"/>
          <w:right w:val="single" w:sz="8" w:space="0" w:color="51626F"/>
        </w:tcBorders>
      </w:tcPr>
    </w:tblStylePr>
    <w:tblStylePr w:type="band1Horz">
      <w:tblPr/>
      <w:tcPr>
        <w:tcBorders>
          <w:top w:val="single" w:sz="8" w:space="0" w:color="51626F"/>
          <w:left w:val="single" w:sz="8" w:space="0" w:color="51626F"/>
          <w:bottom w:val="single" w:sz="8" w:space="0" w:color="51626F"/>
          <w:right w:val="single" w:sz="8" w:space="0" w:color="51626F"/>
        </w:tcBorders>
      </w:tcPr>
    </w:tblStylePr>
  </w:style>
  <w:style w:type="table" w:styleId="LightList-Accent3">
    <w:name w:val="Light List Accent 3"/>
    <w:basedOn w:val="TableNormal"/>
    <w:uiPriority w:val="61"/>
    <w:rsid w:val="00C11594"/>
    <w:rPr>
      <w:rFonts w:ascii="Arial" w:eastAsia="Arial" w:hAnsi="Arial"/>
      <w:sz w:val="22"/>
      <w:szCs w:val="22"/>
      <w:lang w:eastAsia="en-US"/>
    </w:rPr>
    <w:tblPr>
      <w:tblStyleRowBandSize w:val="1"/>
      <w:tblStyleColBandSize w:val="1"/>
      <w:tblBorders>
        <w:top w:val="single" w:sz="8" w:space="0" w:color="0098C3"/>
        <w:left w:val="single" w:sz="8" w:space="0" w:color="0098C3"/>
        <w:bottom w:val="single" w:sz="8" w:space="0" w:color="0098C3"/>
        <w:right w:val="single" w:sz="8" w:space="0" w:color="0098C3"/>
      </w:tblBorders>
    </w:tblPr>
    <w:tblStylePr w:type="firstRow">
      <w:pPr>
        <w:spacing w:before="0" w:after="0" w:line="240" w:lineRule="auto"/>
      </w:pPr>
      <w:rPr>
        <w:b/>
        <w:bCs/>
        <w:color w:val="FFFFFF"/>
      </w:rPr>
      <w:tblPr/>
      <w:tcPr>
        <w:shd w:val="clear" w:color="auto" w:fill="0098C3"/>
      </w:tcPr>
    </w:tblStylePr>
    <w:tblStylePr w:type="lastRow">
      <w:pPr>
        <w:spacing w:before="0" w:after="0" w:line="240" w:lineRule="auto"/>
      </w:pPr>
      <w:rPr>
        <w:b/>
        <w:bCs/>
      </w:rPr>
      <w:tblPr/>
      <w:tcPr>
        <w:tcBorders>
          <w:top w:val="double" w:sz="6" w:space="0" w:color="0098C3"/>
          <w:left w:val="single" w:sz="8" w:space="0" w:color="0098C3"/>
          <w:bottom w:val="single" w:sz="8" w:space="0" w:color="0098C3"/>
          <w:right w:val="single" w:sz="8" w:space="0" w:color="0098C3"/>
        </w:tcBorders>
      </w:tcPr>
    </w:tblStylePr>
    <w:tblStylePr w:type="firstCol">
      <w:rPr>
        <w:b/>
        <w:bCs/>
      </w:rPr>
    </w:tblStylePr>
    <w:tblStylePr w:type="lastCol">
      <w:rPr>
        <w:b/>
        <w:bCs/>
      </w:rPr>
    </w:tblStylePr>
    <w:tblStylePr w:type="band1Vert">
      <w:tblPr/>
      <w:tcPr>
        <w:tcBorders>
          <w:top w:val="single" w:sz="8" w:space="0" w:color="0098C3"/>
          <w:left w:val="single" w:sz="8" w:space="0" w:color="0098C3"/>
          <w:bottom w:val="single" w:sz="8" w:space="0" w:color="0098C3"/>
          <w:right w:val="single" w:sz="8" w:space="0" w:color="0098C3"/>
        </w:tcBorders>
      </w:tcPr>
    </w:tblStylePr>
    <w:tblStylePr w:type="band1Horz">
      <w:tblPr/>
      <w:tcPr>
        <w:tcBorders>
          <w:top w:val="single" w:sz="8" w:space="0" w:color="0098C3"/>
          <w:left w:val="single" w:sz="8" w:space="0" w:color="0098C3"/>
          <w:bottom w:val="single" w:sz="8" w:space="0" w:color="0098C3"/>
          <w:right w:val="single" w:sz="8" w:space="0" w:color="0098C3"/>
        </w:tcBorders>
      </w:tcPr>
    </w:tblStylePr>
  </w:style>
  <w:style w:type="table" w:styleId="LightList-Accent5">
    <w:name w:val="Light List Accent 5"/>
    <w:basedOn w:val="TableNormal"/>
    <w:uiPriority w:val="61"/>
    <w:rsid w:val="00C11594"/>
    <w:rPr>
      <w:rFonts w:ascii="Arial" w:eastAsia="Arial" w:hAnsi="Arial"/>
      <w:sz w:val="22"/>
      <w:szCs w:val="22"/>
      <w:lang w:eastAsia="en-US"/>
    </w:rPr>
    <w:tblPr>
      <w:tblStyleRowBandSize w:val="1"/>
      <w:tblStyleColBandSize w:val="1"/>
      <w:tblBorders>
        <w:top w:val="single" w:sz="8" w:space="0" w:color="B71202"/>
        <w:left w:val="single" w:sz="8" w:space="0" w:color="B71202"/>
        <w:bottom w:val="single" w:sz="8" w:space="0" w:color="B71202"/>
        <w:right w:val="single" w:sz="8" w:space="0" w:color="B71202"/>
      </w:tblBorders>
    </w:tblPr>
    <w:tblStylePr w:type="firstRow">
      <w:pPr>
        <w:spacing w:before="0" w:after="0" w:line="240" w:lineRule="auto"/>
      </w:pPr>
      <w:rPr>
        <w:b/>
        <w:bCs/>
        <w:color w:val="auto"/>
      </w:rPr>
      <w:tblPr/>
      <w:tcPr>
        <w:shd w:val="clear" w:color="auto" w:fill="B71202"/>
      </w:tcPr>
    </w:tblStylePr>
    <w:tblStylePr w:type="lastRow">
      <w:pPr>
        <w:spacing w:before="0" w:after="0" w:line="240" w:lineRule="auto"/>
      </w:pPr>
      <w:rPr>
        <w:b/>
        <w:bCs/>
      </w:rPr>
      <w:tblPr/>
      <w:tcPr>
        <w:tcBorders>
          <w:top w:val="double" w:sz="6" w:space="0" w:color="B71202"/>
          <w:left w:val="single" w:sz="8" w:space="0" w:color="B71202"/>
          <w:bottom w:val="single" w:sz="8" w:space="0" w:color="B71202"/>
          <w:right w:val="single" w:sz="8" w:space="0" w:color="B71202"/>
        </w:tcBorders>
      </w:tcPr>
    </w:tblStylePr>
    <w:tblStylePr w:type="firstCol">
      <w:rPr>
        <w:b/>
        <w:bCs/>
      </w:rPr>
    </w:tblStylePr>
    <w:tblStylePr w:type="lastCol">
      <w:rPr>
        <w:b/>
        <w:bCs/>
      </w:rPr>
    </w:tblStylePr>
    <w:tblStylePr w:type="band1Vert">
      <w:tblPr/>
      <w:tcPr>
        <w:tcBorders>
          <w:top w:val="single" w:sz="8" w:space="0" w:color="B71202"/>
          <w:left w:val="single" w:sz="8" w:space="0" w:color="B71202"/>
          <w:bottom w:val="single" w:sz="8" w:space="0" w:color="B71202"/>
          <w:right w:val="single" w:sz="8" w:space="0" w:color="B71202"/>
        </w:tcBorders>
      </w:tcPr>
    </w:tblStylePr>
    <w:tblStylePr w:type="band1Horz">
      <w:tblPr/>
      <w:tcPr>
        <w:tcBorders>
          <w:top w:val="single" w:sz="8" w:space="0" w:color="B71202"/>
          <w:left w:val="single" w:sz="8" w:space="0" w:color="B71202"/>
          <w:bottom w:val="single" w:sz="8" w:space="0" w:color="B71202"/>
          <w:right w:val="single" w:sz="8" w:space="0" w:color="B71202"/>
        </w:tcBorders>
      </w:tcPr>
    </w:tblStylePr>
  </w:style>
  <w:style w:type="character" w:styleId="Emphasis">
    <w:name w:val="Emphasis"/>
    <w:uiPriority w:val="20"/>
    <w:qFormat/>
    <w:rsid w:val="00C11594"/>
    <w:rPr>
      <w:i/>
      <w:iCs/>
    </w:rPr>
  </w:style>
  <w:style w:type="paragraph" w:styleId="NormalIndent">
    <w:name w:val="Normal Indent"/>
    <w:basedOn w:val="Normal"/>
    <w:uiPriority w:val="1"/>
    <w:rsid w:val="00C11594"/>
    <w:pPr>
      <w:widowControl w:val="0"/>
      <w:spacing w:after="200" w:line="276" w:lineRule="auto"/>
      <w:ind w:left="720"/>
    </w:pPr>
    <w:rPr>
      <w:rFonts w:ascii="Arial" w:eastAsia="Arial" w:hAnsi="Arial"/>
      <w:sz w:val="22"/>
      <w:szCs w:val="22"/>
      <w:lang w:val="en-US"/>
    </w:rPr>
  </w:style>
  <w:style w:type="character" w:styleId="Strong">
    <w:name w:val="Strong"/>
    <w:uiPriority w:val="22"/>
    <w:qFormat/>
    <w:rsid w:val="00C11594"/>
    <w:rPr>
      <w:b/>
      <w:bCs/>
    </w:rPr>
  </w:style>
  <w:style w:type="paragraph" w:styleId="Subtitle">
    <w:name w:val="Subtitle"/>
    <w:next w:val="Normal"/>
    <w:link w:val="SubtitleChar"/>
    <w:uiPriority w:val="11"/>
    <w:qFormat/>
    <w:rsid w:val="00C11594"/>
    <w:pPr>
      <w:spacing w:before="360" w:after="120"/>
    </w:pPr>
    <w:rPr>
      <w:rFonts w:ascii="Lucida Fax" w:eastAsia="Arial" w:hAnsi="Lucida Fax"/>
      <w:color w:val="4F2D7F"/>
      <w:sz w:val="52"/>
      <w:szCs w:val="52"/>
      <w:lang w:eastAsia="en-US"/>
    </w:rPr>
  </w:style>
  <w:style w:type="character" w:customStyle="1" w:styleId="SubtitleChar">
    <w:name w:val="Subtitle Char"/>
    <w:basedOn w:val="DefaultParagraphFont"/>
    <w:link w:val="Subtitle"/>
    <w:uiPriority w:val="11"/>
    <w:rsid w:val="00C11594"/>
    <w:rPr>
      <w:rFonts w:ascii="Lucida Fax" w:eastAsia="Arial" w:hAnsi="Lucida Fax"/>
      <w:color w:val="4F2D7F"/>
      <w:sz w:val="52"/>
      <w:szCs w:val="52"/>
      <w:lang w:eastAsia="en-US"/>
    </w:rPr>
  </w:style>
  <w:style w:type="table" w:styleId="LightShading-Accent4">
    <w:name w:val="Light Shading Accent 4"/>
    <w:basedOn w:val="TableNormal"/>
    <w:uiPriority w:val="60"/>
    <w:rsid w:val="00C11594"/>
    <w:rPr>
      <w:rFonts w:ascii="Arial" w:eastAsia="Arial" w:hAnsi="Arial"/>
      <w:color w:val="4DA5D9"/>
      <w:sz w:val="22"/>
      <w:szCs w:val="22"/>
      <w:lang w:eastAsia="en-US"/>
    </w:rPr>
    <w:tblPr>
      <w:tblStyleRowBandSize w:val="1"/>
      <w:tblStyleColBandSize w:val="1"/>
      <w:tblBorders>
        <w:top w:val="single" w:sz="8" w:space="0" w:color="A0CFEB"/>
        <w:bottom w:val="single" w:sz="8" w:space="0" w:color="A0CFEB"/>
      </w:tblBorders>
    </w:tblPr>
    <w:tblStylePr w:type="fir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la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cPr>
    </w:tblStylePr>
    <w:tblStylePr w:type="band1Horz">
      <w:tblPr/>
      <w:tcPr>
        <w:tcBorders>
          <w:left w:val="nil"/>
          <w:right w:val="nil"/>
          <w:insideH w:val="nil"/>
          <w:insideV w:val="nil"/>
        </w:tcBorders>
        <w:shd w:val="clear" w:color="auto" w:fill="E7F3FA"/>
      </w:tcPr>
    </w:tblStylePr>
  </w:style>
  <w:style w:type="table" w:styleId="LightShading-Accent6">
    <w:name w:val="Light Shading Accent 6"/>
    <w:basedOn w:val="TableNormal"/>
    <w:uiPriority w:val="60"/>
    <w:rsid w:val="00C11594"/>
    <w:rPr>
      <w:rFonts w:ascii="Arial" w:eastAsia="Arial" w:hAnsi="Arial"/>
      <w:color w:val="AD351E"/>
      <w:sz w:val="22"/>
      <w:szCs w:val="22"/>
      <w:lang w:eastAsia="en-US"/>
    </w:rPr>
    <w:tblPr>
      <w:tblStyleRowBandSize w:val="1"/>
      <w:tblStyleColBandSize w:val="1"/>
      <w:tblBorders>
        <w:top w:val="single" w:sz="8" w:space="0" w:color="DC5034"/>
        <w:bottom w:val="single" w:sz="8" w:space="0" w:color="DC5034"/>
      </w:tblBorders>
    </w:tblPr>
    <w:tblStylePr w:type="fir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la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cPr>
    </w:tblStylePr>
    <w:tblStylePr w:type="band1Horz">
      <w:tblPr/>
      <w:tcPr>
        <w:tcBorders>
          <w:left w:val="nil"/>
          <w:right w:val="nil"/>
          <w:insideH w:val="nil"/>
          <w:insideV w:val="nil"/>
        </w:tcBorders>
        <w:shd w:val="clear" w:color="auto" w:fill="F6D3CC"/>
      </w:tcPr>
    </w:tblStylePr>
  </w:style>
  <w:style w:type="paragraph" w:styleId="TOC4">
    <w:name w:val="toc 4"/>
    <w:basedOn w:val="Normal"/>
    <w:next w:val="Normal"/>
    <w:uiPriority w:val="39"/>
    <w:rsid w:val="00C11594"/>
    <w:pPr>
      <w:widowControl w:val="0"/>
      <w:tabs>
        <w:tab w:val="right" w:leader="dot" w:pos="9016"/>
      </w:tabs>
      <w:spacing w:after="100" w:line="276" w:lineRule="auto"/>
      <w:ind w:left="1276"/>
    </w:pPr>
    <w:rPr>
      <w:rFonts w:ascii="Arial" w:eastAsia="Arial" w:hAnsi="Arial"/>
      <w:noProof/>
      <w:sz w:val="22"/>
      <w:szCs w:val="22"/>
      <w:lang w:val="en-US"/>
    </w:rPr>
  </w:style>
  <w:style w:type="paragraph" w:styleId="TOC5">
    <w:name w:val="toc 5"/>
    <w:basedOn w:val="Normal"/>
    <w:next w:val="Normal"/>
    <w:uiPriority w:val="39"/>
    <w:rsid w:val="00C11594"/>
    <w:pPr>
      <w:widowControl w:val="0"/>
      <w:tabs>
        <w:tab w:val="right" w:leader="dot" w:pos="9016"/>
      </w:tabs>
      <w:spacing w:after="100" w:line="276" w:lineRule="auto"/>
      <w:ind w:left="1701"/>
    </w:pPr>
    <w:rPr>
      <w:rFonts w:ascii="Arial" w:eastAsia="Arial" w:hAnsi="Arial"/>
      <w:noProof/>
      <w:sz w:val="22"/>
      <w:szCs w:val="22"/>
      <w:lang w:val="en-US"/>
    </w:rPr>
  </w:style>
  <w:style w:type="paragraph" w:styleId="TOC6">
    <w:name w:val="toc 6"/>
    <w:basedOn w:val="Normal"/>
    <w:next w:val="Normal"/>
    <w:uiPriority w:val="39"/>
    <w:rsid w:val="00C11594"/>
    <w:pPr>
      <w:widowControl w:val="0"/>
      <w:tabs>
        <w:tab w:val="right" w:leader="dot" w:pos="9016"/>
      </w:tabs>
      <w:spacing w:after="100" w:line="276" w:lineRule="auto"/>
      <w:ind w:left="2127"/>
    </w:pPr>
    <w:rPr>
      <w:rFonts w:ascii="Arial" w:eastAsia="Arial" w:hAnsi="Arial"/>
      <w:noProof/>
      <w:sz w:val="22"/>
      <w:szCs w:val="22"/>
      <w:lang w:val="en-US"/>
    </w:rPr>
  </w:style>
  <w:style w:type="paragraph" w:styleId="TOC7">
    <w:name w:val="toc 7"/>
    <w:basedOn w:val="Normal"/>
    <w:next w:val="Normal"/>
    <w:uiPriority w:val="39"/>
    <w:rsid w:val="00C11594"/>
    <w:pPr>
      <w:widowControl w:val="0"/>
      <w:tabs>
        <w:tab w:val="right" w:leader="dot" w:pos="9016"/>
      </w:tabs>
      <w:spacing w:after="100" w:line="276" w:lineRule="auto"/>
      <w:ind w:left="2552"/>
    </w:pPr>
    <w:rPr>
      <w:rFonts w:ascii="Arial" w:eastAsia="Arial" w:hAnsi="Arial"/>
      <w:noProof/>
      <w:sz w:val="22"/>
      <w:szCs w:val="22"/>
      <w:lang w:val="en-US"/>
    </w:rPr>
  </w:style>
  <w:style w:type="paragraph" w:styleId="TableofAuthorities">
    <w:name w:val="table of authorities"/>
    <w:basedOn w:val="Normal"/>
    <w:next w:val="Normal"/>
    <w:uiPriority w:val="99"/>
    <w:unhideWhenUsed/>
    <w:rsid w:val="00C11594"/>
    <w:pPr>
      <w:widowControl w:val="0"/>
      <w:spacing w:after="200" w:line="276" w:lineRule="auto"/>
      <w:ind w:left="220" w:hanging="220"/>
    </w:pPr>
    <w:rPr>
      <w:rFonts w:ascii="Arial" w:eastAsia="Arial" w:hAnsi="Arial"/>
      <w:sz w:val="22"/>
      <w:szCs w:val="22"/>
      <w:lang w:val="en-US"/>
    </w:rPr>
  </w:style>
  <w:style w:type="table" w:customStyle="1" w:styleId="LightShading1">
    <w:name w:val="Light Shading1"/>
    <w:basedOn w:val="TableNormal"/>
    <w:next w:val="LightShading"/>
    <w:uiPriority w:val="60"/>
    <w:rsid w:val="00C11594"/>
    <w:pPr>
      <w:spacing w:before="120" w:after="120"/>
    </w:pPr>
    <w:rPr>
      <w:rFonts w:ascii="Arial" w:eastAsia="Arial" w:hAnsi="Arial"/>
      <w:color w:val="000000"/>
      <w:szCs w:val="22"/>
      <w:lang w:eastAsia="en-US"/>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C11594"/>
    <w:rPr>
      <w:rFonts w:ascii="Arial" w:eastAsia="Arial" w:hAnsi="Arial"/>
      <w:sz w:val="22"/>
      <w:szCs w:val="22"/>
      <w:lang w:eastAsia="en-US"/>
    </w:rPr>
    <w:tblPr>
      <w:tblStyleRowBandSize w:val="1"/>
      <w:tblStyleColBandSize w:val="1"/>
      <w:tblBorders>
        <w:top w:val="single" w:sz="8" w:space="0" w:color="4F2D7D"/>
        <w:left w:val="single" w:sz="8" w:space="0" w:color="4F2D7D"/>
        <w:bottom w:val="single" w:sz="8" w:space="0" w:color="4F2D7D"/>
        <w:right w:val="single" w:sz="8" w:space="0" w:color="4F2D7D"/>
      </w:tblBorders>
    </w:tblPr>
    <w:tblStylePr w:type="firstRow">
      <w:pPr>
        <w:spacing w:before="0" w:after="0" w:line="240" w:lineRule="auto"/>
      </w:pPr>
      <w:rPr>
        <w:b/>
        <w:bCs/>
        <w:color w:val="FFFFFF"/>
      </w:rPr>
      <w:tblPr/>
      <w:tcPr>
        <w:shd w:val="clear" w:color="auto" w:fill="4F2D7D"/>
      </w:tcPr>
    </w:tblStylePr>
    <w:tblStylePr w:type="lastRow">
      <w:pPr>
        <w:spacing w:before="0" w:after="0" w:line="240" w:lineRule="auto"/>
      </w:pPr>
      <w:rPr>
        <w:b/>
        <w:bCs/>
      </w:rPr>
      <w:tblPr/>
      <w:tcPr>
        <w:tcBorders>
          <w:top w:val="double" w:sz="6" w:space="0" w:color="4F2D7D"/>
          <w:left w:val="single" w:sz="8" w:space="0" w:color="4F2D7D"/>
          <w:bottom w:val="single" w:sz="8" w:space="0" w:color="4F2D7D"/>
          <w:right w:val="single" w:sz="8" w:space="0" w:color="4F2D7D"/>
        </w:tcBorders>
      </w:tcPr>
    </w:tblStylePr>
    <w:tblStylePr w:type="firstCol">
      <w:rPr>
        <w:b/>
        <w:bCs/>
      </w:rPr>
    </w:tblStylePr>
    <w:tblStylePr w:type="lastCol">
      <w:rPr>
        <w:b/>
        <w:bCs/>
      </w:rPr>
    </w:tblStylePr>
    <w:tblStylePr w:type="band1Vert">
      <w:tblPr/>
      <w:tcPr>
        <w:tcBorders>
          <w:top w:val="single" w:sz="8" w:space="0" w:color="4F2D7D"/>
          <w:left w:val="single" w:sz="8" w:space="0" w:color="4F2D7D"/>
          <w:bottom w:val="single" w:sz="8" w:space="0" w:color="4F2D7D"/>
          <w:right w:val="single" w:sz="8" w:space="0" w:color="4F2D7D"/>
        </w:tcBorders>
      </w:tcPr>
    </w:tblStylePr>
    <w:tblStylePr w:type="band1Horz">
      <w:tblPr/>
      <w:tcPr>
        <w:tcBorders>
          <w:top w:val="single" w:sz="8" w:space="0" w:color="4F2D7D"/>
          <w:left w:val="single" w:sz="8" w:space="0" w:color="4F2D7D"/>
          <w:bottom w:val="single" w:sz="8" w:space="0" w:color="4F2D7D"/>
          <w:right w:val="single" w:sz="8" w:space="0" w:color="4F2D7D"/>
        </w:tcBorders>
      </w:tcPr>
    </w:tblStylePr>
  </w:style>
  <w:style w:type="table" w:styleId="LightList-Accent4">
    <w:name w:val="Light List Accent 4"/>
    <w:basedOn w:val="TableNormal"/>
    <w:uiPriority w:val="61"/>
    <w:rsid w:val="00C11594"/>
    <w:rPr>
      <w:rFonts w:ascii="Arial" w:eastAsia="Arial" w:hAnsi="Arial"/>
      <w:sz w:val="22"/>
      <w:szCs w:val="22"/>
      <w:lang w:eastAsia="en-US"/>
    </w:rPr>
    <w:tblPr>
      <w:tblStyleRowBandSize w:val="1"/>
      <w:tblStyleColBandSize w:val="1"/>
      <w:tblBorders>
        <w:top w:val="single" w:sz="8" w:space="0" w:color="A0CFEB"/>
        <w:left w:val="single" w:sz="8" w:space="0" w:color="A0CFEB"/>
        <w:bottom w:val="single" w:sz="8" w:space="0" w:color="A0CFEB"/>
        <w:right w:val="single" w:sz="8" w:space="0" w:color="A0CFEB"/>
      </w:tblBorders>
    </w:tblPr>
    <w:tblStylePr w:type="firstRow">
      <w:pPr>
        <w:spacing w:before="0" w:after="0" w:line="240" w:lineRule="auto"/>
      </w:pPr>
      <w:rPr>
        <w:b/>
        <w:bCs/>
        <w:color w:val="FFFFFF"/>
      </w:rPr>
      <w:tblPr/>
      <w:tcPr>
        <w:shd w:val="clear" w:color="auto" w:fill="A0CFEB"/>
      </w:tcPr>
    </w:tblStylePr>
    <w:tblStylePr w:type="lastRow">
      <w:pPr>
        <w:spacing w:before="0" w:after="0" w:line="240" w:lineRule="auto"/>
      </w:pPr>
      <w:rPr>
        <w:b/>
        <w:bCs/>
      </w:rPr>
      <w:tblPr/>
      <w:tcPr>
        <w:tcBorders>
          <w:top w:val="double" w:sz="6" w:space="0" w:color="A0CFEB"/>
          <w:left w:val="single" w:sz="8" w:space="0" w:color="A0CFEB"/>
          <w:bottom w:val="single" w:sz="8" w:space="0" w:color="A0CFEB"/>
          <w:right w:val="single" w:sz="8" w:space="0" w:color="A0CFEB"/>
        </w:tcBorders>
      </w:tcPr>
    </w:tblStylePr>
    <w:tblStylePr w:type="firstCol">
      <w:rPr>
        <w:b/>
        <w:bCs/>
      </w:rPr>
    </w:tblStylePr>
    <w:tblStylePr w:type="lastCol">
      <w:rPr>
        <w:b/>
        <w:bCs/>
      </w:rPr>
    </w:tblStylePr>
    <w:tblStylePr w:type="band1Vert">
      <w:tblPr/>
      <w:tcPr>
        <w:tcBorders>
          <w:top w:val="single" w:sz="8" w:space="0" w:color="A0CFEB"/>
          <w:left w:val="single" w:sz="8" w:space="0" w:color="A0CFEB"/>
          <w:bottom w:val="single" w:sz="8" w:space="0" w:color="A0CFEB"/>
          <w:right w:val="single" w:sz="8" w:space="0" w:color="A0CFEB"/>
        </w:tcBorders>
      </w:tcPr>
    </w:tblStylePr>
    <w:tblStylePr w:type="band1Horz">
      <w:tblPr/>
      <w:tcPr>
        <w:tcBorders>
          <w:top w:val="single" w:sz="8" w:space="0" w:color="A0CFEB"/>
          <w:left w:val="single" w:sz="8" w:space="0" w:color="A0CFEB"/>
          <w:bottom w:val="single" w:sz="8" w:space="0" w:color="A0CFEB"/>
          <w:right w:val="single" w:sz="8" w:space="0" w:color="A0CFEB"/>
        </w:tcBorders>
      </w:tcPr>
    </w:tblStylePr>
  </w:style>
  <w:style w:type="table" w:styleId="LightList-Accent6">
    <w:name w:val="Light List Accent 6"/>
    <w:basedOn w:val="TableNormal"/>
    <w:uiPriority w:val="61"/>
    <w:rsid w:val="00C11594"/>
    <w:rPr>
      <w:rFonts w:ascii="Arial" w:eastAsia="Arial" w:hAnsi="Arial"/>
      <w:sz w:val="22"/>
      <w:szCs w:val="22"/>
      <w:lang w:eastAsia="en-US"/>
    </w:rPr>
    <w:tblPr>
      <w:tblStyleRowBandSize w:val="1"/>
      <w:tblStyleColBandSize w:val="1"/>
      <w:tblBorders>
        <w:top w:val="single" w:sz="8" w:space="0" w:color="DC5034"/>
        <w:left w:val="single" w:sz="8" w:space="0" w:color="DC5034"/>
        <w:bottom w:val="single" w:sz="8" w:space="0" w:color="DC5034"/>
        <w:right w:val="single" w:sz="8" w:space="0" w:color="DC5034"/>
      </w:tblBorders>
    </w:tblPr>
    <w:tblStylePr w:type="firstRow">
      <w:pPr>
        <w:spacing w:before="0" w:after="0" w:line="240" w:lineRule="auto"/>
      </w:pPr>
      <w:rPr>
        <w:b/>
        <w:bCs/>
        <w:color w:val="FFFFFF"/>
      </w:rPr>
      <w:tblPr/>
      <w:tcPr>
        <w:shd w:val="clear" w:color="auto" w:fill="DC5034"/>
      </w:tcPr>
    </w:tblStylePr>
    <w:tblStylePr w:type="lastRow">
      <w:pPr>
        <w:spacing w:before="0" w:after="0" w:line="240" w:lineRule="auto"/>
      </w:pPr>
      <w:rPr>
        <w:b/>
        <w:bCs/>
      </w:rPr>
      <w:tblPr/>
      <w:tcPr>
        <w:tcBorders>
          <w:top w:val="double" w:sz="6" w:space="0" w:color="DC5034"/>
          <w:left w:val="single" w:sz="8" w:space="0" w:color="DC5034"/>
          <w:bottom w:val="single" w:sz="8" w:space="0" w:color="DC5034"/>
          <w:right w:val="single" w:sz="8" w:space="0" w:color="DC5034"/>
        </w:tcBorders>
      </w:tcPr>
    </w:tblStylePr>
    <w:tblStylePr w:type="firstCol">
      <w:rPr>
        <w:b/>
        <w:bCs/>
      </w:rPr>
    </w:tblStylePr>
    <w:tblStylePr w:type="lastCol">
      <w:rPr>
        <w:b/>
        <w:bCs/>
      </w:rPr>
    </w:tblStylePr>
    <w:tblStylePr w:type="band1Vert">
      <w:tblPr/>
      <w:tcPr>
        <w:tcBorders>
          <w:top w:val="single" w:sz="8" w:space="0" w:color="DC5034"/>
          <w:left w:val="single" w:sz="8" w:space="0" w:color="DC5034"/>
          <w:bottom w:val="single" w:sz="8" w:space="0" w:color="DC5034"/>
          <w:right w:val="single" w:sz="8" w:space="0" w:color="DC5034"/>
        </w:tcBorders>
      </w:tcPr>
    </w:tblStylePr>
    <w:tblStylePr w:type="band1Horz">
      <w:tblPr/>
      <w:tcPr>
        <w:tcBorders>
          <w:top w:val="single" w:sz="8" w:space="0" w:color="DC5034"/>
          <w:left w:val="single" w:sz="8" w:space="0" w:color="DC5034"/>
          <w:bottom w:val="single" w:sz="8" w:space="0" w:color="DC5034"/>
          <w:right w:val="single" w:sz="8" w:space="0" w:color="DC5034"/>
        </w:tcBorders>
      </w:tcPr>
    </w:tblStylePr>
  </w:style>
  <w:style w:type="table" w:styleId="LightGrid">
    <w:name w:val="Light Grid"/>
    <w:basedOn w:val="TableNormal"/>
    <w:uiPriority w:val="62"/>
    <w:rsid w:val="00C11594"/>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Fax" w:eastAsia="Times New Roman" w:hAnsi="Lucida Fax"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Fax" w:eastAsia="Times New Roman" w:hAnsi="Lucida Fax"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11594"/>
    <w:rPr>
      <w:rFonts w:ascii="Arial" w:eastAsia="Arial" w:hAnsi="Arial"/>
      <w:sz w:val="22"/>
      <w:szCs w:val="22"/>
      <w:lang w:eastAsia="en-US"/>
    </w:rPr>
    <w:tblPr>
      <w:tblStyleRowBandSize w:val="1"/>
      <w:tblStyleColBandSize w:val="1"/>
      <w:tblBorders>
        <w:top w:val="single" w:sz="8" w:space="0" w:color="51626F"/>
        <w:left w:val="single" w:sz="8" w:space="0" w:color="51626F"/>
        <w:bottom w:val="single" w:sz="8" w:space="0" w:color="51626F"/>
        <w:right w:val="single" w:sz="8" w:space="0" w:color="51626F"/>
        <w:insideH w:val="single" w:sz="8" w:space="0" w:color="51626F"/>
        <w:insideV w:val="single" w:sz="8" w:space="0" w:color="51626F"/>
      </w:tblBorders>
    </w:tblPr>
    <w:tblStylePr w:type="firstRow">
      <w:pPr>
        <w:spacing w:before="0" w:after="0" w:line="240" w:lineRule="auto"/>
      </w:pPr>
      <w:rPr>
        <w:rFonts w:ascii="Lucida Fax" w:eastAsia="Times New Roman" w:hAnsi="Lucida Fax" w:cs="Times New Roman"/>
        <w:b/>
        <w:bCs/>
      </w:rPr>
      <w:tblPr/>
      <w:tcPr>
        <w:tcBorders>
          <w:top w:val="single" w:sz="8" w:space="0" w:color="51626F"/>
          <w:left w:val="single" w:sz="8" w:space="0" w:color="51626F"/>
          <w:bottom w:val="single" w:sz="18" w:space="0" w:color="51626F"/>
          <w:right w:val="single" w:sz="8" w:space="0" w:color="51626F"/>
          <w:insideH w:val="nil"/>
          <w:insideV w:val="single" w:sz="8" w:space="0" w:color="51626F"/>
        </w:tcBorders>
      </w:tcPr>
    </w:tblStylePr>
    <w:tblStylePr w:type="lastRow">
      <w:pPr>
        <w:spacing w:before="0" w:after="0" w:line="240" w:lineRule="auto"/>
      </w:pPr>
      <w:rPr>
        <w:rFonts w:ascii="Lucida Fax" w:eastAsia="Times New Roman" w:hAnsi="Lucida Fax" w:cs="Times New Roman"/>
        <w:b/>
        <w:bCs/>
      </w:rPr>
      <w:tblPr/>
      <w:tcPr>
        <w:tcBorders>
          <w:top w:val="double" w:sz="6" w:space="0" w:color="51626F"/>
          <w:left w:val="single" w:sz="8" w:space="0" w:color="51626F"/>
          <w:bottom w:val="single" w:sz="8" w:space="0" w:color="51626F"/>
          <w:right w:val="single" w:sz="8" w:space="0" w:color="51626F"/>
          <w:insideH w:val="nil"/>
          <w:insideV w:val="single" w:sz="8" w:space="0" w:color="51626F"/>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51626F"/>
          <w:left w:val="single" w:sz="8" w:space="0" w:color="51626F"/>
          <w:bottom w:val="single" w:sz="8" w:space="0" w:color="51626F"/>
          <w:right w:val="single" w:sz="8" w:space="0" w:color="51626F"/>
        </w:tcBorders>
      </w:tcPr>
    </w:tblStylePr>
    <w:tblStylePr w:type="band1Vert">
      <w:tblPr/>
      <w:tcPr>
        <w:tcBorders>
          <w:top w:val="single" w:sz="8" w:space="0" w:color="51626F"/>
          <w:left w:val="single" w:sz="8" w:space="0" w:color="51626F"/>
          <w:bottom w:val="single" w:sz="8" w:space="0" w:color="51626F"/>
          <w:right w:val="single" w:sz="8" w:space="0" w:color="51626F"/>
        </w:tcBorders>
        <w:shd w:val="clear" w:color="auto" w:fill="D1D8DD"/>
      </w:tcPr>
    </w:tblStylePr>
    <w:tblStylePr w:type="band1Horz">
      <w:tblPr/>
      <w:tcPr>
        <w:tcBorders>
          <w:top w:val="single" w:sz="8" w:space="0" w:color="51626F"/>
          <w:left w:val="single" w:sz="8" w:space="0" w:color="51626F"/>
          <w:bottom w:val="single" w:sz="8" w:space="0" w:color="51626F"/>
          <w:right w:val="single" w:sz="8" w:space="0" w:color="51626F"/>
          <w:insideV w:val="single" w:sz="8" w:space="0" w:color="51626F"/>
        </w:tcBorders>
        <w:shd w:val="clear" w:color="auto" w:fill="D1D8DD"/>
      </w:tcPr>
    </w:tblStylePr>
    <w:tblStylePr w:type="band2Horz">
      <w:tblPr/>
      <w:tcPr>
        <w:tcBorders>
          <w:top w:val="single" w:sz="8" w:space="0" w:color="51626F"/>
          <w:left w:val="single" w:sz="8" w:space="0" w:color="51626F"/>
          <w:bottom w:val="single" w:sz="8" w:space="0" w:color="51626F"/>
          <w:right w:val="single" w:sz="8" w:space="0" w:color="51626F"/>
          <w:insideV w:val="single" w:sz="8" w:space="0" w:color="51626F"/>
        </w:tcBorders>
      </w:tcPr>
    </w:tblStylePr>
  </w:style>
  <w:style w:type="table" w:styleId="LightGrid-Accent2">
    <w:name w:val="Light Grid Accent 2"/>
    <w:basedOn w:val="TableNormal"/>
    <w:uiPriority w:val="62"/>
    <w:rsid w:val="00C11594"/>
    <w:rPr>
      <w:rFonts w:ascii="Arial" w:eastAsia="Arial" w:hAnsi="Arial"/>
      <w:sz w:val="22"/>
      <w:szCs w:val="22"/>
      <w:lang w:eastAsia="en-US"/>
    </w:rPr>
    <w:tblPr>
      <w:tblStyleRowBandSize w:val="1"/>
      <w:tblStyleColBandSize w:val="1"/>
      <w:tblBorders>
        <w:top w:val="single" w:sz="8" w:space="0" w:color="4F2D7D"/>
        <w:left w:val="single" w:sz="8" w:space="0" w:color="4F2D7D"/>
        <w:bottom w:val="single" w:sz="8" w:space="0" w:color="4F2D7D"/>
        <w:right w:val="single" w:sz="8" w:space="0" w:color="4F2D7D"/>
        <w:insideH w:val="single" w:sz="8" w:space="0" w:color="4F2D7D"/>
        <w:insideV w:val="single" w:sz="8" w:space="0" w:color="4F2D7D"/>
      </w:tblBorders>
    </w:tblPr>
    <w:tblStylePr w:type="firstRow">
      <w:pPr>
        <w:spacing w:before="0" w:after="0" w:line="240" w:lineRule="auto"/>
      </w:pPr>
      <w:rPr>
        <w:rFonts w:ascii="Lucida Fax" w:eastAsia="Times New Roman" w:hAnsi="Lucida Fax" w:cs="Times New Roman"/>
        <w:b/>
        <w:bCs/>
      </w:rPr>
      <w:tblPr/>
      <w:tcPr>
        <w:tcBorders>
          <w:top w:val="single" w:sz="8" w:space="0" w:color="4F2D7D"/>
          <w:left w:val="single" w:sz="8" w:space="0" w:color="4F2D7D"/>
          <w:bottom w:val="single" w:sz="18" w:space="0" w:color="4F2D7D"/>
          <w:right w:val="single" w:sz="8" w:space="0" w:color="4F2D7D"/>
          <w:insideH w:val="nil"/>
          <w:insideV w:val="single" w:sz="8" w:space="0" w:color="4F2D7D"/>
        </w:tcBorders>
      </w:tcPr>
    </w:tblStylePr>
    <w:tblStylePr w:type="lastRow">
      <w:pPr>
        <w:spacing w:before="0" w:after="0" w:line="240" w:lineRule="auto"/>
      </w:pPr>
      <w:rPr>
        <w:rFonts w:ascii="Lucida Fax" w:eastAsia="Times New Roman" w:hAnsi="Lucida Fax" w:cs="Times New Roman"/>
        <w:b/>
        <w:bCs/>
      </w:rPr>
      <w:tblPr/>
      <w:tcPr>
        <w:tcBorders>
          <w:top w:val="double" w:sz="6" w:space="0" w:color="4F2D7D"/>
          <w:left w:val="single" w:sz="8" w:space="0" w:color="4F2D7D"/>
          <w:bottom w:val="single" w:sz="8" w:space="0" w:color="4F2D7D"/>
          <w:right w:val="single" w:sz="8" w:space="0" w:color="4F2D7D"/>
          <w:insideH w:val="nil"/>
          <w:insideV w:val="single" w:sz="8" w:space="0" w:color="4F2D7D"/>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4F2D7D"/>
          <w:left w:val="single" w:sz="8" w:space="0" w:color="4F2D7D"/>
          <w:bottom w:val="single" w:sz="8" w:space="0" w:color="4F2D7D"/>
          <w:right w:val="single" w:sz="8" w:space="0" w:color="4F2D7D"/>
        </w:tcBorders>
      </w:tcPr>
    </w:tblStylePr>
    <w:tblStylePr w:type="band1Vert">
      <w:tblPr/>
      <w:tcPr>
        <w:tcBorders>
          <w:top w:val="single" w:sz="8" w:space="0" w:color="4F2D7D"/>
          <w:left w:val="single" w:sz="8" w:space="0" w:color="4F2D7D"/>
          <w:bottom w:val="single" w:sz="8" w:space="0" w:color="4F2D7D"/>
          <w:right w:val="single" w:sz="8" w:space="0" w:color="4F2D7D"/>
        </w:tcBorders>
        <w:shd w:val="clear" w:color="auto" w:fill="D1C1E8"/>
      </w:tcPr>
    </w:tblStylePr>
    <w:tblStylePr w:type="band1Horz">
      <w:tblPr/>
      <w:tcPr>
        <w:tcBorders>
          <w:top w:val="single" w:sz="8" w:space="0" w:color="4F2D7D"/>
          <w:left w:val="single" w:sz="8" w:space="0" w:color="4F2D7D"/>
          <w:bottom w:val="single" w:sz="8" w:space="0" w:color="4F2D7D"/>
          <w:right w:val="single" w:sz="8" w:space="0" w:color="4F2D7D"/>
          <w:insideV w:val="single" w:sz="8" w:space="0" w:color="4F2D7D"/>
        </w:tcBorders>
        <w:shd w:val="clear" w:color="auto" w:fill="D1C1E8"/>
      </w:tcPr>
    </w:tblStylePr>
    <w:tblStylePr w:type="band2Horz">
      <w:tblPr/>
      <w:tcPr>
        <w:tcBorders>
          <w:top w:val="single" w:sz="8" w:space="0" w:color="4F2D7D"/>
          <w:left w:val="single" w:sz="8" w:space="0" w:color="4F2D7D"/>
          <w:bottom w:val="single" w:sz="8" w:space="0" w:color="4F2D7D"/>
          <w:right w:val="single" w:sz="8" w:space="0" w:color="4F2D7D"/>
          <w:insideV w:val="single" w:sz="8" w:space="0" w:color="4F2D7D"/>
        </w:tcBorders>
      </w:tcPr>
    </w:tblStylePr>
  </w:style>
  <w:style w:type="table" w:styleId="LightGrid-Accent4">
    <w:name w:val="Light Grid Accent 4"/>
    <w:basedOn w:val="TableNormal"/>
    <w:uiPriority w:val="62"/>
    <w:rsid w:val="00C11594"/>
    <w:rPr>
      <w:rFonts w:ascii="Arial" w:eastAsia="Arial" w:hAnsi="Arial"/>
      <w:sz w:val="22"/>
      <w:szCs w:val="22"/>
      <w:lang w:eastAsia="en-US"/>
    </w:rPr>
    <w:tblPr>
      <w:tblStyleRowBandSize w:val="1"/>
      <w:tblStyleColBandSize w:val="1"/>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Pr>
    <w:tblStylePr w:type="firstRow">
      <w:pPr>
        <w:spacing w:before="0" w:after="0" w:line="240" w:lineRule="auto"/>
      </w:pPr>
      <w:rPr>
        <w:rFonts w:ascii="Lucida Fax" w:eastAsia="Times New Roman" w:hAnsi="Lucida Fax"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line="240" w:lineRule="auto"/>
      </w:pPr>
      <w:rPr>
        <w:rFonts w:ascii="Lucida Fax" w:eastAsia="Times New Roman" w:hAnsi="Lucida Fax"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5">
    <w:name w:val="Light Grid Accent 5"/>
    <w:basedOn w:val="TableNormal"/>
    <w:uiPriority w:val="62"/>
    <w:rsid w:val="00C11594"/>
    <w:rPr>
      <w:rFonts w:ascii="Arial" w:eastAsia="Arial" w:hAnsi="Arial"/>
      <w:sz w:val="22"/>
      <w:szCs w:val="22"/>
      <w:lang w:eastAsia="en-US"/>
    </w:rPr>
    <w:tblPr>
      <w:tblStyleRowBandSize w:val="1"/>
      <w:tblStyleColBandSize w:val="1"/>
      <w:tblBorders>
        <w:top w:val="single" w:sz="8" w:space="0" w:color="B71202"/>
        <w:left w:val="single" w:sz="8" w:space="0" w:color="B71202"/>
        <w:bottom w:val="single" w:sz="8" w:space="0" w:color="B71202"/>
        <w:right w:val="single" w:sz="8" w:space="0" w:color="B71202"/>
        <w:insideH w:val="single" w:sz="8" w:space="0" w:color="B71202"/>
        <w:insideV w:val="single" w:sz="8" w:space="0" w:color="B71202"/>
      </w:tblBorders>
    </w:tblPr>
    <w:tblStylePr w:type="firstRow">
      <w:pPr>
        <w:spacing w:before="0" w:after="0" w:line="240" w:lineRule="auto"/>
      </w:pPr>
      <w:rPr>
        <w:rFonts w:ascii="Lucida Fax" w:eastAsia="Times New Roman" w:hAnsi="Lucida Fax" w:cs="Times New Roman"/>
        <w:b/>
        <w:bCs/>
      </w:rPr>
      <w:tblPr/>
      <w:tcPr>
        <w:tcBorders>
          <w:top w:val="single" w:sz="8" w:space="0" w:color="B71202"/>
          <w:left w:val="single" w:sz="8" w:space="0" w:color="B71202"/>
          <w:bottom w:val="single" w:sz="18" w:space="0" w:color="B71202"/>
          <w:right w:val="single" w:sz="8" w:space="0" w:color="B71202"/>
          <w:insideH w:val="nil"/>
          <w:insideV w:val="single" w:sz="8" w:space="0" w:color="B71202"/>
        </w:tcBorders>
      </w:tcPr>
    </w:tblStylePr>
    <w:tblStylePr w:type="lastRow">
      <w:pPr>
        <w:spacing w:before="0" w:after="0" w:line="240" w:lineRule="auto"/>
      </w:pPr>
      <w:rPr>
        <w:rFonts w:ascii="Lucida Fax" w:eastAsia="Times New Roman" w:hAnsi="Lucida Fax" w:cs="Times New Roman"/>
        <w:b/>
        <w:bCs/>
      </w:rPr>
      <w:tblPr/>
      <w:tcPr>
        <w:tcBorders>
          <w:top w:val="double" w:sz="6" w:space="0" w:color="B71202"/>
          <w:left w:val="single" w:sz="8" w:space="0" w:color="B71202"/>
          <w:bottom w:val="single" w:sz="8" w:space="0" w:color="B71202"/>
          <w:right w:val="single" w:sz="8" w:space="0" w:color="B71202"/>
          <w:insideH w:val="nil"/>
          <w:insideV w:val="single" w:sz="8" w:space="0" w:color="B71202"/>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B71202"/>
          <w:left w:val="single" w:sz="8" w:space="0" w:color="B71202"/>
          <w:bottom w:val="single" w:sz="8" w:space="0" w:color="B71202"/>
          <w:right w:val="single" w:sz="8" w:space="0" w:color="B71202"/>
        </w:tcBorders>
      </w:tcPr>
    </w:tblStylePr>
    <w:tblStylePr w:type="band1Vert">
      <w:tblPr/>
      <w:tcPr>
        <w:tcBorders>
          <w:top w:val="single" w:sz="8" w:space="0" w:color="B71202"/>
          <w:left w:val="single" w:sz="8" w:space="0" w:color="B71202"/>
          <w:bottom w:val="single" w:sz="8" w:space="0" w:color="B71202"/>
          <w:right w:val="single" w:sz="8" w:space="0" w:color="B71202"/>
        </w:tcBorders>
        <w:shd w:val="clear" w:color="auto" w:fill="FEB6AF"/>
      </w:tcPr>
    </w:tblStylePr>
    <w:tblStylePr w:type="band1Horz">
      <w:tblPr/>
      <w:tcPr>
        <w:tcBorders>
          <w:top w:val="single" w:sz="8" w:space="0" w:color="B71202"/>
          <w:left w:val="single" w:sz="8" w:space="0" w:color="B71202"/>
          <w:bottom w:val="single" w:sz="8" w:space="0" w:color="B71202"/>
          <w:right w:val="single" w:sz="8" w:space="0" w:color="B71202"/>
          <w:insideV w:val="single" w:sz="8" w:space="0" w:color="B71202"/>
        </w:tcBorders>
        <w:shd w:val="clear" w:color="auto" w:fill="FEB6AF"/>
      </w:tcPr>
    </w:tblStylePr>
    <w:tblStylePr w:type="band2Horz">
      <w:tblPr/>
      <w:tcPr>
        <w:tcBorders>
          <w:top w:val="single" w:sz="8" w:space="0" w:color="B71202"/>
          <w:left w:val="single" w:sz="8" w:space="0" w:color="B71202"/>
          <w:bottom w:val="single" w:sz="8" w:space="0" w:color="B71202"/>
          <w:right w:val="single" w:sz="8" w:space="0" w:color="B71202"/>
          <w:insideV w:val="single" w:sz="8" w:space="0" w:color="B71202"/>
        </w:tcBorders>
      </w:tcPr>
    </w:tblStylePr>
  </w:style>
  <w:style w:type="paragraph" w:customStyle="1" w:styleId="HeaderRight">
    <w:name w:val="Header Right"/>
    <w:basedOn w:val="Header"/>
    <w:uiPriority w:val="35"/>
    <w:qFormat/>
    <w:rsid w:val="00C11594"/>
    <w:pPr>
      <w:widowControl w:val="0"/>
      <w:tabs>
        <w:tab w:val="clear" w:pos="4153"/>
        <w:tab w:val="clear" w:pos="8306"/>
        <w:tab w:val="center" w:pos="4320"/>
        <w:tab w:val="right" w:pos="8640"/>
      </w:tabs>
      <w:spacing w:after="200" w:line="276" w:lineRule="auto"/>
      <w:jc w:val="right"/>
    </w:pPr>
    <w:rPr>
      <w:rFonts w:ascii="Arial" w:eastAsia="Arial" w:hAnsi="Arial"/>
      <w:color w:val="51626F"/>
      <w:sz w:val="18"/>
      <w:szCs w:val="20"/>
      <w:lang w:val="en-US" w:eastAsia="ja-JP"/>
    </w:rPr>
  </w:style>
  <w:style w:type="paragraph" w:styleId="Caption">
    <w:name w:val="caption"/>
    <w:basedOn w:val="Normal"/>
    <w:next w:val="Normal"/>
    <w:uiPriority w:val="35"/>
    <w:unhideWhenUsed/>
    <w:qFormat/>
    <w:rsid w:val="00C11594"/>
    <w:pPr>
      <w:widowControl w:val="0"/>
      <w:spacing w:before="240" w:after="120" w:line="276" w:lineRule="auto"/>
    </w:pPr>
    <w:rPr>
      <w:rFonts w:ascii="Arial" w:eastAsia="Arial" w:hAnsi="Arial"/>
      <w:b/>
      <w:bCs/>
      <w:szCs w:val="18"/>
      <w:lang w:val="en-US"/>
    </w:rPr>
  </w:style>
  <w:style w:type="paragraph" w:styleId="List">
    <w:name w:val="List"/>
    <w:basedOn w:val="Normal"/>
    <w:uiPriority w:val="99"/>
    <w:rsid w:val="00C11594"/>
    <w:pPr>
      <w:widowControl w:val="0"/>
      <w:tabs>
        <w:tab w:val="left" w:pos="340"/>
      </w:tabs>
      <w:spacing w:before="120" w:after="200" w:line="276" w:lineRule="auto"/>
      <w:ind w:left="340" w:hanging="340"/>
    </w:pPr>
    <w:rPr>
      <w:rFonts w:ascii="Arial" w:eastAsia="Arial" w:hAnsi="Arial"/>
      <w:sz w:val="22"/>
      <w:szCs w:val="22"/>
      <w:lang w:val="en-US"/>
    </w:rPr>
  </w:style>
  <w:style w:type="paragraph" w:styleId="List2">
    <w:name w:val="List 2"/>
    <w:basedOn w:val="Normal"/>
    <w:uiPriority w:val="99"/>
    <w:rsid w:val="00C11594"/>
    <w:pPr>
      <w:widowControl w:val="0"/>
      <w:tabs>
        <w:tab w:val="left" w:pos="680"/>
      </w:tabs>
      <w:spacing w:before="120" w:after="200" w:line="276" w:lineRule="auto"/>
      <w:ind w:left="680" w:hanging="340"/>
    </w:pPr>
    <w:rPr>
      <w:rFonts w:ascii="Arial" w:eastAsia="Arial" w:hAnsi="Arial"/>
      <w:sz w:val="22"/>
      <w:szCs w:val="22"/>
      <w:lang w:val="en-US"/>
    </w:rPr>
  </w:style>
  <w:style w:type="paragraph" w:styleId="List3">
    <w:name w:val="List 3"/>
    <w:basedOn w:val="Normal"/>
    <w:uiPriority w:val="99"/>
    <w:rsid w:val="00C11594"/>
    <w:pPr>
      <w:widowControl w:val="0"/>
      <w:tabs>
        <w:tab w:val="left" w:pos="1021"/>
      </w:tabs>
      <w:spacing w:before="120" w:after="200" w:line="276" w:lineRule="auto"/>
      <w:ind w:left="1020" w:hanging="340"/>
    </w:pPr>
    <w:rPr>
      <w:rFonts w:ascii="Arial" w:eastAsia="Arial" w:hAnsi="Arial"/>
      <w:sz w:val="22"/>
      <w:szCs w:val="22"/>
      <w:lang w:val="en-US"/>
    </w:rPr>
  </w:style>
  <w:style w:type="paragraph" w:styleId="List4">
    <w:name w:val="List 4"/>
    <w:basedOn w:val="Normal"/>
    <w:uiPriority w:val="99"/>
    <w:rsid w:val="00C11594"/>
    <w:pPr>
      <w:widowControl w:val="0"/>
      <w:tabs>
        <w:tab w:val="left" w:pos="1361"/>
      </w:tabs>
      <w:spacing w:before="120" w:after="200" w:line="276" w:lineRule="auto"/>
      <w:ind w:left="1361" w:hanging="340"/>
    </w:pPr>
    <w:rPr>
      <w:rFonts w:ascii="Arial" w:eastAsia="Arial" w:hAnsi="Arial"/>
      <w:sz w:val="22"/>
      <w:szCs w:val="22"/>
      <w:lang w:val="en-US"/>
    </w:rPr>
  </w:style>
  <w:style w:type="paragraph" w:styleId="List5">
    <w:name w:val="List 5"/>
    <w:basedOn w:val="Normal"/>
    <w:uiPriority w:val="99"/>
    <w:rsid w:val="00C11594"/>
    <w:pPr>
      <w:widowControl w:val="0"/>
      <w:tabs>
        <w:tab w:val="left" w:pos="1701"/>
      </w:tabs>
      <w:spacing w:before="120" w:after="200" w:line="276" w:lineRule="auto"/>
      <w:ind w:left="1701" w:hanging="340"/>
    </w:pPr>
    <w:rPr>
      <w:rFonts w:ascii="Arial" w:eastAsia="Arial" w:hAnsi="Arial"/>
      <w:sz w:val="22"/>
      <w:szCs w:val="22"/>
      <w:lang w:val="en-US"/>
    </w:rPr>
  </w:style>
  <w:style w:type="paragraph" w:styleId="ListBullet4">
    <w:name w:val="List Bullet 4"/>
    <w:basedOn w:val="Normal"/>
    <w:uiPriority w:val="99"/>
    <w:rsid w:val="00C11594"/>
    <w:pPr>
      <w:widowControl w:val="0"/>
      <w:numPr>
        <w:numId w:val="11"/>
      </w:numPr>
      <w:tabs>
        <w:tab w:val="clear" w:pos="1209"/>
        <w:tab w:val="num" w:pos="1134"/>
        <w:tab w:val="num" w:pos="1361"/>
      </w:tabs>
      <w:spacing w:before="120" w:after="200" w:line="276" w:lineRule="auto"/>
      <w:ind w:left="1361" w:hanging="340"/>
    </w:pPr>
    <w:rPr>
      <w:rFonts w:ascii="Arial" w:eastAsia="Arial" w:hAnsi="Arial"/>
      <w:sz w:val="22"/>
      <w:szCs w:val="22"/>
      <w:lang w:val="en-US"/>
    </w:rPr>
  </w:style>
  <w:style w:type="paragraph" w:styleId="ListBullet5">
    <w:name w:val="List Bullet 5"/>
    <w:basedOn w:val="Normal"/>
    <w:uiPriority w:val="99"/>
    <w:rsid w:val="00C11594"/>
    <w:pPr>
      <w:widowControl w:val="0"/>
      <w:numPr>
        <w:numId w:val="12"/>
      </w:numPr>
      <w:tabs>
        <w:tab w:val="clear" w:pos="1492"/>
        <w:tab w:val="num" w:pos="1701"/>
      </w:tabs>
      <w:spacing w:before="120" w:after="200" w:line="276" w:lineRule="auto"/>
      <w:ind w:left="1701" w:hanging="340"/>
    </w:pPr>
    <w:rPr>
      <w:rFonts w:ascii="Arial" w:eastAsia="Arial" w:hAnsi="Arial"/>
      <w:sz w:val="22"/>
      <w:szCs w:val="22"/>
      <w:lang w:val="en-US"/>
    </w:rPr>
  </w:style>
  <w:style w:type="paragraph" w:styleId="ListContinue">
    <w:name w:val="List Continue"/>
    <w:basedOn w:val="Normal"/>
    <w:uiPriority w:val="99"/>
    <w:rsid w:val="00C11594"/>
    <w:pPr>
      <w:widowControl w:val="0"/>
      <w:tabs>
        <w:tab w:val="left" w:pos="340"/>
      </w:tabs>
      <w:spacing w:before="120" w:after="200" w:line="276" w:lineRule="auto"/>
      <w:ind w:left="340"/>
    </w:pPr>
    <w:rPr>
      <w:rFonts w:ascii="Arial" w:eastAsia="Arial" w:hAnsi="Arial"/>
      <w:sz w:val="22"/>
      <w:szCs w:val="22"/>
      <w:lang w:val="en-US"/>
    </w:rPr>
  </w:style>
  <w:style w:type="paragraph" w:styleId="ListContinue2">
    <w:name w:val="List Continue 2"/>
    <w:basedOn w:val="Normal"/>
    <w:uiPriority w:val="99"/>
    <w:rsid w:val="00C11594"/>
    <w:pPr>
      <w:widowControl w:val="0"/>
      <w:tabs>
        <w:tab w:val="left" w:pos="680"/>
      </w:tabs>
      <w:spacing w:before="120" w:after="200" w:line="276" w:lineRule="auto"/>
      <w:ind w:left="680"/>
    </w:pPr>
    <w:rPr>
      <w:rFonts w:ascii="Arial" w:eastAsia="Arial" w:hAnsi="Arial"/>
      <w:sz w:val="22"/>
      <w:szCs w:val="22"/>
      <w:lang w:val="en-US"/>
    </w:rPr>
  </w:style>
  <w:style w:type="paragraph" w:styleId="ListContinue3">
    <w:name w:val="List Continue 3"/>
    <w:basedOn w:val="Normal"/>
    <w:uiPriority w:val="99"/>
    <w:rsid w:val="00C11594"/>
    <w:pPr>
      <w:widowControl w:val="0"/>
      <w:tabs>
        <w:tab w:val="left" w:pos="1021"/>
      </w:tabs>
      <w:spacing w:before="120" w:after="200" w:line="276" w:lineRule="auto"/>
      <w:ind w:left="1021"/>
    </w:pPr>
    <w:rPr>
      <w:rFonts w:ascii="Arial" w:eastAsia="Arial" w:hAnsi="Arial"/>
      <w:sz w:val="22"/>
      <w:szCs w:val="22"/>
      <w:lang w:val="en-US"/>
    </w:rPr>
  </w:style>
  <w:style w:type="paragraph" w:styleId="ListContinue4">
    <w:name w:val="List Continue 4"/>
    <w:basedOn w:val="Normal"/>
    <w:uiPriority w:val="99"/>
    <w:rsid w:val="00C11594"/>
    <w:pPr>
      <w:widowControl w:val="0"/>
      <w:tabs>
        <w:tab w:val="left" w:pos="1361"/>
      </w:tabs>
      <w:spacing w:before="120" w:after="200" w:line="276" w:lineRule="auto"/>
      <w:ind w:left="1361"/>
    </w:pPr>
    <w:rPr>
      <w:rFonts w:ascii="Arial" w:eastAsia="Arial" w:hAnsi="Arial"/>
      <w:sz w:val="22"/>
      <w:szCs w:val="22"/>
      <w:lang w:val="en-US"/>
    </w:rPr>
  </w:style>
  <w:style w:type="paragraph" w:styleId="ListNumber3">
    <w:name w:val="List Number 3"/>
    <w:basedOn w:val="Normal"/>
    <w:uiPriority w:val="99"/>
    <w:rsid w:val="00C11594"/>
    <w:pPr>
      <w:widowControl w:val="0"/>
      <w:numPr>
        <w:numId w:val="17"/>
      </w:numPr>
      <w:tabs>
        <w:tab w:val="left" w:pos="1021"/>
      </w:tabs>
      <w:spacing w:before="120" w:after="200" w:line="276" w:lineRule="auto"/>
    </w:pPr>
    <w:rPr>
      <w:rFonts w:ascii="Arial" w:eastAsia="Arial" w:hAnsi="Arial"/>
      <w:sz w:val="22"/>
      <w:szCs w:val="22"/>
      <w:lang w:val="en-US"/>
    </w:rPr>
  </w:style>
  <w:style w:type="paragraph" w:styleId="ListNumber4">
    <w:name w:val="List Number 4"/>
    <w:basedOn w:val="Normal"/>
    <w:uiPriority w:val="99"/>
    <w:rsid w:val="00C11594"/>
    <w:pPr>
      <w:widowControl w:val="0"/>
      <w:numPr>
        <w:numId w:val="13"/>
      </w:numPr>
      <w:tabs>
        <w:tab w:val="left" w:pos="1701"/>
      </w:tabs>
      <w:spacing w:before="120" w:after="200" w:line="276" w:lineRule="auto"/>
      <w:ind w:left="360" w:hanging="360"/>
    </w:pPr>
    <w:rPr>
      <w:rFonts w:ascii="Arial" w:eastAsia="Arial" w:hAnsi="Arial"/>
      <w:sz w:val="22"/>
      <w:szCs w:val="22"/>
      <w:lang w:val="en-US"/>
    </w:rPr>
  </w:style>
  <w:style w:type="paragraph" w:styleId="ListNumber5">
    <w:name w:val="List Number 5"/>
    <w:basedOn w:val="Normal"/>
    <w:uiPriority w:val="99"/>
    <w:rsid w:val="00C11594"/>
    <w:pPr>
      <w:widowControl w:val="0"/>
      <w:numPr>
        <w:numId w:val="14"/>
      </w:numPr>
      <w:spacing w:before="120" w:after="200" w:line="276" w:lineRule="auto"/>
      <w:ind w:left="926" w:hanging="360"/>
    </w:pPr>
    <w:rPr>
      <w:rFonts w:ascii="Arial" w:eastAsia="Arial" w:hAnsi="Arial"/>
      <w:sz w:val="22"/>
      <w:szCs w:val="22"/>
      <w:lang w:val="en-US"/>
    </w:rPr>
  </w:style>
  <w:style w:type="paragraph" w:customStyle="1" w:styleId="Tabletext-right">
    <w:name w:val="Table text - right"/>
    <w:basedOn w:val="Tabletext"/>
    <w:link w:val="Tabletext-rightChar"/>
    <w:rsid w:val="00C11594"/>
    <w:pPr>
      <w:widowControl w:val="0"/>
      <w:spacing w:after="60" w:line="276" w:lineRule="auto"/>
      <w:jc w:val="right"/>
    </w:pPr>
    <w:rPr>
      <w:rFonts w:eastAsia="Times New Roman"/>
      <w:color w:val="auto"/>
      <w:sz w:val="20"/>
      <w:szCs w:val="20"/>
      <w:lang w:val="en-US"/>
    </w:rPr>
  </w:style>
  <w:style w:type="paragraph" w:customStyle="1" w:styleId="Tabletext-centred">
    <w:name w:val="Table text - centred"/>
    <w:basedOn w:val="Tabletext-right"/>
    <w:link w:val="Tabletext-centredChar"/>
    <w:rsid w:val="00C11594"/>
    <w:pPr>
      <w:jc w:val="center"/>
    </w:pPr>
  </w:style>
  <w:style w:type="paragraph" w:customStyle="1" w:styleId="TableHeading-right">
    <w:name w:val="Table Heading - right"/>
    <w:basedOn w:val="TableHeading"/>
    <w:link w:val="TableHeading-rightChar"/>
    <w:rsid w:val="00C11594"/>
    <w:pPr>
      <w:jc w:val="right"/>
    </w:pPr>
    <w:rPr>
      <w:rFonts w:eastAsia="Times New Roman"/>
      <w:bCs/>
      <w:szCs w:val="20"/>
    </w:rPr>
  </w:style>
  <w:style w:type="character" w:customStyle="1" w:styleId="Tabletext-rightChar">
    <w:name w:val="Table text - right Char"/>
    <w:link w:val="Tabletext-right"/>
    <w:rsid w:val="00C11594"/>
    <w:rPr>
      <w:rFonts w:ascii="Arial" w:hAnsi="Arial"/>
      <w:lang w:val="en-US" w:eastAsia="en-US"/>
    </w:rPr>
  </w:style>
  <w:style w:type="character" w:customStyle="1" w:styleId="TabletextChar">
    <w:name w:val="Table text Char"/>
    <w:link w:val="Tabletext"/>
    <w:uiPriority w:val="1"/>
    <w:rsid w:val="00C11594"/>
    <w:rPr>
      <w:rFonts w:ascii="Arial" w:eastAsia="Arial" w:hAnsi="Arial"/>
      <w:color w:val="000000"/>
      <w:sz w:val="22"/>
      <w:szCs w:val="22"/>
      <w:lang w:eastAsia="en-US"/>
    </w:rPr>
  </w:style>
  <w:style w:type="character" w:customStyle="1" w:styleId="TableHeading-rightChar">
    <w:name w:val="Table Heading - right Char"/>
    <w:link w:val="TableHeading-right"/>
    <w:rsid w:val="00C11594"/>
    <w:rPr>
      <w:rFonts w:ascii="Arial" w:hAnsi="Arial"/>
      <w:b/>
      <w:bCs/>
      <w:sz w:val="22"/>
      <w:lang w:val="en-US" w:eastAsia="en-US"/>
    </w:rPr>
  </w:style>
  <w:style w:type="character" w:customStyle="1" w:styleId="Tabletext-centredChar">
    <w:name w:val="Table text - centred Char"/>
    <w:link w:val="Tabletext-centred"/>
    <w:rsid w:val="00C11594"/>
    <w:rPr>
      <w:rFonts w:ascii="Arial" w:hAnsi="Arial"/>
      <w:lang w:val="en-US" w:eastAsia="en-US"/>
    </w:rPr>
  </w:style>
  <w:style w:type="paragraph" w:customStyle="1" w:styleId="TableHeading-centred">
    <w:name w:val="Table Heading - centred"/>
    <w:basedOn w:val="TableHeading"/>
    <w:rsid w:val="00C11594"/>
    <w:pPr>
      <w:jc w:val="center"/>
    </w:pPr>
    <w:rPr>
      <w:rFonts w:eastAsia="Times New Roman"/>
      <w:bCs/>
      <w:szCs w:val="20"/>
    </w:rPr>
  </w:style>
  <w:style w:type="paragraph" w:styleId="TableofFigures">
    <w:name w:val="table of figures"/>
    <w:basedOn w:val="Normal"/>
    <w:next w:val="Normal"/>
    <w:uiPriority w:val="99"/>
    <w:unhideWhenUsed/>
    <w:rsid w:val="00C11594"/>
    <w:pPr>
      <w:widowControl w:val="0"/>
      <w:spacing w:before="240" w:after="120" w:line="276" w:lineRule="auto"/>
    </w:pPr>
    <w:rPr>
      <w:rFonts w:ascii="Arial" w:eastAsia="Arial" w:hAnsi="Arial"/>
      <w:sz w:val="22"/>
      <w:szCs w:val="22"/>
      <w:lang w:val="en-US"/>
    </w:rPr>
  </w:style>
  <w:style w:type="table" w:customStyle="1" w:styleId="ACCCTable3">
    <w:name w:val="ACCC Table 3"/>
    <w:basedOn w:val="TableNormal"/>
    <w:uiPriority w:val="99"/>
    <w:rsid w:val="00C11594"/>
    <w:rPr>
      <w:rFonts w:ascii="Arial" w:eastAsia="Arial" w:hAnsi="Arial"/>
      <w:szCs w:val="22"/>
      <w:lang w:eastAsia="en-US"/>
    </w:rPr>
    <w:tblPr>
      <w:tblBorders>
        <w:insideV w:val="single" w:sz="4" w:space="0" w:color="D5D6D2"/>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uiPriority w:val="99"/>
    <w:rsid w:val="00C11594"/>
    <w:rPr>
      <w:rFonts w:ascii="Arial" w:hAnsi="Arial"/>
      <w:sz w:val="16"/>
      <w:vertAlign w:val="superscript"/>
    </w:rPr>
  </w:style>
  <w:style w:type="character" w:customStyle="1" w:styleId="Numbered1Char">
    <w:name w:val="Numbered 1 Char"/>
    <w:link w:val="Numbered1"/>
    <w:rsid w:val="00C11594"/>
    <w:rPr>
      <w:rFonts w:ascii="Lucida Fax" w:hAnsi="Lucida Fax"/>
      <w:bCs/>
      <w:color w:val="51626F"/>
      <w:sz w:val="32"/>
      <w:szCs w:val="28"/>
      <w:lang w:val="en-US" w:eastAsia="en-US"/>
    </w:rPr>
  </w:style>
  <w:style w:type="paragraph" w:customStyle="1" w:styleId="Numberedparagraph">
    <w:name w:val="Numbered paragraph"/>
    <w:basedOn w:val="Normal"/>
    <w:rsid w:val="00C11594"/>
    <w:pPr>
      <w:widowControl w:val="0"/>
      <w:tabs>
        <w:tab w:val="num" w:pos="360"/>
      </w:tabs>
      <w:spacing w:after="200" w:line="276" w:lineRule="auto"/>
      <w:ind w:left="680" w:hanging="680"/>
    </w:pPr>
    <w:rPr>
      <w:rFonts w:ascii="Arial" w:hAnsi="Arial"/>
      <w:color w:val="000000"/>
      <w:sz w:val="22"/>
      <w:szCs w:val="20"/>
      <w:lang w:val="en-US"/>
    </w:rPr>
  </w:style>
  <w:style w:type="paragraph" w:customStyle="1" w:styleId="Listalphabet2">
    <w:name w:val="List alphabet 2"/>
    <w:rsid w:val="00C11594"/>
    <w:pPr>
      <w:numPr>
        <w:numId w:val="16"/>
      </w:numPr>
      <w:tabs>
        <w:tab w:val="num" w:pos="567"/>
        <w:tab w:val="left" w:pos="680"/>
      </w:tabs>
      <w:spacing w:before="120"/>
      <w:ind w:left="567" w:hanging="567"/>
    </w:pPr>
    <w:rPr>
      <w:rFonts w:ascii="Arial" w:eastAsia="Arial" w:hAnsi="Arial"/>
      <w:sz w:val="22"/>
      <w:szCs w:val="22"/>
      <w:lang w:eastAsia="en-US"/>
    </w:rPr>
  </w:style>
  <w:style w:type="paragraph" w:customStyle="1" w:styleId="Listalphabet3">
    <w:name w:val="List alphabet 3"/>
    <w:rsid w:val="00C11594"/>
    <w:pPr>
      <w:numPr>
        <w:numId w:val="22"/>
      </w:numPr>
      <w:tabs>
        <w:tab w:val="num" w:pos="567"/>
        <w:tab w:val="left" w:pos="1021"/>
      </w:tabs>
      <w:spacing w:before="120"/>
      <w:ind w:left="567" w:hanging="567"/>
    </w:pPr>
    <w:rPr>
      <w:rFonts w:ascii="Arial" w:eastAsia="Arial" w:hAnsi="Arial"/>
      <w:sz w:val="22"/>
      <w:szCs w:val="22"/>
      <w:lang w:eastAsia="en-US"/>
    </w:rPr>
  </w:style>
  <w:style w:type="paragraph" w:customStyle="1" w:styleId="Listalphabet4">
    <w:name w:val="List alphabet 4"/>
    <w:rsid w:val="00C11594"/>
    <w:pPr>
      <w:numPr>
        <w:numId w:val="23"/>
      </w:numPr>
      <w:tabs>
        <w:tab w:val="num" w:pos="567"/>
        <w:tab w:val="left" w:pos="1361"/>
      </w:tabs>
      <w:spacing w:before="120"/>
      <w:ind w:left="567" w:hanging="567"/>
    </w:pPr>
    <w:rPr>
      <w:rFonts w:ascii="Arial" w:eastAsia="Arial" w:hAnsi="Arial"/>
      <w:sz w:val="22"/>
      <w:szCs w:val="22"/>
      <w:lang w:eastAsia="en-US"/>
    </w:rPr>
  </w:style>
  <w:style w:type="paragraph" w:customStyle="1" w:styleId="Listalphabet5">
    <w:name w:val="List alphabet 5"/>
    <w:rsid w:val="00C11594"/>
    <w:pPr>
      <w:numPr>
        <w:numId w:val="24"/>
      </w:numPr>
      <w:tabs>
        <w:tab w:val="num" w:pos="567"/>
        <w:tab w:val="left" w:pos="1701"/>
      </w:tabs>
      <w:spacing w:before="120"/>
      <w:ind w:left="567" w:hanging="567"/>
    </w:pPr>
    <w:rPr>
      <w:rFonts w:ascii="Arial" w:eastAsia="Arial" w:hAnsi="Arial"/>
      <w:sz w:val="22"/>
      <w:szCs w:val="22"/>
      <w:lang w:eastAsia="en-US"/>
    </w:rPr>
  </w:style>
  <w:style w:type="paragraph" w:styleId="ListContinue5">
    <w:name w:val="List Continue 5"/>
    <w:basedOn w:val="Normal"/>
    <w:uiPriority w:val="99"/>
    <w:rsid w:val="00C11594"/>
    <w:pPr>
      <w:widowControl w:val="0"/>
      <w:tabs>
        <w:tab w:val="left" w:pos="1701"/>
      </w:tabs>
      <w:spacing w:before="120" w:after="200" w:line="276" w:lineRule="auto"/>
      <w:ind w:left="1701"/>
    </w:pPr>
    <w:rPr>
      <w:rFonts w:ascii="Arial" w:eastAsia="Arial" w:hAnsi="Arial"/>
      <w:sz w:val="22"/>
      <w:szCs w:val="22"/>
      <w:lang w:val="en-US"/>
    </w:rPr>
  </w:style>
  <w:style w:type="paragraph" w:styleId="NoteHeading">
    <w:name w:val="Note Heading"/>
    <w:basedOn w:val="Normal"/>
    <w:next w:val="Normal"/>
    <w:link w:val="NoteHeadingChar"/>
    <w:uiPriority w:val="99"/>
    <w:unhideWhenUsed/>
    <w:rsid w:val="00C11594"/>
    <w:pPr>
      <w:widowControl w:val="0"/>
      <w:spacing w:after="200" w:line="276" w:lineRule="auto"/>
    </w:pPr>
    <w:rPr>
      <w:rFonts w:ascii="Arial" w:eastAsia="Arial" w:hAnsi="Arial"/>
      <w:sz w:val="22"/>
      <w:szCs w:val="22"/>
      <w:lang w:val="en-US"/>
    </w:rPr>
  </w:style>
  <w:style w:type="character" w:customStyle="1" w:styleId="NoteHeadingChar">
    <w:name w:val="Note Heading Char"/>
    <w:basedOn w:val="DefaultParagraphFont"/>
    <w:link w:val="NoteHeading"/>
    <w:uiPriority w:val="99"/>
    <w:rsid w:val="00C11594"/>
    <w:rPr>
      <w:rFonts w:ascii="Arial" w:eastAsia="Arial" w:hAnsi="Arial"/>
      <w:sz w:val="22"/>
      <w:szCs w:val="22"/>
      <w:lang w:val="en-US" w:eastAsia="en-US"/>
    </w:rPr>
  </w:style>
  <w:style w:type="character" w:styleId="SubtleReference">
    <w:name w:val="Subtle Reference"/>
    <w:uiPriority w:val="31"/>
    <w:unhideWhenUsed/>
    <w:rsid w:val="00C11594"/>
    <w:rPr>
      <w:smallCaps/>
      <w:color w:val="4F2D7D"/>
      <w:u w:val="single"/>
    </w:rPr>
  </w:style>
  <w:style w:type="paragraph" w:customStyle="1" w:styleId="ListLegal">
    <w:name w:val="List Legal"/>
    <w:basedOn w:val="ListParagraph"/>
    <w:rsid w:val="00C11594"/>
    <w:pPr>
      <w:widowControl w:val="0"/>
      <w:numPr>
        <w:numId w:val="25"/>
      </w:numPr>
      <w:tabs>
        <w:tab w:val="clear" w:pos="993"/>
        <w:tab w:val="clear" w:pos="1134"/>
        <w:tab w:val="left" w:pos="680"/>
      </w:tabs>
      <w:spacing w:after="200" w:line="276" w:lineRule="auto"/>
      <w:contextualSpacing w:val="0"/>
    </w:pPr>
    <w:rPr>
      <w:rFonts w:eastAsia="Arial"/>
      <w:szCs w:val="22"/>
      <w:lang w:val="en-US"/>
    </w:rPr>
  </w:style>
  <w:style w:type="paragraph" w:customStyle="1" w:styleId="ListLegal2">
    <w:name w:val="List Legal 2"/>
    <w:basedOn w:val="ListLegal"/>
    <w:rsid w:val="00C11594"/>
    <w:pPr>
      <w:numPr>
        <w:numId w:val="19"/>
      </w:numPr>
      <w:tabs>
        <w:tab w:val="clear" w:pos="680"/>
        <w:tab w:val="num" w:pos="567"/>
        <w:tab w:val="left" w:pos="1021"/>
      </w:tabs>
      <w:ind w:left="567" w:hanging="567"/>
    </w:pPr>
  </w:style>
  <w:style w:type="paragraph" w:customStyle="1" w:styleId="ListLegal3">
    <w:name w:val="List Legal 3"/>
    <w:basedOn w:val="ListNumber3"/>
    <w:rsid w:val="00C11594"/>
    <w:pPr>
      <w:numPr>
        <w:numId w:val="18"/>
      </w:numPr>
      <w:tabs>
        <w:tab w:val="clear" w:pos="1021"/>
        <w:tab w:val="left" w:pos="1361"/>
      </w:tabs>
    </w:pPr>
  </w:style>
  <w:style w:type="paragraph" w:customStyle="1" w:styleId="ListLegal4">
    <w:name w:val="List Legal 4"/>
    <w:basedOn w:val="ListLegal3"/>
    <w:rsid w:val="00C11594"/>
    <w:pPr>
      <w:numPr>
        <w:numId w:val="20"/>
      </w:numPr>
      <w:tabs>
        <w:tab w:val="clear" w:pos="1361"/>
        <w:tab w:val="left" w:pos="1701"/>
      </w:tabs>
    </w:pPr>
  </w:style>
  <w:style w:type="paragraph" w:customStyle="1" w:styleId="ListLegal5">
    <w:name w:val="List Legal 5"/>
    <w:basedOn w:val="ListLegal4"/>
    <w:rsid w:val="00C11594"/>
    <w:pPr>
      <w:numPr>
        <w:numId w:val="26"/>
      </w:numPr>
      <w:tabs>
        <w:tab w:val="clear" w:pos="1701"/>
        <w:tab w:val="left" w:pos="2041"/>
      </w:tabs>
      <w:ind w:left="720" w:hanging="360"/>
    </w:pPr>
  </w:style>
  <w:style w:type="paragraph" w:customStyle="1" w:styleId="LegalNumbering">
    <w:name w:val="Legal Numbering"/>
    <w:basedOn w:val="Normal"/>
    <w:qFormat/>
    <w:rsid w:val="00C11594"/>
    <w:pPr>
      <w:widowControl w:val="0"/>
      <w:numPr>
        <w:numId w:val="21"/>
      </w:numPr>
      <w:tabs>
        <w:tab w:val="left" w:pos="340"/>
        <w:tab w:val="num" w:pos="567"/>
        <w:tab w:val="left" w:pos="680"/>
        <w:tab w:val="left" w:pos="1021"/>
        <w:tab w:val="left" w:pos="1361"/>
      </w:tabs>
      <w:spacing w:after="200" w:line="276" w:lineRule="auto"/>
      <w:ind w:left="567" w:hanging="567"/>
    </w:pPr>
    <w:rPr>
      <w:rFonts w:ascii="Arial" w:eastAsia="Arial" w:hAnsi="Arial"/>
      <w:sz w:val="22"/>
      <w:szCs w:val="22"/>
      <w:lang w:val="en-US"/>
    </w:rPr>
  </w:style>
  <w:style w:type="paragraph" w:customStyle="1" w:styleId="Default">
    <w:name w:val="Default"/>
    <w:rsid w:val="00C11594"/>
    <w:pPr>
      <w:autoSpaceDE w:val="0"/>
      <w:autoSpaceDN w:val="0"/>
      <w:adjustRightInd w:val="0"/>
    </w:pPr>
    <w:rPr>
      <w:rFonts w:ascii="Arial" w:eastAsia="Arial" w:hAnsi="Arial" w:cs="Arial"/>
      <w:color w:val="000000"/>
      <w:sz w:val="24"/>
      <w:szCs w:val="24"/>
      <w:lang w:eastAsia="en-US"/>
    </w:rPr>
  </w:style>
  <w:style w:type="table" w:customStyle="1" w:styleId="DEEWRTable">
    <w:name w:val="DEEWR Table"/>
    <w:basedOn w:val="TableNormal"/>
    <w:uiPriority w:val="99"/>
    <w:rsid w:val="00B44E64"/>
    <w:rPr>
      <w:rFonts w:ascii="Calibri" w:hAnsi="Calibri"/>
      <w:color w:val="000000"/>
      <w:szCs w:val="22"/>
      <w:lang w:eastAsia="en-US"/>
    </w:rPr>
    <w:tblPr>
      <w:tblStyleRowBandSize w:val="1"/>
      <w:tblBorders>
        <w:bottom w:val="single" w:sz="4" w:space="0" w:color="auto"/>
      </w:tblBorders>
    </w:tblPr>
    <w:trPr>
      <w:cantSplit/>
    </w:trPr>
    <w:tblStylePr w:type="firstRow">
      <w:pPr>
        <w:wordWrap/>
        <w:ind w:leftChars="0" w:left="0" w:rightChars="0" w:right="0"/>
        <w:jc w:val="left"/>
      </w:pPr>
      <w:rPr>
        <w:rFonts w:ascii="Calibri" w:hAnsi="Calibri"/>
        <w:b/>
        <w:color w:val="FFFFFF"/>
        <w:sz w:val="20"/>
      </w:rPr>
      <w:tblPr/>
      <w:tcPr>
        <w:shd w:val="clear" w:color="auto" w:fill="522761"/>
      </w:tcPr>
    </w:tblStylePr>
    <w:tblStylePr w:type="firstCol">
      <w:pPr>
        <w:jc w:val="left"/>
      </w:pPr>
      <w:rPr>
        <w:b/>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210">
      <w:bodyDiv w:val="1"/>
      <w:marLeft w:val="0"/>
      <w:marRight w:val="0"/>
      <w:marTop w:val="0"/>
      <w:marBottom w:val="0"/>
      <w:divBdr>
        <w:top w:val="none" w:sz="0" w:space="0" w:color="auto"/>
        <w:left w:val="none" w:sz="0" w:space="0" w:color="auto"/>
        <w:bottom w:val="none" w:sz="0" w:space="0" w:color="auto"/>
        <w:right w:val="none" w:sz="0" w:space="0" w:color="auto"/>
      </w:divBdr>
    </w:div>
    <w:div w:id="484511400">
      <w:bodyDiv w:val="1"/>
      <w:marLeft w:val="0"/>
      <w:marRight w:val="0"/>
      <w:marTop w:val="0"/>
      <w:marBottom w:val="0"/>
      <w:divBdr>
        <w:top w:val="none" w:sz="0" w:space="0" w:color="auto"/>
        <w:left w:val="none" w:sz="0" w:space="0" w:color="auto"/>
        <w:bottom w:val="none" w:sz="0" w:space="0" w:color="auto"/>
        <w:right w:val="none" w:sz="0" w:space="0" w:color="auto"/>
      </w:divBdr>
    </w:div>
    <w:div w:id="582180714">
      <w:bodyDiv w:val="1"/>
      <w:marLeft w:val="0"/>
      <w:marRight w:val="0"/>
      <w:marTop w:val="0"/>
      <w:marBottom w:val="0"/>
      <w:divBdr>
        <w:top w:val="none" w:sz="0" w:space="0" w:color="auto"/>
        <w:left w:val="none" w:sz="0" w:space="0" w:color="auto"/>
        <w:bottom w:val="none" w:sz="0" w:space="0" w:color="auto"/>
        <w:right w:val="none" w:sz="0" w:space="0" w:color="auto"/>
      </w:divBdr>
    </w:div>
    <w:div w:id="667907996">
      <w:bodyDiv w:val="1"/>
      <w:marLeft w:val="0"/>
      <w:marRight w:val="0"/>
      <w:marTop w:val="0"/>
      <w:marBottom w:val="0"/>
      <w:divBdr>
        <w:top w:val="none" w:sz="0" w:space="0" w:color="auto"/>
        <w:left w:val="none" w:sz="0" w:space="0" w:color="auto"/>
        <w:bottom w:val="none" w:sz="0" w:space="0" w:color="auto"/>
        <w:right w:val="none" w:sz="0" w:space="0" w:color="auto"/>
      </w:divBdr>
    </w:div>
    <w:div w:id="760640125">
      <w:bodyDiv w:val="1"/>
      <w:marLeft w:val="0"/>
      <w:marRight w:val="0"/>
      <w:marTop w:val="0"/>
      <w:marBottom w:val="0"/>
      <w:divBdr>
        <w:top w:val="none" w:sz="0" w:space="0" w:color="auto"/>
        <w:left w:val="none" w:sz="0" w:space="0" w:color="auto"/>
        <w:bottom w:val="none" w:sz="0" w:space="0" w:color="auto"/>
        <w:right w:val="none" w:sz="0" w:space="0" w:color="auto"/>
      </w:divBdr>
    </w:div>
    <w:div w:id="809247398">
      <w:bodyDiv w:val="1"/>
      <w:marLeft w:val="0"/>
      <w:marRight w:val="0"/>
      <w:marTop w:val="0"/>
      <w:marBottom w:val="0"/>
      <w:divBdr>
        <w:top w:val="none" w:sz="0" w:space="0" w:color="auto"/>
        <w:left w:val="none" w:sz="0" w:space="0" w:color="auto"/>
        <w:bottom w:val="none" w:sz="0" w:space="0" w:color="auto"/>
        <w:right w:val="none" w:sz="0" w:space="0" w:color="auto"/>
      </w:divBdr>
    </w:div>
    <w:div w:id="821385900">
      <w:bodyDiv w:val="1"/>
      <w:marLeft w:val="0"/>
      <w:marRight w:val="0"/>
      <w:marTop w:val="0"/>
      <w:marBottom w:val="0"/>
      <w:divBdr>
        <w:top w:val="none" w:sz="0" w:space="0" w:color="auto"/>
        <w:left w:val="none" w:sz="0" w:space="0" w:color="auto"/>
        <w:bottom w:val="none" w:sz="0" w:space="0" w:color="auto"/>
        <w:right w:val="none" w:sz="0" w:space="0" w:color="auto"/>
      </w:divBdr>
    </w:div>
    <w:div w:id="1304309015">
      <w:bodyDiv w:val="1"/>
      <w:marLeft w:val="0"/>
      <w:marRight w:val="0"/>
      <w:marTop w:val="0"/>
      <w:marBottom w:val="0"/>
      <w:divBdr>
        <w:top w:val="none" w:sz="0" w:space="0" w:color="auto"/>
        <w:left w:val="none" w:sz="0" w:space="0" w:color="auto"/>
        <w:bottom w:val="none" w:sz="0" w:space="0" w:color="auto"/>
        <w:right w:val="none" w:sz="0" w:space="0" w:color="auto"/>
      </w:divBdr>
    </w:div>
    <w:div w:id="1802455555">
      <w:bodyDiv w:val="1"/>
      <w:marLeft w:val="0"/>
      <w:marRight w:val="0"/>
      <w:marTop w:val="0"/>
      <w:marBottom w:val="0"/>
      <w:divBdr>
        <w:top w:val="none" w:sz="0" w:space="0" w:color="auto"/>
        <w:left w:val="none" w:sz="0" w:space="0" w:color="auto"/>
        <w:bottom w:val="none" w:sz="0" w:space="0" w:color="auto"/>
        <w:right w:val="none" w:sz="0" w:space="0" w:color="auto"/>
      </w:divBdr>
    </w:div>
    <w:div w:id="2004234145">
      <w:bodyDiv w:val="1"/>
      <w:marLeft w:val="0"/>
      <w:marRight w:val="0"/>
      <w:marTop w:val="0"/>
      <w:marBottom w:val="0"/>
      <w:divBdr>
        <w:top w:val="none" w:sz="0" w:space="0" w:color="auto"/>
        <w:left w:val="none" w:sz="0" w:space="0" w:color="auto"/>
        <w:bottom w:val="none" w:sz="0" w:space="0" w:color="auto"/>
        <w:right w:val="none" w:sz="0" w:space="0" w:color="auto"/>
      </w:divBdr>
    </w:div>
    <w:div w:id="21135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rgers@acc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D31140.ED906A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cc.gov.au/publications/informal-merger-review-process-guidelines-20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cubbycc.com.au/services/before-after-school-care/" TargetMode="External"/><Relationship Id="rId3" Type="http://schemas.openxmlformats.org/officeDocument/2006/relationships/hyperlink" Target="https://www.humanservices.gov.au/customer/services/centrelink/child-care-benefit" TargetMode="External"/><Relationship Id="rId7" Type="http://schemas.openxmlformats.org/officeDocument/2006/relationships/hyperlink" Target="http://www.pc.gov.au/inquiries/completed/childcare/report" TargetMode="External"/><Relationship Id="rId2" Type="http://schemas.openxmlformats.org/officeDocument/2006/relationships/hyperlink" Target="http://www.pc.gov.au/inquiries/completed/childcare/report" TargetMode="External"/><Relationship Id="rId1" Type="http://schemas.openxmlformats.org/officeDocument/2006/relationships/hyperlink" Target="http://www.advent.com.au/news/2015/09/junior-adventures-group/" TargetMode="External"/><Relationship Id="rId6" Type="http://schemas.openxmlformats.org/officeDocument/2006/relationships/hyperlink" Target="http://registers.accc.gov.au/content/index.phtml/itemId/639771/fromItemId/751043" TargetMode="External"/><Relationship Id="rId5" Type="http://schemas.openxmlformats.org/officeDocument/2006/relationships/hyperlink" Target="http://www.pc.gov.au/inquiries/completed/childcare/report" TargetMode="External"/><Relationship Id="rId4" Type="http://schemas.openxmlformats.org/officeDocument/2006/relationships/hyperlink" Target="https://www.humanservices.gov.au/customer/services/centrelink/child-care-r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7685109B.dotm</Template>
  <TotalTime>0</TotalTime>
  <Pages>27</Pages>
  <Words>10141</Words>
  <Characters>53911</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63925</CharactersWithSpaces>
  <SharedDoc>false</SharedDoc>
  <HLinks>
    <vt:vector size="6" baseType="variant">
      <vt:variant>
        <vt:i4>5898250</vt:i4>
      </vt:variant>
      <vt:variant>
        <vt:i4>0</vt:i4>
      </vt:variant>
      <vt:variant>
        <vt:i4>0</vt:i4>
      </vt:variant>
      <vt:variant>
        <vt:i4>5</vt:i4>
      </vt:variant>
      <vt:variant>
        <vt:lpwstr>http://www.accc.gov.au/processguidelines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2017-08-09T11:29:00Z</dcterms:created>
  <dcterms:modified xsi:type="dcterms:W3CDTF">2017-08-09T12:20:00Z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8948089</vt:lpwstr>
  </property>
  <property fmtid="{D5CDD505-2E9C-101B-9397-08002B2CF9AE}" pid="3" name="currfile">
    <vt:lpwstr>\\homesharecl\HomeDrives\sgosa\camp aus jag - statement of issues final version - 9 august 2017 (D2017-00110093).docx</vt:lpwstr>
  </property>
</Properties>
</file>