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674" w:rsidRPr="00165112" w:rsidRDefault="00966C11" w:rsidP="00165112">
      <w:pPr>
        <w:pStyle w:val="Contactsenderblock"/>
      </w:pPr>
      <w:r>
        <w:rPr>
          <w:noProof/>
          <w:lang w:val="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ustralian Competition &amp; Consumer Commission&#10;&#10;GPO Box 3131&#10;Canberra ACT 2601&#10;&#10;23 Marcus Clarke Street&#10;Canberra ACT 2601&#10;&#10;tel: (02) 6243 1111&#10;fax: (02) 6243 1199&#10;&#10;www.accc.gov.au" style="position:absolute;margin-left:305pt;margin-top:2.35pt;width:4in;height:224.25pt;z-index:-251658752;mso-position-horizontal-relative:page;mso-position-vertical-relative:page">
            <v:imagedata r:id="rId8" o:title="ACTcol"/>
            <w10:wrap anchorx="page" anchory="page"/>
          </v:shape>
        </w:pict>
      </w:r>
      <w:r w:rsidR="00436674" w:rsidRPr="00165112">
        <w:t>Our Ref:</w:t>
      </w:r>
      <w:r w:rsidR="00436674" w:rsidRPr="00165112">
        <w:tab/>
      </w:r>
      <w:bookmarkStart w:id="0" w:name="FileNo"/>
      <w:bookmarkEnd w:id="0"/>
      <w:r w:rsidR="004F26A0">
        <w:t>56849</w:t>
      </w:r>
      <w:r w:rsidR="00165112">
        <w:br/>
      </w:r>
      <w:r w:rsidR="00436674" w:rsidRPr="00165112">
        <w:t>Contact Officer:</w:t>
      </w:r>
      <w:r w:rsidR="00436674" w:rsidRPr="00165112">
        <w:tab/>
      </w:r>
      <w:bookmarkStart w:id="1" w:name="Contact"/>
      <w:bookmarkEnd w:id="1"/>
      <w:r w:rsidR="004F26A0">
        <w:t>Jaime Martin</w:t>
      </w:r>
      <w:r w:rsidR="00165112">
        <w:br/>
      </w:r>
      <w:r w:rsidR="00436674" w:rsidRPr="00165112">
        <w:t>Contact Phone:</w:t>
      </w:r>
      <w:r w:rsidR="00436674" w:rsidRPr="00165112">
        <w:tab/>
      </w:r>
      <w:bookmarkStart w:id="2" w:name="Phone"/>
      <w:bookmarkEnd w:id="2"/>
      <w:r w:rsidR="004F26A0">
        <w:t>(03) 9290 1477</w:t>
      </w:r>
    </w:p>
    <w:p w:rsidR="00436674" w:rsidRDefault="005971C0" w:rsidP="007307E3">
      <w:pPr>
        <w:pStyle w:val="Date"/>
      </w:pPr>
      <w:bookmarkStart w:id="3" w:name="Date"/>
      <w:bookmarkEnd w:id="3"/>
      <w:r>
        <w:t>28</w:t>
      </w:r>
      <w:r w:rsidR="0095694C">
        <w:t xml:space="preserve"> August</w:t>
      </w:r>
      <w:r w:rsidR="004F26A0">
        <w:t xml:space="preserve"> 2015</w:t>
      </w:r>
    </w:p>
    <w:p w:rsidR="008B47EC" w:rsidRPr="008B47EC" w:rsidRDefault="008B47EC" w:rsidP="008B47EC">
      <w:pPr>
        <w:rPr>
          <w:b/>
          <w:i/>
        </w:rPr>
      </w:pPr>
      <w:r w:rsidRPr="008B47EC">
        <w:rPr>
          <w:b/>
          <w:i/>
        </w:rPr>
        <w:t>Sent via email</w:t>
      </w:r>
    </w:p>
    <w:p w:rsidR="00436674" w:rsidRPr="007307E3" w:rsidRDefault="00EF5AAF" w:rsidP="00553C8F">
      <w:pPr>
        <w:pStyle w:val="Salutation"/>
        <w:spacing w:after="240"/>
      </w:pPr>
      <w:bookmarkStart w:id="4" w:name="Address"/>
      <w:bookmarkStart w:id="5" w:name="Salutation"/>
      <w:bookmarkEnd w:id="4"/>
      <w:bookmarkEnd w:id="5"/>
      <w:r w:rsidRPr="007307E3">
        <w:t xml:space="preserve">Dear </w:t>
      </w:r>
      <w:r w:rsidR="008B47EC">
        <w:t>Sir / Madam</w:t>
      </w:r>
    </w:p>
    <w:p w:rsidR="003512DC" w:rsidRPr="00165112" w:rsidRDefault="004F26A0" w:rsidP="00595AF9">
      <w:pPr>
        <w:pStyle w:val="Heading1"/>
      </w:pPr>
      <w:bookmarkStart w:id="6" w:name="Start"/>
      <w:bookmarkEnd w:id="6"/>
      <w:r>
        <w:t>NBN Co a</w:t>
      </w:r>
      <w:r w:rsidR="003512DC" w:rsidRPr="00165112">
        <w:t xml:space="preserve">pplication for </w:t>
      </w:r>
      <w:r>
        <w:t>re-authorisation (</w:t>
      </w:r>
      <w:r w:rsidR="00F86BC7" w:rsidRPr="00165112">
        <w:t>A</w:t>
      </w:r>
      <w:r>
        <w:t>91479-A91481)</w:t>
      </w:r>
      <w:r w:rsidR="00F86BC7" w:rsidRPr="00165112">
        <w:t xml:space="preserve"> </w:t>
      </w:r>
      <w:r>
        <w:t>–</w:t>
      </w:r>
      <w:r w:rsidR="003512DC" w:rsidRPr="00165112">
        <w:t xml:space="preserve"> </w:t>
      </w:r>
      <w:r w:rsidR="00612A98">
        <w:t xml:space="preserve">final </w:t>
      </w:r>
      <w:r w:rsidR="008C6B87" w:rsidRPr="00165112">
        <w:t>determination</w:t>
      </w:r>
      <w:r w:rsidR="005971C0">
        <w:t xml:space="preserve"> and informal merger review </w:t>
      </w:r>
    </w:p>
    <w:p w:rsidR="005971C0" w:rsidRDefault="00DE39C5" w:rsidP="008B47EC">
      <w:pPr>
        <w:spacing w:before="0" w:after="240"/>
      </w:pPr>
      <w:r w:rsidRPr="00595AF9">
        <w:t xml:space="preserve">The Australian Competition and Consumer Commission (the ACCC) has issued a determination in respect of the application </w:t>
      </w:r>
      <w:r w:rsidR="00142AD3" w:rsidRPr="00595AF9">
        <w:t xml:space="preserve">for </w:t>
      </w:r>
      <w:r w:rsidRPr="00595AF9">
        <w:t xml:space="preserve">authorisation lodged by </w:t>
      </w:r>
      <w:r w:rsidR="004F26A0">
        <w:t xml:space="preserve">NBN Co </w:t>
      </w:r>
      <w:r w:rsidRPr="00595AF9">
        <w:t xml:space="preserve">on </w:t>
      </w:r>
      <w:r w:rsidR="004F26A0">
        <w:t>12 February 2015</w:t>
      </w:r>
      <w:r w:rsidR="00974313" w:rsidRPr="00595AF9">
        <w:t xml:space="preserve">. </w:t>
      </w:r>
      <w:r w:rsidR="005971C0">
        <w:t xml:space="preserve"> </w:t>
      </w:r>
    </w:p>
    <w:p w:rsidR="008B47EC" w:rsidRDefault="008B47EC" w:rsidP="008B47EC">
      <w:pPr>
        <w:spacing w:before="0" w:after="240"/>
      </w:pPr>
      <w:r>
        <w:t>The revised arrangements for which NBN Co sought re-authorisation involves customers being progressively migrated to the NBN as NBN Co integrates the relevant parts of Optus’ HFC network into the NBN.  It also involves an obligation on Optus to use the NBN for 15 years, Optus sharing spectrum on its HFC network so that NBN Co can offer services prior to taking ownership of that network, and NBN Co performing certain other preparatory upgrade works on Optus’ HFC network.</w:t>
      </w:r>
    </w:p>
    <w:p w:rsidR="00DE39C5" w:rsidRPr="00595AF9" w:rsidRDefault="008B47EC" w:rsidP="008B47EC">
      <w:pPr>
        <w:spacing w:before="0" w:after="240"/>
      </w:pPr>
      <w:r>
        <w:t xml:space="preserve">The broader commercial arrangements between NBN Co and Optus involve a proposal for NBN Co to acquire certain Optus HFC assets.  </w:t>
      </w:r>
      <w:r w:rsidR="005971C0">
        <w:t xml:space="preserve">The ACCC has also completed its assessment of the proposed acquisition of Optus’ HFC assets under section 50 of the </w:t>
      </w:r>
      <w:r w:rsidR="005971C0" w:rsidRPr="005971C0">
        <w:rPr>
          <w:i/>
        </w:rPr>
        <w:t>Competition and Consumer Act 2010</w:t>
      </w:r>
      <w:r w:rsidR="005971C0">
        <w:rPr>
          <w:i/>
        </w:rPr>
        <w:t xml:space="preserve"> </w:t>
      </w:r>
      <w:r w:rsidR="005971C0">
        <w:t>(the Act).</w:t>
      </w:r>
    </w:p>
    <w:p w:rsidR="008C1F44" w:rsidRPr="00974313" w:rsidRDefault="00612A98" w:rsidP="008B47EC">
      <w:pPr>
        <w:pStyle w:val="Heading2"/>
        <w:spacing w:before="0" w:after="240"/>
      </w:pPr>
      <w:r>
        <w:t xml:space="preserve">Determination </w:t>
      </w:r>
    </w:p>
    <w:p w:rsidR="00974313" w:rsidRDefault="00974313" w:rsidP="008B47EC">
      <w:pPr>
        <w:spacing w:before="0" w:after="240"/>
      </w:pPr>
      <w:r w:rsidRPr="00E54909">
        <w:t>A copy of the ACCC’s determination and summary of its reasons is attached</w:t>
      </w:r>
      <w:r>
        <w:t>.</w:t>
      </w:r>
    </w:p>
    <w:p w:rsidR="005971C0" w:rsidRPr="005971C0" w:rsidRDefault="00974313" w:rsidP="008B47EC">
      <w:pPr>
        <w:spacing w:before="0" w:after="240"/>
      </w:pPr>
      <w:r w:rsidRPr="00E54909">
        <w:t>For the reasons set out in its deter</w:t>
      </w:r>
      <w:r w:rsidR="004F26A0">
        <w:t>mination, the ACCC grant</w:t>
      </w:r>
      <w:r w:rsidR="00612A98">
        <w:t>s</w:t>
      </w:r>
      <w:r w:rsidRPr="00E54909">
        <w:t xml:space="preserve"> authorisation </w:t>
      </w:r>
      <w:r w:rsidR="004F26A0">
        <w:t xml:space="preserve">to NBN Co for the revised </w:t>
      </w:r>
      <w:r w:rsidR="005971C0">
        <w:t xml:space="preserve">HFC network </w:t>
      </w:r>
      <w:r w:rsidR="004F26A0">
        <w:t>arrangements with Optus for 35 years</w:t>
      </w:r>
      <w:r w:rsidRPr="00E54909">
        <w:t>.</w:t>
      </w:r>
    </w:p>
    <w:p w:rsidR="005971C0" w:rsidRPr="005971C0" w:rsidRDefault="005971C0" w:rsidP="008B47EC">
      <w:pPr>
        <w:keepNext/>
        <w:spacing w:before="0" w:after="240"/>
        <w:rPr>
          <w:i/>
        </w:rPr>
      </w:pPr>
      <w:r w:rsidRPr="005971C0">
        <w:rPr>
          <w:i/>
        </w:rPr>
        <w:t>Application for review</w:t>
      </w:r>
    </w:p>
    <w:p w:rsidR="005971C0" w:rsidRPr="005971C0" w:rsidRDefault="005971C0" w:rsidP="008B47EC">
      <w:pPr>
        <w:spacing w:before="0" w:after="240"/>
      </w:pPr>
      <w:r w:rsidRPr="005971C0">
        <w:t xml:space="preserve">Pursuant to section 101 of the </w:t>
      </w:r>
      <w:r>
        <w:rPr>
          <w:iCs/>
          <w:lang w:val="en-AU"/>
        </w:rPr>
        <w:t xml:space="preserve">Act, </w:t>
      </w:r>
      <w:r w:rsidRPr="005971C0">
        <w:t>a person dissatisfied with this determination may apply to the Australian Competition Tribunal for its review.  An application for review must be made within 21 days of the date of this determination; that is, on or before</w:t>
      </w:r>
      <w:r>
        <w:t xml:space="preserve"> 18 September 2015</w:t>
      </w:r>
      <w:r w:rsidRPr="005971C0">
        <w:t xml:space="preserve">.  If no application to review is lodged by this date, the ACCC’s determination will come into force on </w:t>
      </w:r>
      <w:r>
        <w:t>19 September 2015.</w:t>
      </w:r>
    </w:p>
    <w:p w:rsidR="00612A98" w:rsidRPr="005971C0" w:rsidRDefault="005971C0" w:rsidP="008B47EC">
      <w:pPr>
        <w:autoSpaceDE w:val="0"/>
        <w:autoSpaceDN w:val="0"/>
        <w:adjustRightInd w:val="0"/>
        <w:spacing w:before="0" w:after="240"/>
        <w:rPr>
          <w:lang w:val="en-AU"/>
        </w:rPr>
      </w:pPr>
      <w:r w:rsidRPr="005971C0">
        <w:rPr>
          <w:lang w:val="en-AU"/>
        </w:rPr>
        <w:t>An application for review of the ACCC's determination</w:t>
      </w:r>
      <w:r w:rsidRPr="005971C0">
        <w:rPr>
          <w:color w:val="0000FF"/>
          <w:lang w:val="en-AU"/>
        </w:rPr>
        <w:t xml:space="preserve"> </w:t>
      </w:r>
      <w:r w:rsidRPr="005971C0">
        <w:rPr>
          <w:lang w:val="en-AU"/>
        </w:rPr>
        <w:t>should be lodged directly with the Australian Competition Tribunal. The Australian Competition Tribunal is a separate body from the ACCC and is located within the Federal Court of Australia.</w:t>
      </w:r>
    </w:p>
    <w:p w:rsidR="002C2525" w:rsidRDefault="006862B7" w:rsidP="003F281D">
      <w:pPr>
        <w:pStyle w:val="Heading2"/>
        <w:spacing w:before="0" w:after="240"/>
      </w:pPr>
      <w:r>
        <w:br w:type="page"/>
      </w:r>
      <w:r w:rsidR="002C2525">
        <w:lastRenderedPageBreak/>
        <w:t>Proposed acquisition of Optus’ HFC assets</w:t>
      </w:r>
    </w:p>
    <w:p w:rsidR="00AF1E04" w:rsidRDefault="00A80A0C" w:rsidP="003F281D">
      <w:pPr>
        <w:pStyle w:val="Default"/>
        <w:spacing w:after="240"/>
        <w:rPr>
          <w:sz w:val="22"/>
          <w:szCs w:val="22"/>
        </w:rPr>
      </w:pPr>
      <w:r>
        <w:rPr>
          <w:sz w:val="22"/>
          <w:szCs w:val="22"/>
        </w:rPr>
        <w:t xml:space="preserve">As you </w:t>
      </w:r>
      <w:r w:rsidR="008B47EC">
        <w:rPr>
          <w:sz w:val="22"/>
          <w:szCs w:val="22"/>
        </w:rPr>
        <w:t>may recall</w:t>
      </w:r>
      <w:r>
        <w:rPr>
          <w:sz w:val="22"/>
          <w:szCs w:val="22"/>
        </w:rPr>
        <w:t xml:space="preserve">, the proposed acquisition of Optus’ HFC assets was considered </w:t>
      </w:r>
      <w:r w:rsidR="00AF1E04">
        <w:rPr>
          <w:sz w:val="22"/>
          <w:szCs w:val="22"/>
        </w:rPr>
        <w:t xml:space="preserve">by the ACCC </w:t>
      </w:r>
      <w:r>
        <w:rPr>
          <w:sz w:val="22"/>
          <w:szCs w:val="22"/>
        </w:rPr>
        <w:t xml:space="preserve">under section 50 of the </w:t>
      </w:r>
      <w:r w:rsidR="00AF1E04">
        <w:rPr>
          <w:sz w:val="22"/>
          <w:szCs w:val="22"/>
        </w:rPr>
        <w:t>Act</w:t>
      </w:r>
      <w:r w:rsidR="00AF1E04">
        <w:rPr>
          <w:i/>
          <w:iCs/>
          <w:sz w:val="22"/>
          <w:szCs w:val="22"/>
        </w:rPr>
        <w:t xml:space="preserve">, </w:t>
      </w:r>
      <w:r>
        <w:rPr>
          <w:sz w:val="22"/>
          <w:szCs w:val="22"/>
        </w:rPr>
        <w:t xml:space="preserve">in conjunction with the re-authorisation application. </w:t>
      </w:r>
      <w:r w:rsidR="00AF1E04">
        <w:rPr>
          <w:sz w:val="22"/>
          <w:szCs w:val="22"/>
        </w:rPr>
        <w:t xml:space="preserve"> </w:t>
      </w:r>
    </w:p>
    <w:p w:rsidR="005971C0" w:rsidRDefault="00A25817" w:rsidP="003F281D">
      <w:pPr>
        <w:spacing w:before="0" w:after="240"/>
      </w:pPr>
      <w:r>
        <w:t>The ACCC has decided not to oppose the proposed acquisition under section 50 of the Act.</w:t>
      </w:r>
    </w:p>
    <w:p w:rsidR="00A80A0C" w:rsidRDefault="00A80A0C" w:rsidP="003F281D">
      <w:pPr>
        <w:spacing w:before="0" w:after="240"/>
      </w:pPr>
      <w:r>
        <w:t xml:space="preserve">Further information </w:t>
      </w:r>
      <w:r w:rsidR="00AF1E04">
        <w:t xml:space="preserve">relevant to the ACCC’s decision on the proposed acquisition is available from the </w:t>
      </w:r>
      <w:hyperlink r:id="rId9" w:history="1">
        <w:r w:rsidR="00AF1E04">
          <w:rPr>
            <w:rStyle w:val="Hyperlink"/>
          </w:rPr>
          <w:t>Mergers Register</w:t>
        </w:r>
      </w:hyperlink>
      <w:r w:rsidR="00AF1E04">
        <w:t>.</w:t>
      </w:r>
    </w:p>
    <w:p w:rsidR="003F281D" w:rsidRDefault="008C1F44" w:rsidP="003F281D">
      <w:pPr>
        <w:spacing w:before="0" w:after="0"/>
      </w:pPr>
      <w:r w:rsidRPr="00471AC1">
        <w:t xml:space="preserve">This letter has been placed on the ACCC’s public register. </w:t>
      </w:r>
      <w:r w:rsidR="00AF1E04">
        <w:t xml:space="preserve"> </w:t>
      </w:r>
      <w:r w:rsidRPr="00471AC1">
        <w:t xml:space="preserve">If you wish to discuss any aspect of this matter please contact </w:t>
      </w:r>
      <w:r w:rsidR="00AF1E04">
        <w:t>Jaime Martin on (03) 9290 </w:t>
      </w:r>
      <w:r w:rsidR="00ED7E30">
        <w:t xml:space="preserve">1477 (or </w:t>
      </w:r>
      <w:hyperlink r:id="rId10" w:history="1">
        <w:r w:rsidR="00ED7E30" w:rsidRPr="002D5C43">
          <w:rPr>
            <w:rStyle w:val="Hyperlink"/>
          </w:rPr>
          <w:t>jaime.martin@accc.gov.au</w:t>
        </w:r>
      </w:hyperlink>
      <w:r w:rsidR="00ED7E30">
        <w:t>) or David Hat</w:t>
      </w:r>
      <w:r w:rsidR="00A23366">
        <w:t>field on (02) 6243 1266 (or</w:t>
      </w:r>
      <w:r w:rsidR="00ED7E30">
        <w:t xml:space="preserve"> </w:t>
      </w:r>
      <w:hyperlink r:id="rId11" w:history="1">
        <w:r w:rsidR="00ED7E30" w:rsidRPr="002D5C43">
          <w:rPr>
            <w:rStyle w:val="Hyperlink"/>
          </w:rPr>
          <w:t>david.hatfield@accc.gov.au</w:t>
        </w:r>
      </w:hyperlink>
      <w:r w:rsidR="00ED7E30">
        <w:t>)</w:t>
      </w:r>
      <w:r>
        <w:t>.</w:t>
      </w:r>
    </w:p>
    <w:p w:rsidR="003F281D" w:rsidRDefault="003F281D" w:rsidP="003F281D">
      <w:pPr>
        <w:spacing w:before="0" w:after="0"/>
      </w:pPr>
    </w:p>
    <w:p w:rsidR="00B41EB0" w:rsidRDefault="00B41EB0" w:rsidP="003F281D">
      <w:pPr>
        <w:spacing w:before="0" w:after="0"/>
      </w:pPr>
      <w:r>
        <w:t>Yours sincerely</w:t>
      </w:r>
    </w:p>
    <w:p w:rsidR="00966C11" w:rsidRDefault="00966C11" w:rsidP="00183300">
      <w:pPr>
        <w:pStyle w:val="SignatureBlock"/>
      </w:pPr>
    </w:p>
    <w:p w:rsidR="00966C11" w:rsidRDefault="00966C11" w:rsidP="00183300">
      <w:pPr>
        <w:pStyle w:val="SignatureBlock"/>
      </w:pPr>
      <w:r>
        <w:t>[SIGNED]</w:t>
      </w:r>
      <w:bookmarkStart w:id="7" w:name="_GoBack"/>
      <w:bookmarkEnd w:id="7"/>
    </w:p>
    <w:p w:rsidR="00A231A0" w:rsidRPr="00183300" w:rsidRDefault="00A231A0" w:rsidP="00183300">
      <w:pPr>
        <w:pStyle w:val="SignatureBlock"/>
      </w:pPr>
    </w:p>
    <w:p w:rsidR="00B41EB0" w:rsidRPr="00183300" w:rsidRDefault="00AF1E04" w:rsidP="00183300">
      <w:pPr>
        <w:pStyle w:val="SignatureBlock"/>
      </w:pPr>
      <w:bookmarkStart w:id="8" w:name="Signature"/>
      <w:bookmarkEnd w:id="8"/>
      <w:r>
        <w:t>Rami Greiss</w:t>
      </w:r>
    </w:p>
    <w:p w:rsidR="00B41EB0" w:rsidRPr="00183300" w:rsidRDefault="00AF1E04" w:rsidP="00183300">
      <w:pPr>
        <w:pStyle w:val="SignatureBlock"/>
      </w:pPr>
      <w:r>
        <w:t xml:space="preserve">Executive </w:t>
      </w:r>
      <w:r w:rsidR="00B41EB0" w:rsidRPr="00183300">
        <w:t>General Manager</w:t>
      </w:r>
    </w:p>
    <w:p w:rsidR="00B41EB0" w:rsidRPr="00183300" w:rsidRDefault="00AF1E04" w:rsidP="00183300">
      <w:pPr>
        <w:pStyle w:val="SignatureBlock"/>
      </w:pPr>
      <w:r>
        <w:t>M</w:t>
      </w:r>
      <w:r w:rsidR="00C07034">
        <w:t>erger</w:t>
      </w:r>
      <w:r w:rsidR="00C704C0">
        <w:t xml:space="preserve"> &amp; Authorisation Review</w:t>
      </w:r>
    </w:p>
    <w:sectPr w:rsidR="00B41EB0" w:rsidRPr="00183300" w:rsidSect="00ED7E30">
      <w:footerReference w:type="default" r:id="rId12"/>
      <w:pgSz w:w="11907" w:h="16840" w:code="9"/>
      <w:pgMar w:top="1440" w:right="1440" w:bottom="1440" w:left="1440" w:header="1440" w:footer="1440" w:gutter="0"/>
      <w:paperSrc w:first="2" w:other="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09B" w:rsidRDefault="0098609B" w:rsidP="00595AF9">
      <w:r>
        <w:separator/>
      </w:r>
    </w:p>
  </w:endnote>
  <w:endnote w:type="continuationSeparator" w:id="0">
    <w:p w:rsidR="0098609B" w:rsidRDefault="0098609B" w:rsidP="0059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4C" w:rsidRDefault="00F7074C" w:rsidP="00ED7E30">
    <w:pPr>
      <w:pStyle w:val="Footer"/>
      <w:jc w:val="center"/>
    </w:pPr>
    <w:r>
      <w:fldChar w:fldCharType="begin"/>
    </w:r>
    <w:r>
      <w:instrText xml:space="preserve"> PAGE   \* MERGEFORMAT </w:instrText>
    </w:r>
    <w:r>
      <w:fldChar w:fldCharType="separate"/>
    </w:r>
    <w:r w:rsidR="00966C1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09B" w:rsidRDefault="0098609B" w:rsidP="00595AF9">
      <w:r>
        <w:separator/>
      </w:r>
    </w:p>
  </w:footnote>
  <w:footnote w:type="continuationSeparator" w:id="0">
    <w:p w:rsidR="0098609B" w:rsidRDefault="0098609B" w:rsidP="00595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1000"/>
    <w:multiLevelType w:val="hybridMultilevel"/>
    <w:tmpl w:val="EE34F4B0"/>
    <w:lvl w:ilvl="0" w:tplc="EBAE0044">
      <w:start w:val="1"/>
      <w:numFmt w:val="bullet"/>
      <w:lvlText w:val=""/>
      <w:lvlJc w:val="left"/>
      <w:pPr>
        <w:tabs>
          <w:tab w:val="num" w:pos="1429"/>
        </w:tabs>
        <w:ind w:left="1429" w:hanging="360"/>
      </w:pPr>
      <w:rPr>
        <w:rFonts w:ascii="Wingdings" w:hAnsi="Wingdings"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6A80EA5"/>
    <w:multiLevelType w:val="hybridMultilevel"/>
    <w:tmpl w:val="E9922E58"/>
    <w:lvl w:ilvl="0" w:tplc="53123272">
      <w:start w:val="1"/>
      <w:numFmt w:val="bullet"/>
      <w:lvlText w:val=""/>
      <w:lvlJc w:val="left"/>
      <w:pPr>
        <w:tabs>
          <w:tab w:val="num" w:pos="720"/>
        </w:tabs>
        <w:ind w:left="720" w:hanging="360"/>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31967340"/>
    <w:multiLevelType w:val="hybridMultilevel"/>
    <w:tmpl w:val="678244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71C97223"/>
    <w:multiLevelType w:val="singleLevel"/>
    <w:tmpl w:val="823A5E9E"/>
    <w:lvl w:ilvl="0">
      <w:start w:val="1"/>
      <w:numFmt w:val="bullet"/>
      <w:lvlText w:val=""/>
      <w:lvlJc w:val="left"/>
      <w:pPr>
        <w:tabs>
          <w:tab w:val="num" w:pos="360"/>
        </w:tabs>
        <w:ind w:left="360" w:hanging="360"/>
      </w:pPr>
      <w:rPr>
        <w:rFonts w:ascii="Wingdings" w:hAnsi="Wingdings" w:hint="default"/>
        <w:sz w:val="19"/>
      </w:rPr>
    </w:lvl>
  </w:abstractNum>
  <w:abstractNum w:abstractNumId="4">
    <w:nsid w:val="7C692774"/>
    <w:multiLevelType w:val="hybridMultilevel"/>
    <w:tmpl w:val="A81261A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7FA651AF"/>
    <w:multiLevelType w:val="hybridMultilevel"/>
    <w:tmpl w:val="D36A1E1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5"/>
  <w:printFractionalCharacterWidth/>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63"/>
  <w:displayHorizontalDrawingGridEvery w:val="0"/>
  <w:displayVerticalDrawingGridEvery w:val="2"/>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urrentname" w:val="\\cdchnas-evs02\home$\bblan\Print Que\ACCC to Interested Parties re Final Determination and Informal Merger Review - 28.08.15 - word version for PR.docx"/>
  </w:docVars>
  <w:rsids>
    <w:rsidRoot w:val="00436674"/>
    <w:rsid w:val="00017689"/>
    <w:rsid w:val="00050218"/>
    <w:rsid w:val="000B2CEE"/>
    <w:rsid w:val="000F00AB"/>
    <w:rsid w:val="000F386F"/>
    <w:rsid w:val="000F4E17"/>
    <w:rsid w:val="001033D4"/>
    <w:rsid w:val="00117FE7"/>
    <w:rsid w:val="00127F7C"/>
    <w:rsid w:val="00142AD3"/>
    <w:rsid w:val="0014739E"/>
    <w:rsid w:val="001510D9"/>
    <w:rsid w:val="00165112"/>
    <w:rsid w:val="00182BEB"/>
    <w:rsid w:val="00183300"/>
    <w:rsid w:val="00220A73"/>
    <w:rsid w:val="00225A15"/>
    <w:rsid w:val="00234302"/>
    <w:rsid w:val="0029449B"/>
    <w:rsid w:val="002C2525"/>
    <w:rsid w:val="003512DC"/>
    <w:rsid w:val="003B42CF"/>
    <w:rsid w:val="003C28CB"/>
    <w:rsid w:val="003F281D"/>
    <w:rsid w:val="003F5F70"/>
    <w:rsid w:val="00412E06"/>
    <w:rsid w:val="00436674"/>
    <w:rsid w:val="00464232"/>
    <w:rsid w:val="0048193D"/>
    <w:rsid w:val="004C70DE"/>
    <w:rsid w:val="004D4C6C"/>
    <w:rsid w:val="004F26A0"/>
    <w:rsid w:val="00514A9F"/>
    <w:rsid w:val="00537F27"/>
    <w:rsid w:val="00553C8F"/>
    <w:rsid w:val="00595AF9"/>
    <w:rsid w:val="005971C0"/>
    <w:rsid w:val="005A6BA1"/>
    <w:rsid w:val="00612A98"/>
    <w:rsid w:val="00621059"/>
    <w:rsid w:val="0064050F"/>
    <w:rsid w:val="0064100F"/>
    <w:rsid w:val="00644F4F"/>
    <w:rsid w:val="00645FEB"/>
    <w:rsid w:val="006862B7"/>
    <w:rsid w:val="00686B1E"/>
    <w:rsid w:val="006E5A08"/>
    <w:rsid w:val="007307E3"/>
    <w:rsid w:val="007359A4"/>
    <w:rsid w:val="0076153A"/>
    <w:rsid w:val="007638E5"/>
    <w:rsid w:val="007645D8"/>
    <w:rsid w:val="007809BE"/>
    <w:rsid w:val="00780FDA"/>
    <w:rsid w:val="007A621E"/>
    <w:rsid w:val="007B7118"/>
    <w:rsid w:val="007D3A25"/>
    <w:rsid w:val="007F7A24"/>
    <w:rsid w:val="00862ED1"/>
    <w:rsid w:val="008643A2"/>
    <w:rsid w:val="00881175"/>
    <w:rsid w:val="00891861"/>
    <w:rsid w:val="008B47EC"/>
    <w:rsid w:val="008C1F44"/>
    <w:rsid w:val="008C6B87"/>
    <w:rsid w:val="008D449A"/>
    <w:rsid w:val="008F7C4F"/>
    <w:rsid w:val="0095694C"/>
    <w:rsid w:val="00964891"/>
    <w:rsid w:val="00966C11"/>
    <w:rsid w:val="00974313"/>
    <w:rsid w:val="00982100"/>
    <w:rsid w:val="0098609B"/>
    <w:rsid w:val="009D210E"/>
    <w:rsid w:val="009E04F5"/>
    <w:rsid w:val="00A074A8"/>
    <w:rsid w:val="00A231A0"/>
    <w:rsid w:val="00A23366"/>
    <w:rsid w:val="00A25817"/>
    <w:rsid w:val="00A63001"/>
    <w:rsid w:val="00A80A0C"/>
    <w:rsid w:val="00AA5ACE"/>
    <w:rsid w:val="00AF1E04"/>
    <w:rsid w:val="00B36DB0"/>
    <w:rsid w:val="00B41EB0"/>
    <w:rsid w:val="00B507D2"/>
    <w:rsid w:val="00B83450"/>
    <w:rsid w:val="00BB244B"/>
    <w:rsid w:val="00C02526"/>
    <w:rsid w:val="00C03216"/>
    <w:rsid w:val="00C07034"/>
    <w:rsid w:val="00C156CB"/>
    <w:rsid w:val="00C41A63"/>
    <w:rsid w:val="00C6401D"/>
    <w:rsid w:val="00C704C0"/>
    <w:rsid w:val="00C856BE"/>
    <w:rsid w:val="00C96BF9"/>
    <w:rsid w:val="00C96CA1"/>
    <w:rsid w:val="00CD7CE1"/>
    <w:rsid w:val="00CF6DA5"/>
    <w:rsid w:val="00D060C3"/>
    <w:rsid w:val="00D30E95"/>
    <w:rsid w:val="00D50AB5"/>
    <w:rsid w:val="00D55565"/>
    <w:rsid w:val="00D84B41"/>
    <w:rsid w:val="00DA3301"/>
    <w:rsid w:val="00DE39C5"/>
    <w:rsid w:val="00E26E8B"/>
    <w:rsid w:val="00E40F89"/>
    <w:rsid w:val="00E57B5E"/>
    <w:rsid w:val="00E90B9A"/>
    <w:rsid w:val="00E91043"/>
    <w:rsid w:val="00E92393"/>
    <w:rsid w:val="00EB7321"/>
    <w:rsid w:val="00EC1E4B"/>
    <w:rsid w:val="00ED7E30"/>
    <w:rsid w:val="00EE41FA"/>
    <w:rsid w:val="00EF5AAF"/>
    <w:rsid w:val="00EF7ABC"/>
    <w:rsid w:val="00F26788"/>
    <w:rsid w:val="00F471E9"/>
    <w:rsid w:val="00F527D6"/>
    <w:rsid w:val="00F7074C"/>
    <w:rsid w:val="00F86BC7"/>
    <w:rsid w:val="00FD00ED"/>
    <w:rsid w:val="00FD4731"/>
    <w:rsid w:val="00FE463F"/>
    <w:rsid w:val="00FF6B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Salutation" w:qFormat="1"/>
    <w:lsdException w:name="Dat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95AF9"/>
    <w:pPr>
      <w:spacing w:before="120" w:after="120"/>
    </w:pPr>
    <w:rPr>
      <w:rFonts w:ascii="Arial" w:hAnsi="Arial" w:cs="Arial"/>
      <w:sz w:val="22"/>
      <w:szCs w:val="22"/>
      <w:lang w:val="en-GB"/>
    </w:rPr>
  </w:style>
  <w:style w:type="paragraph" w:styleId="Heading1">
    <w:name w:val="heading 1"/>
    <w:basedOn w:val="Normal"/>
    <w:next w:val="Normal"/>
    <w:link w:val="Heading1Char"/>
    <w:qFormat/>
    <w:rsid w:val="00165112"/>
    <w:pPr>
      <w:outlineLvl w:val="0"/>
    </w:pPr>
    <w:rPr>
      <w:b/>
    </w:rPr>
  </w:style>
  <w:style w:type="paragraph" w:styleId="Heading2">
    <w:name w:val="heading 2"/>
    <w:basedOn w:val="Normal"/>
    <w:next w:val="Normal"/>
    <w:link w:val="Heading2Char"/>
    <w:uiPriority w:val="9"/>
    <w:unhideWhenUsed/>
    <w:qFormat/>
    <w:rsid w:val="00974313"/>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19"/>
        <w:tab w:val="right" w:pos="9071"/>
      </w:tabs>
    </w:pPr>
  </w:style>
  <w:style w:type="paragraph" w:styleId="BodyText3">
    <w:name w:val="Body Text 3"/>
    <w:basedOn w:val="Normal"/>
    <w:rsid w:val="003512DC"/>
    <w:pPr>
      <w:jc w:val="both"/>
    </w:pPr>
    <w:rPr>
      <w:rFonts w:ascii="Times New Roman" w:hAnsi="Times New Roman"/>
      <w:lang w:val="en-AU"/>
    </w:rPr>
  </w:style>
  <w:style w:type="character" w:styleId="Hyperlink">
    <w:name w:val="Hyperlink"/>
    <w:basedOn w:val="DefaultParagraphFont"/>
    <w:rsid w:val="00DE39C5"/>
    <w:rPr>
      <w:color w:val="0000FF"/>
      <w:u w:val="single"/>
    </w:rPr>
  </w:style>
  <w:style w:type="character" w:styleId="FollowedHyperlink">
    <w:name w:val="FollowedHyperlink"/>
    <w:basedOn w:val="DefaultParagraphFont"/>
    <w:rsid w:val="00DE39C5"/>
    <w:rPr>
      <w:color w:val="800080"/>
      <w:u w:val="single"/>
    </w:rPr>
  </w:style>
  <w:style w:type="paragraph" w:styleId="BalloonText">
    <w:name w:val="Balloon Text"/>
    <w:basedOn w:val="Normal"/>
    <w:semiHidden/>
    <w:rPr>
      <w:rFonts w:ascii="Tahoma" w:hAnsi="Tahoma" w:cs="Tahoma"/>
      <w:sz w:val="16"/>
      <w:szCs w:val="16"/>
    </w:rPr>
  </w:style>
  <w:style w:type="paragraph" w:customStyle="1" w:styleId="CharCharCharChar">
    <w:name w:val="Char Char Char Char"/>
    <w:basedOn w:val="Normal"/>
    <w:semiHidden/>
    <w:rsid w:val="0029449B"/>
    <w:pPr>
      <w:spacing w:after="160" w:line="240" w:lineRule="exact"/>
    </w:pPr>
    <w:rPr>
      <w:rFonts w:ascii="Tahoma" w:eastAsia="PMingLiU" w:hAnsi="Tahoma"/>
      <w:sz w:val="20"/>
      <w:lang w:val="en-US" w:eastAsia="en-US"/>
    </w:rPr>
  </w:style>
  <w:style w:type="paragraph" w:customStyle="1" w:styleId="CharCharCharChar0">
    <w:name w:val="Char Char Char Char"/>
    <w:basedOn w:val="Normal"/>
    <w:semiHidden/>
    <w:rsid w:val="0029449B"/>
    <w:pPr>
      <w:spacing w:after="160" w:line="240" w:lineRule="exact"/>
    </w:pPr>
    <w:rPr>
      <w:rFonts w:ascii="Tahoma" w:eastAsia="PMingLiU" w:hAnsi="Tahoma"/>
      <w:sz w:val="20"/>
      <w:lang w:val="en-US" w:eastAsia="en-US"/>
    </w:rPr>
  </w:style>
  <w:style w:type="table" w:styleId="TableGrid">
    <w:name w:val="Table Grid"/>
    <w:basedOn w:val="TableNormal"/>
    <w:rsid w:val="008C1F4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senderblock">
    <w:name w:val="Contact sender block"/>
    <w:qFormat/>
    <w:rsid w:val="00165112"/>
    <w:pPr>
      <w:spacing w:before="1080"/>
    </w:pPr>
    <w:rPr>
      <w:rFonts w:ascii="Arial" w:hAnsi="Arial" w:cs="Arial"/>
      <w:lang w:val="en-GB"/>
    </w:rPr>
  </w:style>
  <w:style w:type="character" w:customStyle="1" w:styleId="Heading1Char">
    <w:name w:val="Heading 1 Char"/>
    <w:basedOn w:val="DefaultParagraphFont"/>
    <w:link w:val="Heading1"/>
    <w:rsid w:val="00165112"/>
    <w:rPr>
      <w:rFonts w:ascii="Arial" w:hAnsi="Arial" w:cs="Arial"/>
      <w:b/>
      <w:sz w:val="22"/>
      <w:szCs w:val="22"/>
      <w:lang w:val="en-GB"/>
    </w:rPr>
  </w:style>
  <w:style w:type="paragraph" w:customStyle="1" w:styleId="AddressBlock">
    <w:name w:val="Address Block"/>
    <w:qFormat/>
    <w:rsid w:val="007307E3"/>
    <w:rPr>
      <w:rFonts w:ascii="Arial" w:hAnsi="Arial" w:cs="Arial"/>
      <w:sz w:val="22"/>
      <w:szCs w:val="22"/>
      <w:lang w:val="en-GB"/>
    </w:rPr>
  </w:style>
  <w:style w:type="paragraph" w:styleId="Date">
    <w:name w:val="Date"/>
    <w:next w:val="Normal"/>
    <w:link w:val="DateChar"/>
    <w:qFormat/>
    <w:rsid w:val="007307E3"/>
    <w:pPr>
      <w:spacing w:before="360" w:after="360"/>
    </w:pPr>
    <w:rPr>
      <w:rFonts w:ascii="Arial" w:hAnsi="Arial" w:cs="Arial"/>
      <w:sz w:val="22"/>
      <w:szCs w:val="22"/>
      <w:lang w:val="en-GB"/>
    </w:rPr>
  </w:style>
  <w:style w:type="character" w:customStyle="1" w:styleId="DateChar">
    <w:name w:val="Date Char"/>
    <w:basedOn w:val="DefaultParagraphFont"/>
    <w:link w:val="Date"/>
    <w:rsid w:val="007307E3"/>
    <w:rPr>
      <w:rFonts w:ascii="Arial" w:hAnsi="Arial" w:cs="Arial"/>
      <w:sz w:val="22"/>
      <w:szCs w:val="22"/>
      <w:lang w:val="en-GB" w:eastAsia="en-AU" w:bidi="ar-SA"/>
    </w:rPr>
  </w:style>
  <w:style w:type="character" w:styleId="CommentReference">
    <w:name w:val="annotation reference"/>
    <w:basedOn w:val="DefaultParagraphFont"/>
    <w:rsid w:val="00974313"/>
    <w:rPr>
      <w:sz w:val="16"/>
      <w:szCs w:val="16"/>
    </w:rPr>
  </w:style>
  <w:style w:type="paragraph" w:styleId="Salutation">
    <w:name w:val="Salutation"/>
    <w:basedOn w:val="Normal"/>
    <w:next w:val="Normal"/>
    <w:link w:val="SalutationChar"/>
    <w:qFormat/>
    <w:rsid w:val="007307E3"/>
    <w:pPr>
      <w:spacing w:before="360" w:after="360"/>
    </w:pPr>
  </w:style>
  <w:style w:type="character" w:customStyle="1" w:styleId="SalutationChar">
    <w:name w:val="Salutation Char"/>
    <w:basedOn w:val="DefaultParagraphFont"/>
    <w:link w:val="Salutation"/>
    <w:rsid w:val="007307E3"/>
    <w:rPr>
      <w:rFonts w:ascii="Arial" w:hAnsi="Arial" w:cs="Arial"/>
      <w:sz w:val="22"/>
      <w:szCs w:val="22"/>
      <w:lang w:val="en-GB"/>
    </w:rPr>
  </w:style>
  <w:style w:type="character" w:customStyle="1" w:styleId="Heading2Char">
    <w:name w:val="Heading 2 Char"/>
    <w:basedOn w:val="DefaultParagraphFont"/>
    <w:link w:val="Heading2"/>
    <w:uiPriority w:val="9"/>
    <w:rsid w:val="00974313"/>
    <w:rPr>
      <w:rFonts w:ascii="Arial" w:hAnsi="Arial" w:cs="Arial"/>
      <w:b/>
      <w:lang w:val="en-GB"/>
    </w:rPr>
  </w:style>
  <w:style w:type="paragraph" w:styleId="CommentText">
    <w:name w:val="annotation text"/>
    <w:basedOn w:val="Normal"/>
    <w:link w:val="CommentTextChar"/>
    <w:rsid w:val="00974313"/>
    <w:pPr>
      <w:ind w:right="567"/>
    </w:pPr>
  </w:style>
  <w:style w:type="character" w:customStyle="1" w:styleId="CommentTextChar">
    <w:name w:val="Comment Text Char"/>
    <w:basedOn w:val="DefaultParagraphFont"/>
    <w:link w:val="CommentText"/>
    <w:rsid w:val="00974313"/>
    <w:rPr>
      <w:rFonts w:ascii="Arial" w:hAnsi="Arial" w:cs="Arial"/>
      <w:szCs w:val="22"/>
      <w:lang w:val="en-GB"/>
    </w:rPr>
  </w:style>
  <w:style w:type="paragraph" w:customStyle="1" w:styleId="SignatureBlock">
    <w:name w:val="Signature Block"/>
    <w:qFormat/>
    <w:rsid w:val="00183300"/>
    <w:rPr>
      <w:rFonts w:ascii="Arial" w:hAnsi="Arial" w:cs="Arial"/>
      <w:sz w:val="22"/>
      <w:szCs w:val="22"/>
      <w:lang w:val="en-GB"/>
    </w:rPr>
  </w:style>
  <w:style w:type="paragraph" w:styleId="Header">
    <w:name w:val="header"/>
    <w:basedOn w:val="Normal"/>
    <w:link w:val="HeaderChar"/>
    <w:rsid w:val="00F7074C"/>
    <w:pPr>
      <w:tabs>
        <w:tab w:val="center" w:pos="4513"/>
        <w:tab w:val="right" w:pos="9026"/>
      </w:tabs>
    </w:pPr>
  </w:style>
  <w:style w:type="character" w:customStyle="1" w:styleId="HeaderChar">
    <w:name w:val="Header Char"/>
    <w:basedOn w:val="DefaultParagraphFont"/>
    <w:link w:val="Header"/>
    <w:rsid w:val="00F7074C"/>
    <w:rPr>
      <w:rFonts w:ascii="Arial" w:hAnsi="Arial" w:cs="Arial"/>
      <w:lang w:val="en-GB"/>
    </w:rPr>
  </w:style>
  <w:style w:type="character" w:customStyle="1" w:styleId="FooterChar">
    <w:name w:val="Footer Char"/>
    <w:basedOn w:val="DefaultParagraphFont"/>
    <w:link w:val="Footer"/>
    <w:uiPriority w:val="99"/>
    <w:rsid w:val="00F7074C"/>
    <w:rPr>
      <w:rFonts w:ascii="Arial" w:hAnsi="Arial" w:cs="Arial"/>
      <w:lang w:val="en-GB"/>
    </w:rPr>
  </w:style>
  <w:style w:type="paragraph" w:customStyle="1" w:styleId="Default">
    <w:name w:val="Default"/>
    <w:rsid w:val="00A80A0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46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vid.hatfield@accc.gov.au" TargetMode="External"/><Relationship Id="rId5" Type="http://schemas.openxmlformats.org/officeDocument/2006/relationships/webSettings" Target="webSettings.xml"/><Relationship Id="rId10" Type="http://schemas.openxmlformats.org/officeDocument/2006/relationships/hyperlink" Target="mailto:jaime.martin@accc.gov.au" TargetMode="External"/><Relationship Id="rId4" Type="http://schemas.openxmlformats.org/officeDocument/2006/relationships/settings" Target="settings.xml"/><Relationship Id="rId9" Type="http://schemas.openxmlformats.org/officeDocument/2006/relationships/hyperlink" Target="http://registers.accc.gov.au/content/index.phtml/itemId/1184805/fromItemId/75099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E3F0E2F5</Template>
  <TotalTime>2</TotalTime>
  <Pages>2</Pages>
  <Words>454</Words>
  <Characters>2601</Characters>
  <Application>Microsoft Office Word</Application>
  <DocSecurity>2</DocSecurity>
  <Lines>21</Lines>
  <Paragraphs>6</Paragraphs>
  <ScaleCrop>false</ScaleCrop>
  <HeadingPairs>
    <vt:vector size="2" baseType="variant">
      <vt:variant>
        <vt:lpstr>Title</vt:lpstr>
      </vt:variant>
      <vt:variant>
        <vt:i4>1</vt:i4>
      </vt:variant>
    </vt:vector>
  </HeadingPairs>
  <TitlesOfParts>
    <vt:vector size="1" baseType="lpstr">
      <vt:lpstr>ACCC Letter Template</vt:lpstr>
    </vt:vector>
  </TitlesOfParts>
  <Company>Trade Practices Commission</Company>
  <LinksUpToDate>false</LinksUpToDate>
  <CharactersWithSpaces>3049</CharactersWithSpaces>
  <SharedDoc>false</SharedDoc>
  <HLinks>
    <vt:vector size="6" baseType="variant">
      <vt:variant>
        <vt:i4>7536758</vt:i4>
      </vt:variant>
      <vt:variant>
        <vt:i4>0</vt:i4>
      </vt:variant>
      <vt:variant>
        <vt:i4>0</vt:i4>
      </vt:variant>
      <vt:variant>
        <vt:i4>5</vt:i4>
      </vt:variant>
      <vt:variant>
        <vt:lpwstr>http://www.accc.gov.au/content/search/click.cgi?rank=1&amp;collection=allsites-meta&amp;url=http%3A%2F%2Fwww.accc.gov.au%2Fcontent%2Fitem.phtml%3FitemId%3D776053%26nodeId%3D550d00cec4ac7dea5224d704fd2be281%26fn%3DGuidelines%2520for%2520excluding%2520information%2520from%2520public%2520register.pdf&amp;index_url=http%3A%2F%2Fwww.accc.gov.au%2Fcontent%2Fitem.phtml%3FitemId%3D776053%26nodeId%3D550d00cec4ac7dea5224d704fd2be281%26fn%3DGuidelines%2520for%2520excluding%2520information%2520from%2520public%2520register.pdf&amp;auth=JMSX2bEJvdNqTLov02ompA&amp;search_referer=&amp;query=exclusion%20from%20public%20register%20%7CC%3AacccPublication%20%7CI%3A7910&amp;identifier=1347259587.00726%20(guidelines%20are%20attach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ACCC Letter Template</dc:title>
  <dc:creator>MGree</dc:creator>
  <cp:lastModifiedBy>Blanch, Belinda</cp:lastModifiedBy>
  <cp:revision>3</cp:revision>
  <cp:lastPrinted>2015-08-27T07:14:00Z</cp:lastPrinted>
  <dcterms:created xsi:type="dcterms:W3CDTF">2015-08-27T07:13:00Z</dcterms:created>
  <dcterms:modified xsi:type="dcterms:W3CDTF">2015-08-27T07:14:00Z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MVA draft determination letters</vt:lpwstr>
  </property>
  <property fmtid="{D5CDD505-2E9C-101B-9397-08002B2CF9AE}" pid="4" name="_AuthorEmail">
    <vt:lpwstr>gavin.jones@ACCC.GOV.AU</vt:lpwstr>
  </property>
  <property fmtid="{D5CDD505-2E9C-101B-9397-08002B2CF9AE}" pid="5" name="_AuthorEmailDisplayName">
    <vt:lpwstr>Jones, Gavin</vt:lpwstr>
  </property>
  <property fmtid="{D5CDD505-2E9C-101B-9397-08002B2CF9AE}" pid="6" name="_PreviousAdHocReviewCycleID">
    <vt:i4>431531894</vt:i4>
  </property>
</Properties>
</file>