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0" w:rsidRPr="008C293A" w:rsidRDefault="007D6FDE" w:rsidP="004D6358">
      <w:pPr>
        <w:pStyle w:val="ContactSenderBlock"/>
        <w:tabs>
          <w:tab w:val="left" w:pos="1985"/>
        </w:tabs>
        <w:spacing w:before="600"/>
      </w:pPr>
      <w:bookmarkStart w:id="0" w:name="Salutation"/>
      <w:bookmarkStart w:id="1" w:name="OLE_LINK7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Australian Competition &amp; Consumer Commission&#10;&#10;GPO Box 3131&#10;Canberra ACT 2601&#10;&#10;23 Marcus Clarke Street&#10;Canberra ACT 2601&#10;&#10;tel: (02) 6243 1111&#10;fax: (02) 6243 1199&#10;&#10;www.accc.gov.au" style="position:absolute;margin-left:305pt;margin-top:2.35pt;width:4in;height:224.25pt;z-index:-251658752;mso-position-horizontal-relative:page;mso-position-vertical-relative:page">
            <v:imagedata r:id="rId9" o:title="ACTcol"/>
            <w10:wrap anchorx="page" anchory="page"/>
          </v:shape>
        </w:pict>
      </w:r>
      <w:r w:rsidR="002C3CE0" w:rsidRPr="008C293A">
        <w:t>Our Ref:</w:t>
      </w:r>
      <w:bookmarkStart w:id="2" w:name="FileNo"/>
      <w:bookmarkEnd w:id="2"/>
      <w:r w:rsidR="002C3CE0">
        <w:tab/>
      </w:r>
      <w:r w:rsidR="00740D85" w:rsidRPr="00F47812">
        <w:t>56245</w:t>
      </w:r>
      <w:r w:rsidR="002C3CE0">
        <w:br/>
      </w:r>
      <w:r w:rsidR="002C3CE0" w:rsidRPr="008C293A">
        <w:t>Contact Officer:</w:t>
      </w:r>
      <w:bookmarkStart w:id="3" w:name="Contact"/>
      <w:bookmarkEnd w:id="3"/>
      <w:r w:rsidR="002C3CE0">
        <w:tab/>
        <w:t>Tanya Hobbs</w:t>
      </w:r>
      <w:r w:rsidR="004D6358">
        <w:t>,</w:t>
      </w:r>
      <w:r w:rsidR="002C3CE0">
        <w:t xml:space="preserve"> Georgina Brett</w:t>
      </w:r>
      <w:r w:rsidR="002C3CE0">
        <w:br/>
      </w:r>
      <w:r w:rsidR="002C3CE0" w:rsidRPr="008C293A">
        <w:t>Contact Phone:</w:t>
      </w:r>
      <w:bookmarkStart w:id="4" w:name="Phone"/>
      <w:bookmarkEnd w:id="4"/>
      <w:r w:rsidR="002C3CE0">
        <w:tab/>
        <w:t>02 6243 1029, 03 9</w:t>
      </w:r>
      <w:r w:rsidR="002F2D3C">
        <w:t>658</w:t>
      </w:r>
      <w:r w:rsidR="002C3CE0">
        <w:t xml:space="preserve"> 6439</w:t>
      </w:r>
    </w:p>
    <w:p w:rsidR="002C3CE0" w:rsidRPr="000A5CFD" w:rsidRDefault="002C3CE0" w:rsidP="004D6358">
      <w:pPr>
        <w:pStyle w:val="Date"/>
        <w:spacing w:before="240" w:after="240"/>
      </w:pPr>
      <w:bookmarkStart w:id="5" w:name="Date"/>
      <w:bookmarkEnd w:id="5"/>
      <w:r>
        <w:t>19 November 2014</w:t>
      </w:r>
    </w:p>
    <w:p w:rsidR="00561CF1" w:rsidRDefault="002C3CE0" w:rsidP="002C3CE0">
      <w:pPr>
        <w:spacing w:before="0" w:after="0"/>
      </w:pPr>
      <w:r>
        <w:t>Anna Pritchard</w:t>
      </w:r>
    </w:p>
    <w:p w:rsidR="002C3CE0" w:rsidRDefault="002C3CE0" w:rsidP="002C3CE0">
      <w:pPr>
        <w:spacing w:before="0" w:after="0"/>
      </w:pPr>
      <w:r>
        <w:t>Head of Legal - Competition</w:t>
      </w:r>
    </w:p>
    <w:p w:rsidR="002C3CE0" w:rsidRDefault="002C3CE0" w:rsidP="002C3CE0">
      <w:pPr>
        <w:spacing w:before="0" w:after="0"/>
      </w:pPr>
      <w:r>
        <w:t>Qantas Airways Limited</w:t>
      </w:r>
    </w:p>
    <w:p w:rsidR="00561CF1" w:rsidRDefault="007D6FDE" w:rsidP="004D6358">
      <w:pPr>
        <w:spacing w:before="0" w:after="240"/>
        <w:rPr>
          <w:i/>
        </w:rPr>
      </w:pPr>
      <w:hyperlink r:id="rId10" w:history="1">
        <w:r w:rsidR="002C3CE0" w:rsidRPr="000647EC">
          <w:rPr>
            <w:rStyle w:val="Hyperlink"/>
            <w:i/>
          </w:rPr>
          <w:t>annapritchard@qantas.com.au</w:t>
        </w:r>
      </w:hyperlink>
    </w:p>
    <w:p w:rsidR="002C3CE0" w:rsidRDefault="002C3CE0" w:rsidP="004D6358">
      <w:pPr>
        <w:spacing w:before="0" w:after="0"/>
      </w:pPr>
      <w:proofErr w:type="spellStart"/>
      <w:r>
        <w:t>Guo</w:t>
      </w:r>
      <w:proofErr w:type="spellEnd"/>
      <w:r>
        <w:t xml:space="preserve"> </w:t>
      </w:r>
      <w:proofErr w:type="spellStart"/>
      <w:r>
        <w:t>Lijun</w:t>
      </w:r>
      <w:proofErr w:type="spellEnd"/>
    </w:p>
    <w:p w:rsidR="002C3CE0" w:rsidRDefault="002C3CE0" w:rsidP="002C3CE0">
      <w:pPr>
        <w:spacing w:before="0" w:after="0"/>
      </w:pPr>
      <w:r>
        <w:t>General Counsel</w:t>
      </w:r>
    </w:p>
    <w:p w:rsidR="002C3CE0" w:rsidRDefault="002C3CE0" w:rsidP="004D6358">
      <w:pPr>
        <w:spacing w:before="0" w:after="0"/>
      </w:pPr>
      <w:r>
        <w:t>China Eastern Airlines Corporation Limited</w:t>
      </w:r>
    </w:p>
    <w:p w:rsidR="002C3CE0" w:rsidRPr="002C3CE0" w:rsidRDefault="007D6FDE" w:rsidP="004D6358">
      <w:pPr>
        <w:spacing w:before="0" w:after="240"/>
        <w:rPr>
          <w:i/>
        </w:rPr>
      </w:pPr>
      <w:hyperlink r:id="rId11" w:history="1">
        <w:r w:rsidR="002C3CE0" w:rsidRPr="002C3CE0">
          <w:rPr>
            <w:rStyle w:val="Hyperlink"/>
            <w:i/>
          </w:rPr>
          <w:t>ztao@ceair.com</w:t>
        </w:r>
      </w:hyperlink>
    </w:p>
    <w:p w:rsidR="00436674" w:rsidRPr="000A5CFD" w:rsidRDefault="00D63E84" w:rsidP="004D6358">
      <w:pPr>
        <w:pStyle w:val="Salutation1"/>
        <w:spacing w:before="120" w:after="240"/>
        <w:rPr>
          <w:rStyle w:val="SubtleReference"/>
          <w:smallCaps w:val="0"/>
          <w:color w:val="auto"/>
          <w:u w:val="none"/>
        </w:rPr>
      </w:pPr>
      <w:r w:rsidRPr="00104D17">
        <w:t>Dear</w:t>
      </w:r>
      <w:r w:rsidR="00561CF1">
        <w:t xml:space="preserve"> </w:t>
      </w:r>
      <w:r w:rsidR="002C3CE0">
        <w:t xml:space="preserve">Ms Pritchard and Mr </w:t>
      </w:r>
      <w:proofErr w:type="spellStart"/>
      <w:r w:rsidR="002C3CE0">
        <w:t>Guo</w:t>
      </w:r>
      <w:proofErr w:type="spellEnd"/>
    </w:p>
    <w:p w:rsidR="00740D85" w:rsidRPr="0042588F" w:rsidRDefault="00740D85" w:rsidP="004D6358">
      <w:pPr>
        <w:pStyle w:val="Heading1"/>
        <w:spacing w:before="0"/>
        <w:jc w:val="center"/>
      </w:pPr>
      <w:bookmarkStart w:id="6" w:name="Start"/>
      <w:bookmarkEnd w:id="1"/>
      <w:bookmarkEnd w:id="6"/>
      <w:r>
        <w:t xml:space="preserve">Qantas &amp; China Eastern </w:t>
      </w:r>
      <w:r w:rsidRPr="008C293A">
        <w:t>application</w:t>
      </w:r>
      <w:r>
        <w:t>s</w:t>
      </w:r>
      <w:r w:rsidRPr="0042588F">
        <w:t xml:space="preserve"> for authorisation </w:t>
      </w:r>
      <w:r w:rsidR="00153FC5" w:rsidRPr="00153FC5">
        <w:t>A91470</w:t>
      </w:r>
      <w:r w:rsidR="00153FC5">
        <w:t xml:space="preserve"> &amp; </w:t>
      </w:r>
      <w:r w:rsidR="00153FC5" w:rsidRPr="00153FC5">
        <w:t>A91471</w:t>
      </w:r>
      <w:r>
        <w:br/>
      </w:r>
      <w:r w:rsidRPr="0042588F">
        <w:t>– interested party consultation</w:t>
      </w:r>
    </w:p>
    <w:p w:rsidR="00421AC5" w:rsidRDefault="00561CF1" w:rsidP="000A5CFD">
      <w:r>
        <w:t>I refer to the above mentioned application</w:t>
      </w:r>
      <w:r w:rsidR="00C81EAD">
        <w:t>s</w:t>
      </w:r>
      <w:r>
        <w:t xml:space="preserve"> for authorisation lodged with the Australian Competition and Consumer Commission (the ACCC) </w:t>
      </w:r>
      <w:r w:rsidR="00FA6D89" w:rsidRPr="0042588F">
        <w:t xml:space="preserve">on </w:t>
      </w:r>
      <w:r w:rsidR="00740D85">
        <w:t>18</w:t>
      </w:r>
      <w:r w:rsidR="009B4108">
        <w:t xml:space="preserve"> November 2014</w:t>
      </w:r>
      <w:r w:rsidR="004D6358">
        <w:t xml:space="preserve"> by </w:t>
      </w:r>
      <w:r w:rsidR="004D6358" w:rsidRPr="004D6358">
        <w:t>Qantas Airways Limited &amp; China Eastern Airlines Corporation Limited</w:t>
      </w:r>
      <w:r w:rsidR="004D6358">
        <w:t xml:space="preserve"> (the Applicants)</w:t>
      </w:r>
      <w:r w:rsidR="00FA6D89" w:rsidRPr="0042588F">
        <w:t>.</w:t>
      </w:r>
    </w:p>
    <w:p w:rsidR="00740D85" w:rsidRPr="00740D85" w:rsidRDefault="00740D85" w:rsidP="004D6358">
      <w:pPr>
        <w:pStyle w:val="Heading2"/>
        <w:spacing w:after="0"/>
      </w:pPr>
      <w:r w:rsidRPr="00740D85">
        <w:t>Interested Party consultation</w:t>
      </w:r>
    </w:p>
    <w:p w:rsidR="00561CF1" w:rsidRDefault="00561CF1" w:rsidP="00561CF1">
      <w:r>
        <w:t xml:space="preserve">Please find enclosed, for your information, a copy of the letter the ACCC sent today to potentially interested parties as part of its public consultation process. </w:t>
      </w:r>
    </w:p>
    <w:p w:rsidR="00561CF1" w:rsidRDefault="00561CF1" w:rsidP="00561CF1">
      <w:r>
        <w:t xml:space="preserve">All publicly available submissions will be posted on the ACCC internet site at </w:t>
      </w:r>
      <w:hyperlink r:id="rId12" w:history="1">
        <w:r w:rsidRPr="00F65F07">
          <w:rPr>
            <w:rStyle w:val="Hyperlink"/>
            <w:szCs w:val="24"/>
          </w:rPr>
          <w:t>www.accc.gov.au/AuthorisationsRegister</w:t>
        </w:r>
      </w:hyperlink>
      <w:r w:rsidRPr="00F65F07">
        <w:t>.</w:t>
      </w:r>
      <w:r>
        <w:t xml:space="preserve"> Alternatively, at the end of the consultation period the ACCC can arrange for you to receive a copy of all publicly available submissions received in relation to the application.</w:t>
      </w:r>
    </w:p>
    <w:p w:rsidR="00CD42B1" w:rsidRPr="00CD42B1" w:rsidRDefault="00CD42B1" w:rsidP="004D6358">
      <w:pPr>
        <w:pStyle w:val="Heading2"/>
        <w:spacing w:after="0"/>
      </w:pPr>
      <w:r w:rsidRPr="00CD42B1">
        <w:t>Timetable</w:t>
      </w:r>
    </w:p>
    <w:p w:rsidR="00DB7BE3" w:rsidRPr="004E2C39" w:rsidRDefault="00CE41FF" w:rsidP="00F65F07">
      <w:r>
        <w:t>The ACCC will progress its assessment of the application in a timely manner. An indicative timetable is set out below for your information.</w:t>
      </w:r>
      <w:bookmarkStart w:id="7" w:name="OLE_LINK5"/>
      <w:bookmarkStart w:id="8" w:name="OLE_LINK6"/>
    </w:p>
    <w:tbl>
      <w:tblPr>
        <w:tblW w:w="872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41"/>
        <w:gridCol w:w="6784"/>
      </w:tblGrid>
      <w:tr w:rsidR="00740D85" w:rsidRPr="0083538E" w:rsidTr="004D6358">
        <w:trPr>
          <w:trHeight w:val="251"/>
          <w:tblHeader/>
          <w:jc w:val="center"/>
        </w:trPr>
        <w:tc>
          <w:tcPr>
            <w:tcW w:w="1941" w:type="dxa"/>
          </w:tcPr>
          <w:p w:rsidR="00740D85" w:rsidRPr="0083538E" w:rsidRDefault="00740D85" w:rsidP="004D6358">
            <w:pPr>
              <w:spacing w:before="100" w:after="100"/>
              <w:ind w:right="0"/>
              <w:rPr>
                <w:b/>
              </w:rPr>
            </w:pPr>
            <w:r w:rsidRPr="0083538E">
              <w:rPr>
                <w:b/>
              </w:rPr>
              <w:t>Indicative date</w:t>
            </w:r>
          </w:p>
        </w:tc>
        <w:tc>
          <w:tcPr>
            <w:tcW w:w="6784" w:type="dxa"/>
          </w:tcPr>
          <w:p w:rsidR="00740D85" w:rsidRPr="0083538E" w:rsidRDefault="00740D85" w:rsidP="004D6358">
            <w:pPr>
              <w:spacing w:before="100" w:after="100"/>
              <w:ind w:right="0"/>
              <w:rPr>
                <w:b/>
              </w:rPr>
            </w:pPr>
            <w:r w:rsidRPr="0083538E">
              <w:rPr>
                <w:b/>
              </w:rPr>
              <w:t>Stage in assessment process</w:t>
            </w:r>
          </w:p>
        </w:tc>
      </w:tr>
      <w:tr w:rsidR="00740D85" w:rsidTr="004D6358">
        <w:trPr>
          <w:trHeight w:val="365"/>
          <w:jc w:val="center"/>
        </w:trPr>
        <w:tc>
          <w:tcPr>
            <w:tcW w:w="1941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>
              <w:t>18 Nov 2014</w:t>
            </w:r>
          </w:p>
        </w:tc>
        <w:tc>
          <w:tcPr>
            <w:tcW w:w="6784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 w:rsidRPr="004B4D7A">
              <w:t>Lodgement of application</w:t>
            </w:r>
            <w:r>
              <w:t>s</w:t>
            </w:r>
            <w:r w:rsidRPr="004B4D7A">
              <w:t xml:space="preserve"> and supporting submission</w:t>
            </w:r>
            <w:r>
              <w:t>.</w:t>
            </w:r>
          </w:p>
        </w:tc>
      </w:tr>
      <w:tr w:rsidR="00740D85" w:rsidTr="004D6358">
        <w:trPr>
          <w:trHeight w:val="263"/>
          <w:jc w:val="center"/>
        </w:trPr>
        <w:tc>
          <w:tcPr>
            <w:tcW w:w="1941" w:type="dxa"/>
          </w:tcPr>
          <w:p w:rsidR="00740D85" w:rsidRDefault="00740D85" w:rsidP="004D6358">
            <w:pPr>
              <w:spacing w:before="40" w:after="40"/>
              <w:ind w:right="0"/>
            </w:pPr>
            <w:r>
              <w:t>19 Nov 2014</w:t>
            </w:r>
          </w:p>
        </w:tc>
        <w:tc>
          <w:tcPr>
            <w:tcW w:w="6784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>
              <w:t>Public consultation process begins.</w:t>
            </w:r>
          </w:p>
        </w:tc>
      </w:tr>
      <w:tr w:rsidR="00740D85" w:rsidTr="004D6358">
        <w:trPr>
          <w:trHeight w:val="282"/>
          <w:jc w:val="center"/>
        </w:trPr>
        <w:tc>
          <w:tcPr>
            <w:tcW w:w="1941" w:type="dxa"/>
          </w:tcPr>
          <w:p w:rsidR="00740D85" w:rsidRDefault="00740D85" w:rsidP="004D6358">
            <w:pPr>
              <w:spacing w:before="40" w:after="40"/>
              <w:ind w:right="0"/>
            </w:pPr>
            <w:r>
              <w:t>19 Dec 2014</w:t>
            </w:r>
          </w:p>
        </w:tc>
        <w:tc>
          <w:tcPr>
            <w:tcW w:w="6784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>
              <w:t>Closing date for submissions on the applications for authorisation.</w:t>
            </w:r>
          </w:p>
        </w:tc>
      </w:tr>
      <w:tr w:rsidR="00740D85" w:rsidTr="004D6358">
        <w:trPr>
          <w:trHeight w:val="361"/>
          <w:jc w:val="center"/>
        </w:trPr>
        <w:tc>
          <w:tcPr>
            <w:tcW w:w="1941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>
              <w:t>16 Jan 2015</w:t>
            </w:r>
          </w:p>
        </w:tc>
        <w:tc>
          <w:tcPr>
            <w:tcW w:w="6784" w:type="dxa"/>
          </w:tcPr>
          <w:p w:rsidR="00740D85" w:rsidRPr="004B4D7A" w:rsidRDefault="00740D85" w:rsidP="004D6358">
            <w:pPr>
              <w:tabs>
                <w:tab w:val="left" w:pos="5755"/>
              </w:tabs>
              <w:spacing w:before="40" w:after="40"/>
              <w:ind w:right="0"/>
            </w:pPr>
            <w:r>
              <w:t>Applicants</w:t>
            </w:r>
            <w:r w:rsidRPr="004B4D7A">
              <w:t xml:space="preserve"> respond to issues raised in the public consultation process</w:t>
            </w:r>
            <w:r>
              <w:t>.</w:t>
            </w:r>
          </w:p>
        </w:tc>
      </w:tr>
      <w:tr w:rsidR="00740D85" w:rsidTr="004D6358">
        <w:trPr>
          <w:jc w:val="center"/>
        </w:trPr>
        <w:tc>
          <w:tcPr>
            <w:tcW w:w="1941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>
              <w:t>Feb/Mar 2015</w:t>
            </w:r>
          </w:p>
        </w:tc>
        <w:tc>
          <w:tcPr>
            <w:tcW w:w="6784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 w:rsidRPr="004B4D7A">
              <w:t>Draft determination</w:t>
            </w:r>
            <w:r>
              <w:t>.</w:t>
            </w:r>
          </w:p>
        </w:tc>
      </w:tr>
      <w:tr w:rsidR="00740D85" w:rsidTr="004D6358">
        <w:trPr>
          <w:jc w:val="center"/>
        </w:trPr>
        <w:tc>
          <w:tcPr>
            <w:tcW w:w="1941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>
              <w:t>March 2015</w:t>
            </w:r>
          </w:p>
        </w:tc>
        <w:tc>
          <w:tcPr>
            <w:tcW w:w="6784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 w:rsidRPr="004B4D7A">
              <w:t>Public consultation on draft determination including any conference if called</w:t>
            </w:r>
            <w:r>
              <w:t>.</w:t>
            </w:r>
          </w:p>
        </w:tc>
      </w:tr>
      <w:tr w:rsidR="00740D85" w:rsidTr="004D6358">
        <w:trPr>
          <w:jc w:val="center"/>
        </w:trPr>
        <w:tc>
          <w:tcPr>
            <w:tcW w:w="1941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>
              <w:t>April/May 2015</w:t>
            </w:r>
          </w:p>
        </w:tc>
        <w:tc>
          <w:tcPr>
            <w:tcW w:w="6784" w:type="dxa"/>
          </w:tcPr>
          <w:p w:rsidR="00740D85" w:rsidRPr="004B4D7A" w:rsidRDefault="00740D85" w:rsidP="004D6358">
            <w:pPr>
              <w:spacing w:before="40" w:after="40"/>
              <w:ind w:right="0"/>
            </w:pPr>
            <w:r w:rsidRPr="004B4D7A">
              <w:t>Final determination</w:t>
            </w:r>
            <w:r>
              <w:t>.</w:t>
            </w:r>
          </w:p>
        </w:tc>
      </w:tr>
    </w:tbl>
    <w:bookmarkEnd w:id="7"/>
    <w:bookmarkEnd w:id="8"/>
    <w:p w:rsidR="004D6358" w:rsidRDefault="004D6358" w:rsidP="004D6358">
      <w:pPr>
        <w:pStyle w:val="Heading2"/>
        <w:spacing w:after="0"/>
      </w:pPr>
      <w:r>
        <w:lastRenderedPageBreak/>
        <w:t>Confidentiality request</w:t>
      </w:r>
    </w:p>
    <w:p w:rsidR="004D6358" w:rsidRPr="004D6358" w:rsidRDefault="004D6358" w:rsidP="004D6358">
      <w:r w:rsidRPr="004D6358">
        <w:t xml:space="preserve">I have considered </w:t>
      </w:r>
      <w:r w:rsidR="002B2177">
        <w:t>your</w:t>
      </w:r>
      <w:r>
        <w:t xml:space="preserve"> </w:t>
      </w:r>
      <w:r w:rsidRPr="004D6358">
        <w:t xml:space="preserve">request that </w:t>
      </w:r>
      <w:r>
        <w:t>the confidential version of the supporting submission to the applications</w:t>
      </w:r>
      <w:r w:rsidRPr="004D6358">
        <w:t xml:space="preserve"> be excluded from the ACCC’s public register.</w:t>
      </w:r>
    </w:p>
    <w:p w:rsidR="004D6358" w:rsidRPr="004D6358" w:rsidRDefault="004D6358" w:rsidP="004D6358">
      <w:r w:rsidRPr="004D6358">
        <w:t xml:space="preserve">As you are aware, the ACCC is generally required under section 89 of the </w:t>
      </w:r>
      <w:r w:rsidRPr="004D6358">
        <w:rPr>
          <w:i/>
        </w:rPr>
        <w:t>Competition and Consumer Act 2010</w:t>
      </w:r>
      <w:r w:rsidRPr="004D6358">
        <w:t xml:space="preserve"> (the Act) to place documents provided to it in relation to an application for authorisation</w:t>
      </w:r>
      <w:r>
        <w:t xml:space="preserve"> </w:t>
      </w:r>
      <w:r w:rsidRPr="004D6358">
        <w:t>on the ACCC’s public register. The Act provides that a person submitting a document in relation to an authorisation application</w:t>
      </w:r>
      <w:r>
        <w:t xml:space="preserve"> </w:t>
      </w:r>
      <w:r w:rsidRPr="004D6358">
        <w:t>may request that the document or parts thereof be excluded from the public register by reason of the nature of certain information contained in the document.</w:t>
      </w:r>
    </w:p>
    <w:p w:rsidR="004D6358" w:rsidRPr="004D6358" w:rsidRDefault="004D6358" w:rsidP="004D6358">
      <w:r w:rsidRPr="004D6358">
        <w:t xml:space="preserve">As a person authorised to make a decision for and on behalf of the ACCC in relation to such a request, I advise that the </w:t>
      </w:r>
      <w:r>
        <w:t>confidential version of the supporting submission to the applications</w:t>
      </w:r>
      <w:r w:rsidRPr="004D6358">
        <w:t xml:space="preserve"> will not be placed on the public register.</w:t>
      </w:r>
    </w:p>
    <w:p w:rsidR="004D6358" w:rsidRPr="004D6358" w:rsidRDefault="000D7695" w:rsidP="004D6358">
      <w:r>
        <w:t>T</w:t>
      </w:r>
      <w:r w:rsidRPr="00106793">
        <w:t xml:space="preserve">his letter </w:t>
      </w:r>
      <w:r>
        <w:t xml:space="preserve">has been </w:t>
      </w:r>
      <w:r w:rsidRPr="00106793">
        <w:t xml:space="preserve">placed on the ACCC’s public register. </w:t>
      </w:r>
      <w:r w:rsidR="004D6358" w:rsidRPr="004D6358">
        <w:t xml:space="preserve">I note that you also provided a public version of </w:t>
      </w:r>
      <w:r w:rsidR="002B2177">
        <w:t xml:space="preserve">your </w:t>
      </w:r>
      <w:r w:rsidR="00E11BDB">
        <w:t>supporting</w:t>
      </w:r>
      <w:r w:rsidR="004D6358" w:rsidRPr="004D6358">
        <w:t xml:space="preserve"> submission. This version will be placed on the public register in the form it was provided to the ACCC.</w:t>
      </w:r>
    </w:p>
    <w:p w:rsidR="00FA10FC" w:rsidRDefault="00106793" w:rsidP="00F65F07">
      <w:r w:rsidRPr="00106793">
        <w:t xml:space="preserve">If you </w:t>
      </w:r>
      <w:r w:rsidR="000D7695">
        <w:t xml:space="preserve">wish to discuss any aspect of this matter, </w:t>
      </w:r>
      <w:r w:rsidRPr="00106793">
        <w:t xml:space="preserve">please </w:t>
      </w:r>
      <w:r w:rsidR="000D7695">
        <w:t xml:space="preserve">do not hesitate to </w:t>
      </w:r>
      <w:r w:rsidRPr="00106793">
        <w:t xml:space="preserve">contact </w:t>
      </w:r>
      <w:r w:rsidR="00F539B6">
        <w:t>Tanya</w:t>
      </w:r>
      <w:r w:rsidR="002371B3">
        <w:t xml:space="preserve"> </w:t>
      </w:r>
      <w:r w:rsidR="00F539B6">
        <w:t xml:space="preserve">Hobbs </w:t>
      </w:r>
      <w:r w:rsidRPr="00106793">
        <w:t xml:space="preserve">on </w:t>
      </w:r>
      <w:r w:rsidR="00F539B6">
        <w:t>02 6243 1029</w:t>
      </w:r>
      <w:r w:rsidR="00B00111">
        <w:t xml:space="preserve"> or </w:t>
      </w:r>
      <w:r w:rsidR="00865046">
        <w:t>adjudication@accc.gov.au</w:t>
      </w:r>
      <w:r w:rsidR="00B00111">
        <w:t>.</w:t>
      </w:r>
    </w:p>
    <w:p w:rsidR="00436674" w:rsidRPr="00106793" w:rsidRDefault="00436674" w:rsidP="00F65F07">
      <w:r w:rsidRPr="00106793">
        <w:t>Yours sincerely</w:t>
      </w:r>
    </w:p>
    <w:p w:rsidR="008E349D" w:rsidRDefault="007D6FDE" w:rsidP="000A5CFD">
      <w:pPr>
        <w:pStyle w:val="AddressBlock"/>
      </w:pPr>
      <w:bookmarkStart w:id="9" w:name="Signature"/>
      <w:bookmarkStart w:id="10" w:name="OLE_LINK1"/>
      <w:bookmarkEnd w:id="9"/>
      <w:r>
        <w:t>[SIGNED]</w:t>
      </w:r>
    </w:p>
    <w:p w:rsidR="007D6FDE" w:rsidRDefault="007D6FDE" w:rsidP="000A5CFD">
      <w:pPr>
        <w:pStyle w:val="AddressBlock"/>
      </w:pPr>
      <w:bookmarkStart w:id="11" w:name="_GoBack"/>
      <w:bookmarkEnd w:id="11"/>
    </w:p>
    <w:p w:rsidR="00822EDF" w:rsidRDefault="00153FC5" w:rsidP="00630D26">
      <w:pPr>
        <w:pStyle w:val="Signatureblock"/>
      </w:pPr>
      <w:r>
        <w:t xml:space="preserve">Dr </w:t>
      </w:r>
      <w:r w:rsidR="00E11BDB">
        <w:t>Richard Chadwick</w:t>
      </w:r>
    </w:p>
    <w:p w:rsidR="00822EDF" w:rsidRDefault="00E11BDB" w:rsidP="00630D26">
      <w:pPr>
        <w:pStyle w:val="Signatureblock"/>
      </w:pPr>
      <w:r>
        <w:t>General Manager</w:t>
      </w:r>
    </w:p>
    <w:p w:rsidR="00822EDF" w:rsidRDefault="00822EDF" w:rsidP="00630D26">
      <w:pPr>
        <w:pStyle w:val="Signatureblock"/>
      </w:pPr>
      <w:r>
        <w:t>Adjudication Branch</w:t>
      </w:r>
    </w:p>
    <w:bookmarkEnd w:id="10"/>
    <w:sectPr w:rsidR="00822EDF" w:rsidSect="00104D17">
      <w:footerReference w:type="even" r:id="rId13"/>
      <w:footerReference w:type="default" r:id="rId14"/>
      <w:pgSz w:w="11907" w:h="16840" w:code="9"/>
      <w:pgMar w:top="1440" w:right="1440" w:bottom="1440" w:left="1440" w:header="1440" w:footer="144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45" w:rsidRDefault="001A7E45" w:rsidP="00F65F07">
      <w:r>
        <w:separator/>
      </w:r>
    </w:p>
  </w:endnote>
  <w:endnote w:type="continuationSeparator" w:id="0">
    <w:p w:rsidR="001A7E45" w:rsidRDefault="001A7E45" w:rsidP="00F6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83" w:rsidRDefault="00ED5683" w:rsidP="00F65F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683" w:rsidRDefault="00ED5683" w:rsidP="00F65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83" w:rsidRDefault="00ED5683" w:rsidP="000A5CFD">
    <w:pPr>
      <w:pStyle w:val="Footer"/>
      <w:jc w:val="right"/>
    </w:pPr>
    <w:r w:rsidRPr="000A5CFD">
      <w:rPr>
        <w:rStyle w:val="PageNumber"/>
      </w:rPr>
      <w:fldChar w:fldCharType="begin"/>
    </w:r>
    <w:r w:rsidRPr="000A5CFD">
      <w:rPr>
        <w:rStyle w:val="PageNumber"/>
      </w:rPr>
      <w:instrText xml:space="preserve">PAGE  </w:instrText>
    </w:r>
    <w:r w:rsidRPr="000A5CFD">
      <w:rPr>
        <w:rStyle w:val="PageNumber"/>
      </w:rPr>
      <w:fldChar w:fldCharType="separate"/>
    </w:r>
    <w:r w:rsidR="007D6FDE">
      <w:rPr>
        <w:rStyle w:val="PageNumber"/>
        <w:noProof/>
      </w:rPr>
      <w:t>2</w:t>
    </w:r>
    <w:r w:rsidRPr="000A5CF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45" w:rsidRDefault="001A7E45" w:rsidP="00F65F07">
      <w:r>
        <w:separator/>
      </w:r>
    </w:p>
  </w:footnote>
  <w:footnote w:type="continuationSeparator" w:id="0">
    <w:p w:rsidR="001A7E45" w:rsidRDefault="001A7E45" w:rsidP="00F6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A5"/>
    <w:multiLevelType w:val="hybridMultilevel"/>
    <w:tmpl w:val="E9922E58"/>
    <w:lvl w:ilvl="0" w:tplc="53123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02E48"/>
    <w:multiLevelType w:val="hybridMultilevel"/>
    <w:tmpl w:val="A33A9BA2"/>
    <w:lvl w:ilvl="0" w:tplc="D988D0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45629"/>
    <w:multiLevelType w:val="hybridMultilevel"/>
    <w:tmpl w:val="4C548D64"/>
    <w:lvl w:ilvl="0" w:tplc="C00E7E5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64556"/>
    <w:multiLevelType w:val="hybridMultilevel"/>
    <w:tmpl w:val="9342B2A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3556B"/>
    <w:multiLevelType w:val="hybridMultilevel"/>
    <w:tmpl w:val="5A68D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7F53"/>
    <w:multiLevelType w:val="hybridMultilevel"/>
    <w:tmpl w:val="76FE5D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811CBF"/>
    <w:multiLevelType w:val="hybridMultilevel"/>
    <w:tmpl w:val="11E27E02"/>
    <w:lvl w:ilvl="0" w:tplc="7DEE700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\\cdchnas-evs02\home$\bblan\Print Que\To Attach.DOCX"/>
  </w:docVars>
  <w:rsids>
    <w:rsidRoot w:val="00D63E84"/>
    <w:rsid w:val="00006334"/>
    <w:rsid w:val="00024608"/>
    <w:rsid w:val="00056D35"/>
    <w:rsid w:val="00070F31"/>
    <w:rsid w:val="00072B36"/>
    <w:rsid w:val="00073F4D"/>
    <w:rsid w:val="00085091"/>
    <w:rsid w:val="00085C1B"/>
    <w:rsid w:val="000950EF"/>
    <w:rsid w:val="000A5CFD"/>
    <w:rsid w:val="000C29CC"/>
    <w:rsid w:val="000D1688"/>
    <w:rsid w:val="000D7695"/>
    <w:rsid w:val="001034A8"/>
    <w:rsid w:val="00104D17"/>
    <w:rsid w:val="00105406"/>
    <w:rsid w:val="00106793"/>
    <w:rsid w:val="001217C5"/>
    <w:rsid w:val="00124423"/>
    <w:rsid w:val="001423EB"/>
    <w:rsid w:val="00153FC5"/>
    <w:rsid w:val="00160E9C"/>
    <w:rsid w:val="001636BC"/>
    <w:rsid w:val="00172070"/>
    <w:rsid w:val="001802FF"/>
    <w:rsid w:val="00181F15"/>
    <w:rsid w:val="00186F72"/>
    <w:rsid w:val="001A5BC4"/>
    <w:rsid w:val="001A7E45"/>
    <w:rsid w:val="001B07BF"/>
    <w:rsid w:val="001D3ED2"/>
    <w:rsid w:val="00233DE4"/>
    <w:rsid w:val="002371B3"/>
    <w:rsid w:val="00242341"/>
    <w:rsid w:val="0026798F"/>
    <w:rsid w:val="002762FF"/>
    <w:rsid w:val="002A2FA0"/>
    <w:rsid w:val="002B2177"/>
    <w:rsid w:val="002C3CE0"/>
    <w:rsid w:val="002D1CA0"/>
    <w:rsid w:val="002D2118"/>
    <w:rsid w:val="002F2D3C"/>
    <w:rsid w:val="002F36B5"/>
    <w:rsid w:val="00311F19"/>
    <w:rsid w:val="00322C37"/>
    <w:rsid w:val="00327832"/>
    <w:rsid w:val="00346933"/>
    <w:rsid w:val="00354505"/>
    <w:rsid w:val="0036168A"/>
    <w:rsid w:val="0039245F"/>
    <w:rsid w:val="003B0FE0"/>
    <w:rsid w:val="003D27EC"/>
    <w:rsid w:val="003D5A2B"/>
    <w:rsid w:val="003E0F1B"/>
    <w:rsid w:val="003E7D62"/>
    <w:rsid w:val="003F119C"/>
    <w:rsid w:val="0040386D"/>
    <w:rsid w:val="00421AC5"/>
    <w:rsid w:val="004221AC"/>
    <w:rsid w:val="0042588F"/>
    <w:rsid w:val="00436674"/>
    <w:rsid w:val="00454E3C"/>
    <w:rsid w:val="004917EB"/>
    <w:rsid w:val="0049542E"/>
    <w:rsid w:val="004A1014"/>
    <w:rsid w:val="004A7593"/>
    <w:rsid w:val="004B2E24"/>
    <w:rsid w:val="004B4352"/>
    <w:rsid w:val="004D5E5F"/>
    <w:rsid w:val="004D6358"/>
    <w:rsid w:val="004E2C39"/>
    <w:rsid w:val="004E36E8"/>
    <w:rsid w:val="004F3392"/>
    <w:rsid w:val="004F644C"/>
    <w:rsid w:val="00501AC7"/>
    <w:rsid w:val="00515DCD"/>
    <w:rsid w:val="00530FC5"/>
    <w:rsid w:val="00555CFC"/>
    <w:rsid w:val="00561CF1"/>
    <w:rsid w:val="00561F70"/>
    <w:rsid w:val="005707AB"/>
    <w:rsid w:val="00571816"/>
    <w:rsid w:val="005A1004"/>
    <w:rsid w:val="005B5918"/>
    <w:rsid w:val="005D54CC"/>
    <w:rsid w:val="005D5BE9"/>
    <w:rsid w:val="005F5FFD"/>
    <w:rsid w:val="00606B34"/>
    <w:rsid w:val="00621183"/>
    <w:rsid w:val="00624725"/>
    <w:rsid w:val="00630D26"/>
    <w:rsid w:val="00655CAE"/>
    <w:rsid w:val="00681738"/>
    <w:rsid w:val="006B50C5"/>
    <w:rsid w:val="006C2DB9"/>
    <w:rsid w:val="006C2E6D"/>
    <w:rsid w:val="006E539A"/>
    <w:rsid w:val="006E5425"/>
    <w:rsid w:val="0070072E"/>
    <w:rsid w:val="00700E49"/>
    <w:rsid w:val="00701207"/>
    <w:rsid w:val="00711333"/>
    <w:rsid w:val="00712819"/>
    <w:rsid w:val="00717EA2"/>
    <w:rsid w:val="007232DA"/>
    <w:rsid w:val="007373D7"/>
    <w:rsid w:val="00740D85"/>
    <w:rsid w:val="0076153A"/>
    <w:rsid w:val="007645D8"/>
    <w:rsid w:val="0077108D"/>
    <w:rsid w:val="007A2474"/>
    <w:rsid w:val="007A5DC6"/>
    <w:rsid w:val="007B45D6"/>
    <w:rsid w:val="007C7CB8"/>
    <w:rsid w:val="007D6FDE"/>
    <w:rsid w:val="007D7A35"/>
    <w:rsid w:val="007E782B"/>
    <w:rsid w:val="007F0058"/>
    <w:rsid w:val="007F2957"/>
    <w:rsid w:val="0081289E"/>
    <w:rsid w:val="00822EDF"/>
    <w:rsid w:val="0083538E"/>
    <w:rsid w:val="00865046"/>
    <w:rsid w:val="0087267D"/>
    <w:rsid w:val="0089143A"/>
    <w:rsid w:val="00891F39"/>
    <w:rsid w:val="008A651C"/>
    <w:rsid w:val="008B579A"/>
    <w:rsid w:val="008B7484"/>
    <w:rsid w:val="008C293A"/>
    <w:rsid w:val="008D3A31"/>
    <w:rsid w:val="008E349D"/>
    <w:rsid w:val="008F2324"/>
    <w:rsid w:val="00907D4F"/>
    <w:rsid w:val="009118E8"/>
    <w:rsid w:val="0091665B"/>
    <w:rsid w:val="00952CB6"/>
    <w:rsid w:val="00984605"/>
    <w:rsid w:val="00995EDC"/>
    <w:rsid w:val="009970F9"/>
    <w:rsid w:val="009B4108"/>
    <w:rsid w:val="009D2C1F"/>
    <w:rsid w:val="009D640F"/>
    <w:rsid w:val="009E0E62"/>
    <w:rsid w:val="00A04C4D"/>
    <w:rsid w:val="00A10B2F"/>
    <w:rsid w:val="00A20ADE"/>
    <w:rsid w:val="00A31369"/>
    <w:rsid w:val="00A334D2"/>
    <w:rsid w:val="00A50F30"/>
    <w:rsid w:val="00A53C86"/>
    <w:rsid w:val="00A550E1"/>
    <w:rsid w:val="00A61545"/>
    <w:rsid w:val="00A70BE2"/>
    <w:rsid w:val="00A802D6"/>
    <w:rsid w:val="00AF06D8"/>
    <w:rsid w:val="00AF4E8E"/>
    <w:rsid w:val="00AF6749"/>
    <w:rsid w:val="00B00111"/>
    <w:rsid w:val="00B020AE"/>
    <w:rsid w:val="00B038B8"/>
    <w:rsid w:val="00B55102"/>
    <w:rsid w:val="00B71326"/>
    <w:rsid w:val="00B90DA6"/>
    <w:rsid w:val="00B959A8"/>
    <w:rsid w:val="00BA567C"/>
    <w:rsid w:val="00BB396B"/>
    <w:rsid w:val="00BB3BD4"/>
    <w:rsid w:val="00BC1224"/>
    <w:rsid w:val="00BC3564"/>
    <w:rsid w:val="00BF1AAD"/>
    <w:rsid w:val="00C00025"/>
    <w:rsid w:val="00C07E25"/>
    <w:rsid w:val="00C271A9"/>
    <w:rsid w:val="00C30A69"/>
    <w:rsid w:val="00C358EC"/>
    <w:rsid w:val="00C35D6B"/>
    <w:rsid w:val="00C81EAD"/>
    <w:rsid w:val="00C82880"/>
    <w:rsid w:val="00C83193"/>
    <w:rsid w:val="00C9153E"/>
    <w:rsid w:val="00CB50F7"/>
    <w:rsid w:val="00CC1EC7"/>
    <w:rsid w:val="00CC3E7D"/>
    <w:rsid w:val="00CD42B1"/>
    <w:rsid w:val="00CE41FF"/>
    <w:rsid w:val="00CE472E"/>
    <w:rsid w:val="00CE52DD"/>
    <w:rsid w:val="00CF4731"/>
    <w:rsid w:val="00D15109"/>
    <w:rsid w:val="00D22EB2"/>
    <w:rsid w:val="00D476AA"/>
    <w:rsid w:val="00D52124"/>
    <w:rsid w:val="00D606C5"/>
    <w:rsid w:val="00D63E84"/>
    <w:rsid w:val="00D70663"/>
    <w:rsid w:val="00D711C4"/>
    <w:rsid w:val="00D761A8"/>
    <w:rsid w:val="00D76987"/>
    <w:rsid w:val="00D96018"/>
    <w:rsid w:val="00DA0322"/>
    <w:rsid w:val="00DB7BE3"/>
    <w:rsid w:val="00DC39CD"/>
    <w:rsid w:val="00DD7974"/>
    <w:rsid w:val="00DF4AD0"/>
    <w:rsid w:val="00E11BDB"/>
    <w:rsid w:val="00E25E6A"/>
    <w:rsid w:val="00E42983"/>
    <w:rsid w:val="00E45093"/>
    <w:rsid w:val="00E55511"/>
    <w:rsid w:val="00E611EA"/>
    <w:rsid w:val="00E67B28"/>
    <w:rsid w:val="00E82A0B"/>
    <w:rsid w:val="00EB7AC0"/>
    <w:rsid w:val="00ED5683"/>
    <w:rsid w:val="00EF2122"/>
    <w:rsid w:val="00EF2811"/>
    <w:rsid w:val="00EF6272"/>
    <w:rsid w:val="00F26788"/>
    <w:rsid w:val="00F470EA"/>
    <w:rsid w:val="00F539B6"/>
    <w:rsid w:val="00F65F07"/>
    <w:rsid w:val="00F904EA"/>
    <w:rsid w:val="00FA10FC"/>
    <w:rsid w:val="00FA1263"/>
    <w:rsid w:val="00FA4AA1"/>
    <w:rsid w:val="00FA6D89"/>
    <w:rsid w:val="00FC3802"/>
    <w:rsid w:val="00FC7DF0"/>
    <w:rsid w:val="00FD1FDD"/>
    <w:rsid w:val="00FF1D48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at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CFD"/>
    <w:pPr>
      <w:spacing w:before="120" w:after="120"/>
      <w:ind w:right="567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588F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D8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sid w:val="00106793"/>
    <w:rPr>
      <w:color w:val="0000FF"/>
      <w:u w:val="single"/>
    </w:rPr>
  </w:style>
  <w:style w:type="paragraph" w:styleId="BodyText">
    <w:name w:val="Body Text"/>
    <w:basedOn w:val="Normal"/>
    <w:rsid w:val="00106793"/>
    <w:rPr>
      <w:rFonts w:ascii="Times New Roman" w:hAnsi="Times New Roman"/>
      <w:i/>
      <w:lang w:val="en-AU"/>
    </w:rPr>
  </w:style>
  <w:style w:type="paragraph" w:customStyle="1" w:styleId="TOCAll">
    <w:name w:val="TOC All"/>
    <w:basedOn w:val="Normal"/>
    <w:rsid w:val="00106793"/>
    <w:rPr>
      <w:rFonts w:ascii="Times New Roman" w:hAnsi="Times New Roman"/>
      <w:lang w:val="en-AU"/>
    </w:rPr>
  </w:style>
  <w:style w:type="character" w:styleId="FollowedHyperlink">
    <w:name w:val="FollowedHyperlink"/>
    <w:rsid w:val="002371B3"/>
    <w:rPr>
      <w:color w:val="800080"/>
      <w:u w:val="single"/>
    </w:rPr>
  </w:style>
  <w:style w:type="character" w:styleId="PageNumber">
    <w:name w:val="page number"/>
    <w:basedOn w:val="DefaultParagraphFont"/>
    <w:rsid w:val="00072B36"/>
  </w:style>
  <w:style w:type="paragraph" w:styleId="Header">
    <w:name w:val="header"/>
    <w:basedOn w:val="Normal"/>
    <w:rsid w:val="00072B3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semiHidden/>
    <w:rsid w:val="00CE41FF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table" w:styleId="TableGrid">
    <w:name w:val="Table Grid"/>
    <w:basedOn w:val="TableNormal"/>
    <w:rsid w:val="00CE41F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5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F2324"/>
    <w:rPr>
      <w:sz w:val="20"/>
    </w:rPr>
  </w:style>
  <w:style w:type="character" w:styleId="FootnoteReference">
    <w:name w:val="footnote reference"/>
    <w:semiHidden/>
    <w:rsid w:val="008F2324"/>
    <w:rPr>
      <w:vertAlign w:val="superscript"/>
    </w:rPr>
  </w:style>
  <w:style w:type="character" w:styleId="CommentReference">
    <w:name w:val="annotation reference"/>
    <w:semiHidden/>
    <w:rsid w:val="00FD1FDD"/>
    <w:rPr>
      <w:sz w:val="16"/>
      <w:szCs w:val="16"/>
    </w:rPr>
  </w:style>
  <w:style w:type="paragraph" w:styleId="CommentText">
    <w:name w:val="annotation text"/>
    <w:basedOn w:val="Normal"/>
    <w:semiHidden/>
    <w:rsid w:val="00FD1F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FD1FDD"/>
    <w:rPr>
      <w:b/>
      <w:bCs/>
    </w:rPr>
  </w:style>
  <w:style w:type="paragraph" w:customStyle="1" w:styleId="CharCharCharChar0">
    <w:name w:val="Char Char Char Char"/>
    <w:basedOn w:val="Normal"/>
    <w:semiHidden/>
    <w:rsid w:val="00822EDF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character" w:customStyle="1" w:styleId="Heading1Char">
    <w:name w:val="Heading 1 Char"/>
    <w:link w:val="Heading1"/>
    <w:rsid w:val="0042588F"/>
    <w:rPr>
      <w:rFonts w:ascii="Arial" w:eastAsia="Times New Roman" w:hAnsi="Arial" w:cs="Arial"/>
      <w:b/>
      <w:bCs/>
      <w:kern w:val="32"/>
      <w:sz w:val="22"/>
      <w:szCs w:val="22"/>
      <w:lang w:val="en-GB"/>
    </w:rPr>
  </w:style>
  <w:style w:type="character" w:styleId="SubtleReference">
    <w:name w:val="Subtle Reference"/>
    <w:uiPriority w:val="31"/>
    <w:rsid w:val="0042588F"/>
    <w:rPr>
      <w:smallCaps/>
      <w:color w:val="C0504D"/>
      <w:u w:val="single"/>
    </w:rPr>
  </w:style>
  <w:style w:type="paragraph" w:customStyle="1" w:styleId="AddressBlock">
    <w:name w:val="Address Block"/>
    <w:qFormat/>
    <w:rsid w:val="000A5CFD"/>
    <w:rPr>
      <w:rFonts w:ascii="Arial" w:hAnsi="Arial" w:cs="Arial"/>
      <w:sz w:val="22"/>
      <w:szCs w:val="22"/>
      <w:lang w:val="en-GB"/>
    </w:rPr>
  </w:style>
  <w:style w:type="character" w:customStyle="1" w:styleId="Heading2Char">
    <w:name w:val="Heading 2 Char"/>
    <w:link w:val="Heading2"/>
    <w:uiPriority w:val="9"/>
    <w:rsid w:val="00740D85"/>
    <w:rPr>
      <w:rFonts w:ascii="Arial" w:hAnsi="Arial" w:cs="Arial"/>
      <w:b/>
      <w:sz w:val="22"/>
      <w:szCs w:val="22"/>
      <w:lang w:val="en-GB"/>
    </w:rPr>
  </w:style>
  <w:style w:type="paragraph" w:customStyle="1" w:styleId="ContactSenderBlock">
    <w:name w:val="Contact Sender Block"/>
    <w:qFormat/>
    <w:rsid w:val="00CE472E"/>
    <w:pPr>
      <w:spacing w:before="1080"/>
    </w:pPr>
    <w:rPr>
      <w:rFonts w:ascii="Arial" w:hAnsi="Arial" w:cs="Arial"/>
      <w:noProof/>
    </w:rPr>
  </w:style>
  <w:style w:type="paragraph" w:customStyle="1" w:styleId="Salutation1">
    <w:name w:val="Salutation1"/>
    <w:qFormat/>
    <w:rsid w:val="00CE472E"/>
    <w:pPr>
      <w:spacing w:before="360" w:after="360"/>
    </w:pPr>
    <w:rPr>
      <w:rFonts w:ascii="Arial" w:hAnsi="Arial" w:cs="Arial"/>
      <w:sz w:val="22"/>
      <w:szCs w:val="22"/>
      <w:lang w:val="en-GB"/>
    </w:rPr>
  </w:style>
  <w:style w:type="paragraph" w:styleId="Date">
    <w:name w:val="Date"/>
    <w:basedOn w:val="Normal"/>
    <w:next w:val="Normal"/>
    <w:link w:val="DateChar"/>
    <w:qFormat/>
    <w:rsid w:val="00CE472E"/>
    <w:pPr>
      <w:spacing w:before="360" w:after="360"/>
    </w:pPr>
  </w:style>
  <w:style w:type="character" w:customStyle="1" w:styleId="DateChar">
    <w:name w:val="Date Char"/>
    <w:link w:val="Date"/>
    <w:rsid w:val="00CE472E"/>
    <w:rPr>
      <w:rFonts w:ascii="Arial" w:hAnsi="Arial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A5CFD"/>
    <w:pPr>
      <w:numPr>
        <w:numId w:val="7"/>
      </w:numPr>
    </w:pPr>
  </w:style>
  <w:style w:type="paragraph" w:customStyle="1" w:styleId="Signatureblock">
    <w:name w:val="Signature block"/>
    <w:qFormat/>
    <w:rsid w:val="00630D26"/>
    <w:rPr>
      <w:rFonts w:ascii="Arial" w:hAnsi="Arial"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c.gov.au/AuthorisationsRegis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tao@ceai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napritchard@qantas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34CE-A8F4-4AF3-BE8A-74944A9B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AA99F1EA</Template>
  <TotalTime>0</TotalTime>
  <Pages>2</Pages>
  <Words>493</Words>
  <Characters>2813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ACCC Letter Template</vt:lpstr>
    </vt:vector>
  </TitlesOfParts>
  <Company>Trade Practices Commission</Company>
  <LinksUpToDate>false</LinksUpToDate>
  <CharactersWithSpaces>3300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www.accc.gov.au/content/search/click.cgi?rank=1&amp;collection=allsites-meta&amp;url=http%3A%2F%2Fwww.accc.gov.au%2Fcontent%2Fitem.phtml%3FitemId%3D776053%26nodeId%3D550d00cec4ac7dea5224d704fd2be281%26fn%3DGuidelines%2520for%2520excluding%2520information%2520from%2520public%2520register.pdf&amp;index_url=http%3A%2F%2Fwww.accc.gov.au%2Fcontent%2Fitem.phtml%3FitemId%3D776053%26nodeId%3D550d00cec4ac7dea5224d704fd2be281%26fn%3DGuidelines%2520for%2520excluding%2520information%2520from%2520public%2520register.pdf&amp;auth=JMSX2bEJvdNqTLov02ompA&amp;search_referer=&amp;query=exclusion%20from%20public%20register%20%7CC%3AacccPublication%20%7CI%3A7910&amp;identifier=1347259587.00726%20(guidelines%20are%20attached).</vt:lpwstr>
      </vt:variant>
      <vt:variant>
        <vt:lpwstr/>
      </vt:variant>
      <vt:variant>
        <vt:i4>4522041</vt:i4>
      </vt:variant>
      <vt:variant>
        <vt:i4>6</vt:i4>
      </vt:variant>
      <vt:variant>
        <vt:i4>0</vt:i4>
      </vt:variant>
      <vt:variant>
        <vt:i4>5</vt:i4>
      </vt:variant>
      <vt:variant>
        <vt:lpwstr>mailto:adjudication@accc.gov.au</vt:lpwstr>
      </vt:variant>
      <vt:variant>
        <vt:lpwstr/>
      </vt:variant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http://www.accc.gov.au/AuthorisationsRegister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http://www.accc.gov.au/content/item.phtml?itemId=962371&amp;nodeId=6f48272955b830dc8c93107636cf4131&amp;fn=%20Authorisation%20process-the%20basics.pdf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ACCC Letter Template</dc:title>
  <dc:creator>jamar</dc:creator>
  <cp:lastModifiedBy>Blanch, Belinda</cp:lastModifiedBy>
  <cp:revision>3</cp:revision>
  <cp:lastPrinted>2014-11-19T04:01:00Z</cp:lastPrinted>
  <dcterms:created xsi:type="dcterms:W3CDTF">2014-11-19T04:01:00Z</dcterms:created>
  <dcterms:modified xsi:type="dcterms:W3CDTF">2014-11-19T04:01:00Z</dcterms:modified>
</cp:coreProperties>
</file>