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863F8" w14:textId="77777777" w:rsidR="001D0BFF" w:rsidRPr="00BF4199" w:rsidRDefault="001D0BFF" w:rsidP="001D0BFF">
      <w:pPr>
        <w:spacing w:before="120" w:after="120"/>
        <w:rPr>
          <w:rFonts w:ascii="Lucida Fax" w:eastAsia="Times New Roman" w:hAnsi="Lucida Fax" w:cs="Times New Roman"/>
          <w:b/>
          <w:bCs/>
          <w:sz w:val="34"/>
          <w:szCs w:val="28"/>
          <w:lang w:eastAsia="en-AU"/>
        </w:rPr>
      </w:pPr>
      <w:r w:rsidRPr="00BF4199">
        <w:rPr>
          <w:rFonts w:ascii="Calibri" w:eastAsia="Times New Roman" w:hAnsi="Calibri" w:cs="Times New Roman"/>
          <w:noProof/>
          <w:lang w:eastAsia="en-AU"/>
        </w:rPr>
        <w:drawing>
          <wp:inline distT="0" distB="0" distL="0" distR="0" wp14:anchorId="54ED2FA5" wp14:editId="2A49AA14">
            <wp:extent cx="2569210" cy="82550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9210" cy="825500"/>
                    </a:xfrm>
                    <a:prstGeom prst="rect">
                      <a:avLst/>
                    </a:prstGeom>
                  </pic:spPr>
                </pic:pic>
              </a:graphicData>
            </a:graphic>
          </wp:inline>
        </w:drawing>
      </w:r>
      <w:r w:rsidRPr="00BF4199">
        <w:rPr>
          <w:rFonts w:ascii="Lucida Fax" w:eastAsia="Times New Roman" w:hAnsi="Lucida Fax" w:cs="Times New Roman"/>
          <w:b/>
          <w:bCs/>
          <w:sz w:val="36"/>
          <w:szCs w:val="28"/>
          <w:lang w:eastAsia="en-AU"/>
        </w:rPr>
        <w:br/>
      </w:r>
    </w:p>
    <w:p w14:paraId="3BB02365" w14:textId="77777777" w:rsidR="001D0BFF" w:rsidRPr="004025E5" w:rsidRDefault="001D0BFF" w:rsidP="001D0BFF">
      <w:pPr>
        <w:spacing w:before="120" w:after="120"/>
        <w:jc w:val="center"/>
        <w:rPr>
          <w:rFonts w:asciiTheme="minorHAnsi" w:eastAsia="Times New Roman" w:hAnsiTheme="minorHAnsi" w:cstheme="minorHAnsi"/>
          <w:b/>
          <w:bCs/>
          <w:sz w:val="28"/>
          <w:szCs w:val="28"/>
          <w:lang w:eastAsia="en-AU"/>
        </w:rPr>
      </w:pPr>
      <w:r w:rsidRPr="004025E5">
        <w:rPr>
          <w:rFonts w:asciiTheme="minorHAnsi" w:eastAsia="Times New Roman" w:hAnsiTheme="minorHAnsi" w:cstheme="minorHAnsi"/>
          <w:b/>
          <w:bCs/>
          <w:sz w:val="28"/>
          <w:szCs w:val="28"/>
          <w:lang w:eastAsia="en-AU"/>
        </w:rPr>
        <w:t xml:space="preserve">Agenda </w:t>
      </w:r>
      <w:r>
        <w:rPr>
          <w:rFonts w:asciiTheme="minorHAnsi" w:eastAsia="Times New Roman" w:hAnsiTheme="minorHAnsi" w:cstheme="minorHAnsi"/>
          <w:b/>
          <w:bCs/>
          <w:sz w:val="28"/>
          <w:szCs w:val="28"/>
          <w:lang w:eastAsia="en-AU"/>
        </w:rPr>
        <w:t xml:space="preserve">and meeting summary </w:t>
      </w:r>
      <w:r w:rsidRPr="004025E5">
        <w:rPr>
          <w:rFonts w:asciiTheme="minorHAnsi" w:eastAsia="Times New Roman" w:hAnsiTheme="minorHAnsi" w:cstheme="minorHAnsi"/>
          <w:b/>
          <w:bCs/>
          <w:sz w:val="28"/>
          <w:szCs w:val="28"/>
          <w:lang w:eastAsia="en-AU"/>
        </w:rPr>
        <w:t xml:space="preserve">– NBN </w:t>
      </w:r>
      <w:r>
        <w:rPr>
          <w:rFonts w:asciiTheme="minorHAnsi" w:eastAsia="Times New Roman" w:hAnsiTheme="minorHAnsi" w:cstheme="minorHAnsi"/>
          <w:b/>
          <w:bCs/>
          <w:sz w:val="28"/>
          <w:szCs w:val="28"/>
          <w:lang w:eastAsia="en-AU"/>
        </w:rPr>
        <w:t>Regulatory Framework</w:t>
      </w:r>
      <w:r w:rsidRPr="004025E5">
        <w:rPr>
          <w:rFonts w:asciiTheme="minorHAnsi" w:eastAsia="Times New Roman" w:hAnsiTheme="minorHAnsi" w:cstheme="minorHAnsi"/>
          <w:b/>
          <w:bCs/>
          <w:sz w:val="28"/>
          <w:szCs w:val="28"/>
          <w:lang w:eastAsia="en-AU"/>
        </w:rPr>
        <w:t xml:space="preserve"> Working Group</w:t>
      </w:r>
      <w:r w:rsidRPr="004025E5">
        <w:rPr>
          <w:rFonts w:asciiTheme="minorHAnsi" w:eastAsia="Times New Roman" w:hAnsiTheme="minorHAnsi" w:cstheme="minorHAnsi"/>
          <w:b/>
          <w:bCs/>
          <w:sz w:val="28"/>
          <w:szCs w:val="28"/>
          <w:lang w:eastAsia="en-AU"/>
        </w:rPr>
        <w:br/>
      </w:r>
    </w:p>
    <w:tbl>
      <w:tblPr>
        <w:tblStyle w:val="ACCCTable1"/>
        <w:tblW w:w="8926" w:type="dxa"/>
        <w:tblBorders>
          <w:insideH w:val="single" w:sz="6" w:space="0" w:color="auto"/>
          <w:insideV w:val="single" w:sz="6" w:space="0" w:color="auto"/>
        </w:tblBorders>
        <w:tblLook w:val="04A0" w:firstRow="1" w:lastRow="0" w:firstColumn="1" w:lastColumn="0" w:noHBand="0" w:noVBand="1"/>
      </w:tblPr>
      <w:tblGrid>
        <w:gridCol w:w="2376"/>
        <w:gridCol w:w="6550"/>
      </w:tblGrid>
      <w:tr w:rsidR="001D0BFF" w:rsidRPr="00E11805" w14:paraId="66E471CD" w14:textId="77777777" w:rsidTr="0071282B">
        <w:tc>
          <w:tcPr>
            <w:tcW w:w="2376" w:type="dxa"/>
          </w:tcPr>
          <w:p w14:paraId="6F4AAEBC" w14:textId="77777777" w:rsidR="001D0BFF" w:rsidRPr="00EE4931" w:rsidRDefault="001D0BFF" w:rsidP="0071282B">
            <w:pPr>
              <w:spacing w:before="120" w:after="120"/>
              <w:rPr>
                <w:rFonts w:asciiTheme="minorHAnsi" w:hAnsiTheme="minorHAnsi" w:cstheme="minorHAnsi"/>
                <w:b/>
              </w:rPr>
            </w:pPr>
            <w:r w:rsidRPr="00EE4931">
              <w:rPr>
                <w:rFonts w:asciiTheme="minorHAnsi" w:hAnsiTheme="minorHAnsi" w:cstheme="minorHAnsi"/>
                <w:b/>
              </w:rPr>
              <w:t>Meeting date</w:t>
            </w:r>
          </w:p>
        </w:tc>
        <w:tc>
          <w:tcPr>
            <w:tcW w:w="6550" w:type="dxa"/>
          </w:tcPr>
          <w:p w14:paraId="1F1E425B" w14:textId="6F3AAA51" w:rsidR="001D0BFF" w:rsidRPr="00E11805" w:rsidRDefault="001D0BFF" w:rsidP="0071282B">
            <w:pPr>
              <w:spacing w:before="120" w:after="120"/>
              <w:rPr>
                <w:rFonts w:asciiTheme="minorHAnsi" w:hAnsiTheme="minorHAnsi" w:cstheme="minorHAnsi"/>
                <w:b/>
              </w:rPr>
            </w:pPr>
            <w:r w:rsidRPr="00E11805">
              <w:rPr>
                <w:rFonts w:asciiTheme="minorHAnsi" w:hAnsiTheme="minorHAnsi" w:cstheme="minorHAnsi"/>
                <w:b/>
              </w:rPr>
              <w:t xml:space="preserve">2:00pm to </w:t>
            </w:r>
            <w:r w:rsidR="009339E1">
              <w:rPr>
                <w:rFonts w:asciiTheme="minorHAnsi" w:hAnsiTheme="minorHAnsi" w:cstheme="minorHAnsi"/>
                <w:b/>
              </w:rPr>
              <w:t>4:00</w:t>
            </w:r>
            <w:r w:rsidRPr="00E11805">
              <w:rPr>
                <w:rFonts w:asciiTheme="minorHAnsi" w:hAnsiTheme="minorHAnsi" w:cstheme="minorHAnsi"/>
                <w:b/>
              </w:rPr>
              <w:t xml:space="preserve">pm, Thursday </w:t>
            </w:r>
            <w:r w:rsidR="009339E1">
              <w:rPr>
                <w:rFonts w:asciiTheme="minorHAnsi" w:hAnsiTheme="minorHAnsi" w:cstheme="minorHAnsi"/>
                <w:b/>
              </w:rPr>
              <w:t>21 October</w:t>
            </w:r>
            <w:r w:rsidRPr="00E11805">
              <w:rPr>
                <w:rFonts w:asciiTheme="minorHAnsi" w:hAnsiTheme="minorHAnsi" w:cstheme="minorHAnsi"/>
                <w:b/>
              </w:rPr>
              <w:t xml:space="preserve"> 2021</w:t>
            </w:r>
          </w:p>
        </w:tc>
      </w:tr>
    </w:tbl>
    <w:p w14:paraId="64EEB005" w14:textId="77777777" w:rsidR="001D0BFF" w:rsidRPr="00202983" w:rsidRDefault="001D0BFF" w:rsidP="001D0BFF">
      <w:pPr>
        <w:spacing w:before="120" w:after="120"/>
        <w:rPr>
          <w:rFonts w:asciiTheme="minorHAnsi" w:eastAsia="Times New Roman" w:hAnsiTheme="minorHAnsi" w:cstheme="minorHAnsi"/>
          <w:b/>
          <w:sz w:val="20"/>
          <w:szCs w:val="20"/>
        </w:rPr>
      </w:pPr>
    </w:p>
    <w:tbl>
      <w:tblPr>
        <w:tblStyle w:val="ACCCTable1"/>
        <w:tblW w:w="8926" w:type="dxa"/>
        <w:tblLook w:val="04A0" w:firstRow="1" w:lastRow="0" w:firstColumn="1" w:lastColumn="0" w:noHBand="0" w:noVBand="1"/>
      </w:tblPr>
      <w:tblGrid>
        <w:gridCol w:w="534"/>
        <w:gridCol w:w="8392"/>
      </w:tblGrid>
      <w:tr w:rsidR="001D0BFF" w:rsidRPr="00202983" w14:paraId="29B6B562" w14:textId="77777777" w:rsidTr="0071282B">
        <w:tc>
          <w:tcPr>
            <w:tcW w:w="534" w:type="dxa"/>
          </w:tcPr>
          <w:p w14:paraId="33E394E5" w14:textId="77777777" w:rsidR="001D0BFF" w:rsidRPr="00202983" w:rsidRDefault="001D0BFF" w:rsidP="0071282B">
            <w:pPr>
              <w:spacing w:before="120" w:after="120"/>
              <w:rPr>
                <w:rFonts w:asciiTheme="minorHAnsi" w:hAnsiTheme="minorHAnsi" w:cstheme="minorHAnsi"/>
                <w:b/>
              </w:rPr>
            </w:pPr>
            <w:r w:rsidRPr="00202983">
              <w:rPr>
                <w:rFonts w:asciiTheme="minorHAnsi" w:hAnsiTheme="minorHAnsi" w:cstheme="minorHAnsi"/>
                <w:b/>
              </w:rPr>
              <w:t>#</w:t>
            </w:r>
          </w:p>
        </w:tc>
        <w:tc>
          <w:tcPr>
            <w:tcW w:w="8392" w:type="dxa"/>
          </w:tcPr>
          <w:p w14:paraId="3CD3F04E" w14:textId="77777777" w:rsidR="001D0BFF" w:rsidRPr="00202983" w:rsidRDefault="001D0BFF" w:rsidP="0071282B">
            <w:pPr>
              <w:spacing w:before="120" w:after="120"/>
              <w:rPr>
                <w:rFonts w:asciiTheme="minorHAnsi" w:hAnsiTheme="minorHAnsi" w:cstheme="minorHAnsi"/>
                <w:b/>
              </w:rPr>
            </w:pPr>
            <w:r w:rsidRPr="00202983">
              <w:rPr>
                <w:rFonts w:asciiTheme="minorHAnsi" w:hAnsiTheme="minorHAnsi" w:cstheme="minorHAnsi"/>
                <w:b/>
              </w:rPr>
              <w:t>Item</w:t>
            </w:r>
          </w:p>
        </w:tc>
      </w:tr>
      <w:tr w:rsidR="001D0BFF" w:rsidRPr="00202983" w14:paraId="2434F981" w14:textId="77777777" w:rsidTr="0071282B">
        <w:tc>
          <w:tcPr>
            <w:tcW w:w="534" w:type="dxa"/>
          </w:tcPr>
          <w:p w14:paraId="61592A4B" w14:textId="77777777" w:rsidR="001D0BFF" w:rsidRPr="00202983" w:rsidRDefault="001D0BFF" w:rsidP="0071282B">
            <w:pPr>
              <w:spacing w:before="120" w:after="120"/>
              <w:rPr>
                <w:rFonts w:asciiTheme="minorHAnsi" w:hAnsiTheme="minorHAnsi" w:cstheme="minorHAnsi"/>
              </w:rPr>
            </w:pPr>
            <w:r w:rsidRPr="00202983">
              <w:rPr>
                <w:rFonts w:asciiTheme="minorHAnsi" w:hAnsiTheme="minorHAnsi" w:cstheme="minorHAnsi"/>
              </w:rPr>
              <w:t>1</w:t>
            </w:r>
          </w:p>
        </w:tc>
        <w:tc>
          <w:tcPr>
            <w:tcW w:w="8392" w:type="dxa"/>
          </w:tcPr>
          <w:p w14:paraId="34B87A34" w14:textId="77777777" w:rsidR="001D0BFF" w:rsidRPr="00202983" w:rsidRDefault="001D0BFF" w:rsidP="0071282B">
            <w:pPr>
              <w:spacing w:before="120" w:after="120"/>
              <w:rPr>
                <w:rFonts w:asciiTheme="minorHAnsi" w:hAnsiTheme="minorHAnsi" w:cstheme="minorHAnsi"/>
              </w:rPr>
            </w:pPr>
            <w:r w:rsidRPr="00202983">
              <w:rPr>
                <w:rFonts w:asciiTheme="minorHAnsi" w:hAnsiTheme="minorHAnsi" w:cstheme="minorHAnsi"/>
              </w:rPr>
              <w:t>Welcoming remarks</w:t>
            </w:r>
          </w:p>
        </w:tc>
      </w:tr>
      <w:tr w:rsidR="001D0BFF" w:rsidRPr="00202983" w14:paraId="0620BCC2" w14:textId="77777777" w:rsidTr="0071282B">
        <w:tc>
          <w:tcPr>
            <w:tcW w:w="534" w:type="dxa"/>
            <w:tcBorders>
              <w:bottom w:val="single" w:sz="4" w:space="0" w:color="auto"/>
            </w:tcBorders>
          </w:tcPr>
          <w:p w14:paraId="1F5490D3" w14:textId="77777777" w:rsidR="001D0BFF" w:rsidRPr="00202983" w:rsidRDefault="001D0BFF" w:rsidP="0071282B">
            <w:pPr>
              <w:spacing w:before="120" w:after="120"/>
              <w:rPr>
                <w:rFonts w:asciiTheme="minorHAnsi" w:hAnsiTheme="minorHAnsi" w:cstheme="minorHAnsi"/>
              </w:rPr>
            </w:pPr>
            <w:r w:rsidRPr="00202983">
              <w:rPr>
                <w:rFonts w:asciiTheme="minorHAnsi" w:hAnsiTheme="minorHAnsi" w:cstheme="minorHAnsi"/>
              </w:rPr>
              <w:t>2</w:t>
            </w:r>
          </w:p>
        </w:tc>
        <w:tc>
          <w:tcPr>
            <w:tcW w:w="8392" w:type="dxa"/>
            <w:tcBorders>
              <w:bottom w:val="single" w:sz="4" w:space="0" w:color="auto"/>
            </w:tcBorders>
          </w:tcPr>
          <w:p w14:paraId="0A44A2A8" w14:textId="77777777" w:rsidR="001D0BFF" w:rsidRPr="00202983" w:rsidRDefault="001D0BFF" w:rsidP="0071282B">
            <w:pPr>
              <w:spacing w:before="120" w:after="120"/>
              <w:rPr>
                <w:rFonts w:asciiTheme="minorHAnsi" w:hAnsiTheme="minorHAnsi" w:cstheme="minorHAnsi"/>
              </w:rPr>
            </w:pPr>
            <w:r w:rsidRPr="00202983">
              <w:rPr>
                <w:rFonts w:asciiTheme="minorHAnsi" w:hAnsiTheme="minorHAnsi" w:cstheme="minorHAnsi"/>
              </w:rPr>
              <w:t xml:space="preserve">Attendance and apologies </w:t>
            </w:r>
          </w:p>
        </w:tc>
      </w:tr>
      <w:tr w:rsidR="001D0BFF" w:rsidRPr="00202983" w14:paraId="3A9DD639" w14:textId="77777777" w:rsidTr="0071282B">
        <w:tc>
          <w:tcPr>
            <w:tcW w:w="534" w:type="dxa"/>
            <w:tcBorders>
              <w:bottom w:val="single" w:sz="4" w:space="0" w:color="auto"/>
            </w:tcBorders>
          </w:tcPr>
          <w:p w14:paraId="30F61B05" w14:textId="77777777" w:rsidR="001D0BFF" w:rsidRPr="00202983" w:rsidRDefault="001D0BFF" w:rsidP="0071282B">
            <w:pPr>
              <w:spacing w:before="120" w:after="120"/>
              <w:rPr>
                <w:rFonts w:asciiTheme="minorHAnsi" w:hAnsiTheme="minorHAnsi" w:cstheme="minorHAnsi"/>
              </w:rPr>
            </w:pPr>
            <w:r w:rsidRPr="00202983">
              <w:rPr>
                <w:rFonts w:asciiTheme="minorHAnsi" w:hAnsiTheme="minorHAnsi" w:cstheme="minorHAnsi"/>
              </w:rPr>
              <w:t xml:space="preserve">3 </w:t>
            </w:r>
          </w:p>
        </w:tc>
        <w:tc>
          <w:tcPr>
            <w:tcW w:w="8392" w:type="dxa"/>
            <w:tcBorders>
              <w:bottom w:val="single" w:sz="4" w:space="0" w:color="auto"/>
            </w:tcBorders>
          </w:tcPr>
          <w:p w14:paraId="6C775FA9" w14:textId="15530982" w:rsidR="001D0BFF" w:rsidRPr="00202983" w:rsidRDefault="009339E1" w:rsidP="0071282B">
            <w:pPr>
              <w:spacing w:before="120" w:after="120"/>
              <w:rPr>
                <w:rFonts w:asciiTheme="minorHAnsi" w:hAnsiTheme="minorHAnsi" w:cstheme="minorHAnsi"/>
              </w:rPr>
            </w:pPr>
            <w:r>
              <w:rPr>
                <w:rFonts w:asciiTheme="minorHAnsi" w:hAnsiTheme="minorHAnsi" w:cstheme="minorHAnsi"/>
              </w:rPr>
              <w:t>Update on proposed WBA4 extension</w:t>
            </w:r>
            <w:r w:rsidR="001D0BFF" w:rsidRPr="00202983">
              <w:rPr>
                <w:rFonts w:asciiTheme="minorHAnsi" w:hAnsiTheme="minorHAnsi" w:cstheme="minorHAnsi"/>
              </w:rPr>
              <w:t xml:space="preserve"> </w:t>
            </w:r>
          </w:p>
        </w:tc>
      </w:tr>
      <w:tr w:rsidR="001D0BFF" w:rsidRPr="00202983" w14:paraId="2314375C" w14:textId="77777777" w:rsidTr="0071282B">
        <w:tc>
          <w:tcPr>
            <w:tcW w:w="534" w:type="dxa"/>
            <w:tcBorders>
              <w:bottom w:val="single" w:sz="4" w:space="0" w:color="auto"/>
            </w:tcBorders>
          </w:tcPr>
          <w:p w14:paraId="54301E0D" w14:textId="77777777" w:rsidR="001D0BFF" w:rsidRPr="00202983" w:rsidRDefault="001D0BFF" w:rsidP="0071282B">
            <w:pPr>
              <w:spacing w:before="120" w:after="120"/>
              <w:rPr>
                <w:rFonts w:asciiTheme="minorHAnsi" w:hAnsiTheme="minorHAnsi" w:cstheme="minorHAnsi"/>
              </w:rPr>
            </w:pPr>
            <w:r w:rsidRPr="00202983">
              <w:rPr>
                <w:rFonts w:asciiTheme="minorHAnsi" w:hAnsiTheme="minorHAnsi" w:cstheme="minorHAnsi"/>
              </w:rPr>
              <w:t>4</w:t>
            </w:r>
          </w:p>
        </w:tc>
        <w:tc>
          <w:tcPr>
            <w:tcW w:w="8392" w:type="dxa"/>
            <w:tcBorders>
              <w:bottom w:val="single" w:sz="4" w:space="0" w:color="auto"/>
            </w:tcBorders>
          </w:tcPr>
          <w:p w14:paraId="54FDAE4A" w14:textId="21EA4D29" w:rsidR="001D0BFF" w:rsidRPr="00202983" w:rsidRDefault="009339E1" w:rsidP="0071282B">
            <w:pPr>
              <w:spacing w:before="120" w:after="120"/>
              <w:rPr>
                <w:rFonts w:asciiTheme="minorHAnsi" w:hAnsiTheme="minorHAnsi" w:cstheme="minorHAnsi"/>
              </w:rPr>
            </w:pPr>
            <w:r>
              <w:rPr>
                <w:rFonts w:asciiTheme="minorHAnsi" w:hAnsiTheme="minorHAnsi" w:cstheme="minorHAnsi"/>
              </w:rPr>
              <w:t>Update on quality of service considerations and indicative costs</w:t>
            </w:r>
          </w:p>
        </w:tc>
      </w:tr>
      <w:tr w:rsidR="004D445F" w:rsidRPr="00202983" w14:paraId="367B123A" w14:textId="77777777" w:rsidTr="0071282B">
        <w:tc>
          <w:tcPr>
            <w:tcW w:w="534" w:type="dxa"/>
            <w:tcBorders>
              <w:bottom w:val="single" w:sz="4" w:space="0" w:color="auto"/>
            </w:tcBorders>
          </w:tcPr>
          <w:p w14:paraId="599C7C2B" w14:textId="77777777" w:rsidR="004D445F" w:rsidRPr="00202983" w:rsidRDefault="004D445F" w:rsidP="0071282B">
            <w:pPr>
              <w:spacing w:before="120" w:after="120"/>
              <w:rPr>
                <w:rFonts w:asciiTheme="minorHAnsi" w:hAnsiTheme="minorHAnsi" w:cstheme="minorHAnsi"/>
              </w:rPr>
            </w:pPr>
            <w:r>
              <w:rPr>
                <w:rFonts w:asciiTheme="minorHAnsi" w:hAnsiTheme="minorHAnsi" w:cstheme="minorHAnsi"/>
              </w:rPr>
              <w:t>5</w:t>
            </w:r>
          </w:p>
        </w:tc>
        <w:tc>
          <w:tcPr>
            <w:tcW w:w="8392" w:type="dxa"/>
            <w:tcBorders>
              <w:bottom w:val="single" w:sz="4" w:space="0" w:color="auto"/>
            </w:tcBorders>
          </w:tcPr>
          <w:p w14:paraId="63545CDA" w14:textId="4AA5D603" w:rsidR="004D445F" w:rsidRPr="00202983" w:rsidRDefault="004D445F" w:rsidP="0071282B">
            <w:pPr>
              <w:spacing w:before="120" w:after="120"/>
              <w:rPr>
                <w:rFonts w:asciiTheme="minorHAnsi" w:hAnsiTheme="minorHAnsi" w:cstheme="minorHAnsi"/>
              </w:rPr>
            </w:pPr>
            <w:r>
              <w:rPr>
                <w:rFonts w:asciiTheme="minorHAnsi" w:hAnsiTheme="minorHAnsi" w:cstheme="minorHAnsi"/>
              </w:rPr>
              <w:t>Discussion paper on transparency and reporting obligations</w:t>
            </w:r>
          </w:p>
        </w:tc>
      </w:tr>
      <w:tr w:rsidR="004D445F" w:rsidRPr="00202983" w14:paraId="3E5CC29A" w14:textId="77777777" w:rsidTr="0071282B">
        <w:tc>
          <w:tcPr>
            <w:tcW w:w="534" w:type="dxa"/>
            <w:tcBorders>
              <w:bottom w:val="single" w:sz="4" w:space="0" w:color="auto"/>
            </w:tcBorders>
          </w:tcPr>
          <w:p w14:paraId="2A771EA7" w14:textId="77777777" w:rsidR="004D445F" w:rsidRPr="00202983" w:rsidRDefault="004D445F" w:rsidP="0071282B">
            <w:pPr>
              <w:spacing w:before="120" w:after="120"/>
              <w:rPr>
                <w:rFonts w:asciiTheme="minorHAnsi" w:hAnsiTheme="minorHAnsi" w:cstheme="minorHAnsi"/>
              </w:rPr>
            </w:pPr>
            <w:r>
              <w:rPr>
                <w:rFonts w:asciiTheme="minorHAnsi" w:hAnsiTheme="minorHAnsi" w:cstheme="minorHAnsi"/>
              </w:rPr>
              <w:t>6</w:t>
            </w:r>
          </w:p>
        </w:tc>
        <w:tc>
          <w:tcPr>
            <w:tcW w:w="8392" w:type="dxa"/>
            <w:tcBorders>
              <w:bottom w:val="single" w:sz="4" w:space="0" w:color="auto"/>
            </w:tcBorders>
          </w:tcPr>
          <w:p w14:paraId="36DFAF81" w14:textId="1F82A6FC" w:rsidR="004D445F" w:rsidRPr="00202983" w:rsidRDefault="004D445F" w:rsidP="0071282B">
            <w:pPr>
              <w:spacing w:before="120" w:after="120"/>
              <w:rPr>
                <w:rFonts w:asciiTheme="minorHAnsi" w:hAnsiTheme="minorHAnsi" w:cstheme="minorHAnsi"/>
              </w:rPr>
            </w:pPr>
            <w:r>
              <w:rPr>
                <w:rFonts w:asciiTheme="minorHAnsi" w:hAnsiTheme="minorHAnsi" w:cstheme="minorHAnsi"/>
              </w:rPr>
              <w:t>Information paper on the AER regulatory re-set process</w:t>
            </w:r>
          </w:p>
        </w:tc>
      </w:tr>
      <w:tr w:rsidR="004D445F" w:rsidRPr="00202983" w14:paraId="4441668D" w14:textId="77777777" w:rsidTr="0071779D">
        <w:tc>
          <w:tcPr>
            <w:tcW w:w="534" w:type="dxa"/>
            <w:tcBorders>
              <w:bottom w:val="single" w:sz="4" w:space="0" w:color="auto"/>
            </w:tcBorders>
          </w:tcPr>
          <w:p w14:paraId="07A26684" w14:textId="77777777" w:rsidR="004D445F" w:rsidRPr="00202983" w:rsidRDefault="004D445F" w:rsidP="0071282B">
            <w:pPr>
              <w:spacing w:before="120" w:after="120"/>
              <w:rPr>
                <w:rFonts w:asciiTheme="minorHAnsi" w:hAnsiTheme="minorHAnsi" w:cstheme="minorHAnsi"/>
              </w:rPr>
            </w:pPr>
            <w:r>
              <w:rPr>
                <w:rFonts w:asciiTheme="minorHAnsi" w:hAnsiTheme="minorHAnsi" w:cstheme="minorHAnsi"/>
              </w:rPr>
              <w:t>7</w:t>
            </w:r>
          </w:p>
        </w:tc>
        <w:tc>
          <w:tcPr>
            <w:tcW w:w="8392" w:type="dxa"/>
          </w:tcPr>
          <w:p w14:paraId="7C437DE3" w14:textId="1BB44147" w:rsidR="004D445F" w:rsidRPr="00202983" w:rsidRDefault="005505D2" w:rsidP="0071282B">
            <w:pPr>
              <w:spacing w:before="120" w:after="120"/>
              <w:rPr>
                <w:rFonts w:asciiTheme="minorHAnsi" w:hAnsiTheme="minorHAnsi" w:cstheme="minorHAnsi"/>
              </w:rPr>
            </w:pPr>
            <w:r>
              <w:rPr>
                <w:rFonts w:asciiTheme="minorHAnsi" w:hAnsiTheme="minorHAnsi" w:cstheme="minorHAnsi"/>
              </w:rPr>
              <w:t>I</w:t>
            </w:r>
            <w:r w:rsidR="004D445F">
              <w:rPr>
                <w:rFonts w:asciiTheme="minorHAnsi" w:hAnsiTheme="minorHAnsi" w:cstheme="minorHAnsi"/>
              </w:rPr>
              <w:t>nitial note on regulatory reset process</w:t>
            </w:r>
            <w:r w:rsidR="009F7170">
              <w:rPr>
                <w:rFonts w:asciiTheme="minorHAnsi" w:hAnsiTheme="minorHAnsi" w:cstheme="minorHAnsi"/>
              </w:rPr>
              <w:t xml:space="preserve"> [confidential paper subject to limited waiver]</w:t>
            </w:r>
          </w:p>
        </w:tc>
      </w:tr>
      <w:tr w:rsidR="004D445F" w:rsidRPr="00202983" w14:paraId="77C134AD" w14:textId="77777777" w:rsidTr="0071282B">
        <w:tc>
          <w:tcPr>
            <w:tcW w:w="534" w:type="dxa"/>
            <w:tcBorders>
              <w:bottom w:val="single" w:sz="4" w:space="0" w:color="auto"/>
            </w:tcBorders>
          </w:tcPr>
          <w:p w14:paraId="1C07F715" w14:textId="77777777" w:rsidR="004D445F" w:rsidRPr="00202983" w:rsidRDefault="004D445F" w:rsidP="004D445F">
            <w:pPr>
              <w:spacing w:before="120" w:after="120"/>
              <w:rPr>
                <w:rFonts w:asciiTheme="minorHAnsi" w:hAnsiTheme="minorHAnsi" w:cstheme="minorHAnsi"/>
              </w:rPr>
            </w:pPr>
            <w:r>
              <w:rPr>
                <w:rFonts w:asciiTheme="minorHAnsi" w:hAnsiTheme="minorHAnsi" w:cstheme="minorHAnsi"/>
              </w:rPr>
              <w:t>8</w:t>
            </w:r>
          </w:p>
        </w:tc>
        <w:tc>
          <w:tcPr>
            <w:tcW w:w="8392" w:type="dxa"/>
            <w:tcBorders>
              <w:bottom w:val="single" w:sz="4" w:space="0" w:color="auto"/>
            </w:tcBorders>
          </w:tcPr>
          <w:p w14:paraId="789E9B85" w14:textId="3D91C5D1" w:rsidR="004D445F" w:rsidRPr="00202983" w:rsidRDefault="004D445F" w:rsidP="004D445F">
            <w:pPr>
              <w:spacing w:before="120" w:after="120"/>
              <w:rPr>
                <w:rFonts w:asciiTheme="minorHAnsi" w:hAnsiTheme="minorHAnsi" w:cstheme="minorHAnsi"/>
              </w:rPr>
            </w:pPr>
            <w:r w:rsidRPr="00202983">
              <w:rPr>
                <w:rFonts w:asciiTheme="minorHAnsi" w:hAnsiTheme="minorHAnsi" w:cstheme="minorHAnsi"/>
              </w:rPr>
              <w:t xml:space="preserve">Working Group </w:t>
            </w:r>
            <w:r>
              <w:rPr>
                <w:rFonts w:asciiTheme="minorHAnsi" w:hAnsiTheme="minorHAnsi" w:cstheme="minorHAnsi"/>
              </w:rPr>
              <w:t>draft f</w:t>
            </w:r>
            <w:r w:rsidRPr="00202983">
              <w:rPr>
                <w:rFonts w:asciiTheme="minorHAnsi" w:hAnsiTheme="minorHAnsi" w:cstheme="minorHAnsi"/>
              </w:rPr>
              <w:t xml:space="preserve">orward work program </w:t>
            </w:r>
          </w:p>
        </w:tc>
      </w:tr>
      <w:tr w:rsidR="004D445F" w:rsidRPr="00202983" w14:paraId="7EBEA907" w14:textId="77777777" w:rsidTr="0071282B">
        <w:tc>
          <w:tcPr>
            <w:tcW w:w="534" w:type="dxa"/>
            <w:tcBorders>
              <w:bottom w:val="single" w:sz="4" w:space="0" w:color="auto"/>
            </w:tcBorders>
          </w:tcPr>
          <w:p w14:paraId="4A0EB853" w14:textId="77777777" w:rsidR="004D445F" w:rsidRPr="00202983" w:rsidRDefault="004D445F" w:rsidP="004D445F">
            <w:pPr>
              <w:spacing w:before="120" w:after="120"/>
              <w:rPr>
                <w:rFonts w:asciiTheme="minorHAnsi" w:hAnsiTheme="minorHAnsi" w:cstheme="minorHAnsi"/>
              </w:rPr>
            </w:pPr>
            <w:r>
              <w:rPr>
                <w:rFonts w:asciiTheme="minorHAnsi" w:hAnsiTheme="minorHAnsi" w:cstheme="minorHAnsi"/>
              </w:rPr>
              <w:t>9</w:t>
            </w:r>
          </w:p>
        </w:tc>
        <w:tc>
          <w:tcPr>
            <w:tcW w:w="8392" w:type="dxa"/>
          </w:tcPr>
          <w:p w14:paraId="31C21C26" w14:textId="1C5EC648" w:rsidR="004D445F" w:rsidRPr="00202983" w:rsidRDefault="004D445F" w:rsidP="004D445F">
            <w:pPr>
              <w:spacing w:before="120" w:after="120"/>
              <w:rPr>
                <w:rFonts w:asciiTheme="minorHAnsi" w:hAnsiTheme="minorHAnsi" w:cstheme="minorHAnsi"/>
              </w:rPr>
            </w:pPr>
            <w:r w:rsidRPr="00202983">
              <w:rPr>
                <w:rFonts w:asciiTheme="minorHAnsi" w:hAnsiTheme="minorHAnsi" w:cstheme="minorHAnsi"/>
              </w:rPr>
              <w:t xml:space="preserve">Next meeting </w:t>
            </w:r>
          </w:p>
        </w:tc>
      </w:tr>
    </w:tbl>
    <w:p w14:paraId="76D0DC36" w14:textId="416668B8" w:rsidR="001D0BFF" w:rsidRDefault="001D0BFF" w:rsidP="001D0BFF">
      <w:pPr>
        <w:rPr>
          <w:rFonts w:asciiTheme="minorHAnsi" w:hAnsiTheme="minorHAnsi" w:cstheme="minorHAnsi"/>
          <w:b/>
          <w:sz w:val="20"/>
          <w:szCs w:val="20"/>
        </w:rPr>
      </w:pPr>
      <w:r w:rsidRPr="00202983">
        <w:rPr>
          <w:rFonts w:asciiTheme="minorHAnsi" w:hAnsiTheme="minorHAnsi" w:cstheme="minorHAnsi"/>
          <w:b/>
          <w:sz w:val="20"/>
          <w:szCs w:val="20"/>
        </w:rPr>
        <w:t>Next meeting scheduled for:</w:t>
      </w:r>
      <w:r w:rsidRPr="00202983">
        <w:rPr>
          <w:rFonts w:asciiTheme="minorHAnsi" w:hAnsiTheme="minorHAnsi" w:cstheme="minorHAnsi"/>
          <w:sz w:val="20"/>
          <w:szCs w:val="20"/>
        </w:rPr>
        <w:t xml:space="preserve"> </w:t>
      </w:r>
      <w:r w:rsidRPr="00202983">
        <w:rPr>
          <w:rFonts w:asciiTheme="minorHAnsi" w:hAnsiTheme="minorHAnsi" w:cstheme="minorHAnsi"/>
          <w:b/>
          <w:bCs/>
          <w:sz w:val="20"/>
          <w:szCs w:val="20"/>
        </w:rPr>
        <w:t xml:space="preserve">2:00pm to </w:t>
      </w:r>
      <w:r>
        <w:rPr>
          <w:rFonts w:asciiTheme="minorHAnsi" w:hAnsiTheme="minorHAnsi" w:cstheme="minorHAnsi"/>
          <w:b/>
          <w:bCs/>
          <w:sz w:val="20"/>
          <w:szCs w:val="20"/>
        </w:rPr>
        <w:t>4:00</w:t>
      </w:r>
      <w:r w:rsidRPr="00202983">
        <w:rPr>
          <w:rFonts w:asciiTheme="minorHAnsi" w:hAnsiTheme="minorHAnsi" w:cstheme="minorHAnsi"/>
          <w:b/>
          <w:bCs/>
          <w:sz w:val="20"/>
          <w:szCs w:val="20"/>
        </w:rPr>
        <w:t>pm</w:t>
      </w:r>
      <w:r>
        <w:rPr>
          <w:rFonts w:asciiTheme="minorHAnsi" w:hAnsiTheme="minorHAnsi" w:cstheme="minorHAnsi"/>
          <w:b/>
          <w:sz w:val="20"/>
          <w:szCs w:val="20"/>
        </w:rPr>
        <w:t xml:space="preserve">, Thursday </w:t>
      </w:r>
      <w:r w:rsidR="009339E1">
        <w:rPr>
          <w:rFonts w:asciiTheme="minorHAnsi" w:hAnsiTheme="minorHAnsi" w:cstheme="minorHAnsi"/>
          <w:b/>
          <w:sz w:val="20"/>
          <w:szCs w:val="20"/>
        </w:rPr>
        <w:t>18 November</w:t>
      </w:r>
      <w:r w:rsidRPr="00202983">
        <w:rPr>
          <w:rFonts w:asciiTheme="minorHAnsi" w:hAnsiTheme="minorHAnsi" w:cstheme="minorHAnsi"/>
          <w:b/>
          <w:sz w:val="20"/>
          <w:szCs w:val="20"/>
        </w:rPr>
        <w:t xml:space="preserve"> 2021</w:t>
      </w:r>
    </w:p>
    <w:p w14:paraId="459CE819" w14:textId="77777777" w:rsidR="001D0BFF" w:rsidRDefault="001D0BFF" w:rsidP="001D0BFF">
      <w:pPr>
        <w:rPr>
          <w:rFonts w:asciiTheme="minorHAnsi" w:hAnsiTheme="minorHAnsi" w:cstheme="minorHAnsi"/>
          <w:b/>
          <w:sz w:val="20"/>
          <w:szCs w:val="20"/>
        </w:rPr>
      </w:pPr>
    </w:p>
    <w:p w14:paraId="2F80D0E3" w14:textId="77777777" w:rsidR="001D0BFF" w:rsidRDefault="001D0BFF" w:rsidP="001D0BFF">
      <w:pPr>
        <w:rPr>
          <w:rFonts w:asciiTheme="minorHAnsi" w:hAnsiTheme="minorHAnsi" w:cstheme="minorHAnsi"/>
          <w:b/>
          <w:sz w:val="20"/>
          <w:szCs w:val="20"/>
        </w:rPr>
      </w:pPr>
      <w:r>
        <w:rPr>
          <w:rFonts w:asciiTheme="minorHAnsi" w:hAnsiTheme="minorHAnsi" w:cstheme="minorHAnsi"/>
          <w:b/>
          <w:sz w:val="20"/>
          <w:szCs w:val="20"/>
        </w:rPr>
        <w:t>Meeting summary</w:t>
      </w:r>
    </w:p>
    <w:p w14:paraId="7BDA6B14" w14:textId="4D6D43AF" w:rsidR="001D0BFF" w:rsidRDefault="001D0BFF" w:rsidP="001D0BFF">
      <w:pPr>
        <w:rPr>
          <w:rFonts w:asciiTheme="minorHAnsi" w:hAnsiTheme="minorHAnsi" w:cstheme="minorHAnsi"/>
          <w:sz w:val="20"/>
          <w:szCs w:val="20"/>
        </w:rPr>
      </w:pPr>
      <w:r w:rsidRPr="0004736C">
        <w:rPr>
          <w:rFonts w:asciiTheme="minorHAnsi" w:hAnsiTheme="minorHAnsi" w:cstheme="minorHAnsi"/>
          <w:sz w:val="20"/>
          <w:szCs w:val="20"/>
        </w:rPr>
        <w:t>The Chair</w:t>
      </w:r>
      <w:r w:rsidR="006C19BF">
        <w:rPr>
          <w:rFonts w:asciiTheme="minorHAnsi" w:hAnsiTheme="minorHAnsi" w:cstheme="minorHAnsi"/>
          <w:sz w:val="20"/>
          <w:szCs w:val="20"/>
        </w:rPr>
        <w:t xml:space="preserve"> commenced the meeting and</w:t>
      </w:r>
      <w:r w:rsidRPr="0004736C">
        <w:rPr>
          <w:rFonts w:asciiTheme="minorHAnsi" w:hAnsiTheme="minorHAnsi" w:cstheme="minorHAnsi"/>
          <w:sz w:val="20"/>
          <w:szCs w:val="20"/>
        </w:rPr>
        <w:t xml:space="preserve"> </w:t>
      </w:r>
      <w:r>
        <w:rPr>
          <w:rFonts w:asciiTheme="minorHAnsi" w:hAnsiTheme="minorHAnsi" w:cstheme="minorHAnsi"/>
          <w:sz w:val="20"/>
          <w:szCs w:val="20"/>
        </w:rPr>
        <w:t xml:space="preserve">welcomed attendees. </w:t>
      </w:r>
      <w:r w:rsidR="003D0781">
        <w:rPr>
          <w:rFonts w:asciiTheme="minorHAnsi" w:hAnsiTheme="minorHAnsi" w:cstheme="minorHAnsi"/>
          <w:sz w:val="20"/>
          <w:szCs w:val="20"/>
        </w:rPr>
        <w:t>The Chair noted that the key action items from the last meeting have been progressed and will be discussed as the first two substantive items on the agenda.</w:t>
      </w:r>
    </w:p>
    <w:p w14:paraId="26D319AD" w14:textId="287460EE" w:rsidR="003B592A" w:rsidRDefault="003B592A" w:rsidP="003B592A">
      <w:pPr>
        <w:rPr>
          <w:rFonts w:asciiTheme="minorHAnsi" w:hAnsiTheme="minorHAnsi" w:cstheme="minorHAnsi"/>
          <w:sz w:val="20"/>
          <w:szCs w:val="20"/>
        </w:rPr>
      </w:pPr>
      <w:r>
        <w:rPr>
          <w:rFonts w:asciiTheme="minorHAnsi" w:hAnsiTheme="minorHAnsi" w:cstheme="minorHAnsi"/>
          <w:sz w:val="20"/>
          <w:szCs w:val="20"/>
        </w:rPr>
        <w:t>NBN Co provided a brief update on the process for its proposed extension of WBA4, noting that it had extended the timeframe for access seekers to decide whether to agree to extend</w:t>
      </w:r>
      <w:r w:rsidR="003E5BB6">
        <w:rPr>
          <w:rFonts w:asciiTheme="minorHAnsi" w:hAnsiTheme="minorHAnsi" w:cstheme="minorHAnsi"/>
          <w:sz w:val="20"/>
          <w:szCs w:val="20"/>
        </w:rPr>
        <w:t xml:space="preserve"> the expiry date of WBA4</w:t>
      </w:r>
      <w:r>
        <w:rPr>
          <w:rFonts w:asciiTheme="minorHAnsi" w:hAnsiTheme="minorHAnsi" w:cstheme="minorHAnsi"/>
          <w:sz w:val="20"/>
          <w:szCs w:val="20"/>
        </w:rPr>
        <w:t>.</w:t>
      </w:r>
      <w:r w:rsidR="003E5BB6">
        <w:rPr>
          <w:rFonts w:asciiTheme="minorHAnsi" w:hAnsiTheme="minorHAnsi" w:cstheme="minorHAnsi"/>
          <w:sz w:val="20"/>
          <w:szCs w:val="20"/>
        </w:rPr>
        <w:t xml:space="preserve"> This is intended to allow access seekers to better understand the access arrangements likely to result from a revised SAU prior to making this decision.</w:t>
      </w:r>
      <w:r>
        <w:rPr>
          <w:rFonts w:asciiTheme="minorHAnsi" w:hAnsiTheme="minorHAnsi" w:cstheme="minorHAnsi"/>
          <w:sz w:val="20"/>
          <w:szCs w:val="20"/>
        </w:rPr>
        <w:t xml:space="preserve"> </w:t>
      </w:r>
    </w:p>
    <w:p w14:paraId="2CEEA9DC" w14:textId="4460E582" w:rsidR="006C19BF" w:rsidRDefault="005E2E1F" w:rsidP="001D0BFF">
      <w:pPr>
        <w:rPr>
          <w:rFonts w:asciiTheme="minorHAnsi" w:hAnsiTheme="minorHAnsi" w:cstheme="minorHAnsi"/>
          <w:sz w:val="20"/>
          <w:szCs w:val="20"/>
        </w:rPr>
      </w:pPr>
      <w:r>
        <w:rPr>
          <w:rFonts w:asciiTheme="minorHAnsi" w:hAnsiTheme="minorHAnsi" w:cstheme="minorHAnsi"/>
          <w:sz w:val="20"/>
          <w:szCs w:val="20"/>
        </w:rPr>
        <w:t>Th</w:t>
      </w:r>
      <w:r w:rsidR="003E5BB6">
        <w:rPr>
          <w:rFonts w:asciiTheme="minorHAnsi" w:hAnsiTheme="minorHAnsi" w:cstheme="minorHAnsi"/>
          <w:sz w:val="20"/>
          <w:szCs w:val="20"/>
        </w:rPr>
        <w:t>e</w:t>
      </w:r>
      <w:r>
        <w:rPr>
          <w:rFonts w:asciiTheme="minorHAnsi" w:hAnsiTheme="minorHAnsi" w:cstheme="minorHAnsi"/>
          <w:sz w:val="20"/>
          <w:szCs w:val="20"/>
        </w:rPr>
        <w:t xml:space="preserve"> next item concerned the practicalities of </w:t>
      </w:r>
      <w:r w:rsidR="003E5BB6">
        <w:rPr>
          <w:rFonts w:asciiTheme="minorHAnsi" w:hAnsiTheme="minorHAnsi" w:cstheme="minorHAnsi"/>
          <w:sz w:val="20"/>
          <w:szCs w:val="20"/>
        </w:rPr>
        <w:t>developing some of the</w:t>
      </w:r>
      <w:r>
        <w:rPr>
          <w:rFonts w:asciiTheme="minorHAnsi" w:hAnsiTheme="minorHAnsi" w:cstheme="minorHAnsi"/>
          <w:sz w:val="20"/>
          <w:szCs w:val="20"/>
        </w:rPr>
        <w:t xml:space="preserve"> </w:t>
      </w:r>
      <w:r w:rsidR="003E5BB6">
        <w:rPr>
          <w:rFonts w:asciiTheme="minorHAnsi" w:hAnsiTheme="minorHAnsi" w:cstheme="minorHAnsi"/>
          <w:sz w:val="20"/>
          <w:szCs w:val="20"/>
        </w:rPr>
        <w:t xml:space="preserve">performance </w:t>
      </w:r>
      <w:r>
        <w:rPr>
          <w:rFonts w:asciiTheme="minorHAnsi" w:hAnsiTheme="minorHAnsi" w:cstheme="minorHAnsi"/>
          <w:sz w:val="20"/>
          <w:szCs w:val="20"/>
        </w:rPr>
        <w:t xml:space="preserve">metrics and </w:t>
      </w:r>
      <w:r w:rsidR="003E5BB6">
        <w:rPr>
          <w:rFonts w:asciiTheme="minorHAnsi" w:hAnsiTheme="minorHAnsi" w:cstheme="minorHAnsi"/>
          <w:sz w:val="20"/>
          <w:szCs w:val="20"/>
        </w:rPr>
        <w:t xml:space="preserve">making available </w:t>
      </w:r>
      <w:r>
        <w:rPr>
          <w:rFonts w:asciiTheme="minorHAnsi" w:hAnsiTheme="minorHAnsi" w:cstheme="minorHAnsi"/>
          <w:sz w:val="20"/>
          <w:szCs w:val="20"/>
        </w:rPr>
        <w:t xml:space="preserve">other information that </w:t>
      </w:r>
      <w:r w:rsidR="003E5BB6">
        <w:rPr>
          <w:rFonts w:asciiTheme="minorHAnsi" w:hAnsiTheme="minorHAnsi" w:cstheme="minorHAnsi"/>
          <w:sz w:val="20"/>
          <w:szCs w:val="20"/>
        </w:rPr>
        <w:t xml:space="preserve">access seekers </w:t>
      </w:r>
      <w:r>
        <w:rPr>
          <w:rFonts w:asciiTheme="minorHAnsi" w:hAnsiTheme="minorHAnsi" w:cstheme="minorHAnsi"/>
          <w:sz w:val="20"/>
          <w:szCs w:val="20"/>
        </w:rPr>
        <w:t xml:space="preserve">had raised for consideration, including any that may be needed to support an AVC only </w:t>
      </w:r>
      <w:r w:rsidR="003E5BB6">
        <w:rPr>
          <w:rFonts w:asciiTheme="minorHAnsi" w:hAnsiTheme="minorHAnsi" w:cstheme="minorHAnsi"/>
          <w:sz w:val="20"/>
          <w:szCs w:val="20"/>
        </w:rPr>
        <w:t xml:space="preserve">access </w:t>
      </w:r>
      <w:r>
        <w:rPr>
          <w:rFonts w:asciiTheme="minorHAnsi" w:hAnsiTheme="minorHAnsi" w:cstheme="minorHAnsi"/>
          <w:sz w:val="20"/>
          <w:szCs w:val="20"/>
        </w:rPr>
        <w:t>product. Th</w:t>
      </w:r>
      <w:r w:rsidR="003E5BB6">
        <w:rPr>
          <w:rFonts w:asciiTheme="minorHAnsi" w:hAnsiTheme="minorHAnsi" w:cstheme="minorHAnsi"/>
          <w:sz w:val="20"/>
          <w:szCs w:val="20"/>
        </w:rPr>
        <w:t>is</w:t>
      </w:r>
      <w:r>
        <w:rPr>
          <w:rFonts w:asciiTheme="minorHAnsi" w:hAnsiTheme="minorHAnsi" w:cstheme="minorHAnsi"/>
          <w:sz w:val="20"/>
          <w:szCs w:val="20"/>
        </w:rPr>
        <w:t xml:space="preserve"> will be further explored ahead of the next meeting. </w:t>
      </w:r>
    </w:p>
    <w:p w14:paraId="539C6802" w14:textId="242436FE" w:rsidR="005F7016" w:rsidRDefault="005F7016" w:rsidP="001D0BFF">
      <w:pPr>
        <w:rPr>
          <w:rFonts w:asciiTheme="minorHAnsi" w:hAnsiTheme="minorHAnsi" w:cstheme="minorHAnsi"/>
          <w:sz w:val="20"/>
          <w:szCs w:val="20"/>
        </w:rPr>
      </w:pPr>
    </w:p>
    <w:p w14:paraId="6C424FAF" w14:textId="3403F32A" w:rsidR="00672935" w:rsidRDefault="00672935" w:rsidP="001D0BFF">
      <w:pPr>
        <w:rPr>
          <w:rFonts w:asciiTheme="minorHAnsi" w:hAnsiTheme="minorHAnsi" w:cstheme="minorHAnsi"/>
          <w:sz w:val="20"/>
          <w:szCs w:val="20"/>
        </w:rPr>
      </w:pPr>
      <w:r>
        <w:rPr>
          <w:rFonts w:asciiTheme="minorHAnsi" w:hAnsiTheme="minorHAnsi" w:cstheme="minorHAnsi"/>
          <w:sz w:val="20"/>
          <w:szCs w:val="20"/>
        </w:rPr>
        <w:lastRenderedPageBreak/>
        <w:t>An information paper was then presented on the Australian Energy Regulator’s regulatory reset process for electricity transmission and distribution networks</w:t>
      </w:r>
      <w:r w:rsidR="006A1096">
        <w:rPr>
          <w:rFonts w:asciiTheme="minorHAnsi" w:hAnsiTheme="minorHAnsi" w:cstheme="minorHAnsi"/>
          <w:sz w:val="20"/>
          <w:szCs w:val="20"/>
        </w:rPr>
        <w:t>,</w:t>
      </w:r>
      <w:r>
        <w:rPr>
          <w:rFonts w:asciiTheme="minorHAnsi" w:hAnsiTheme="minorHAnsi" w:cstheme="minorHAnsi"/>
          <w:sz w:val="20"/>
          <w:szCs w:val="20"/>
        </w:rPr>
        <w:t xml:space="preserve"> as an example of reset process used in another </w:t>
      </w:r>
      <w:r w:rsidR="003A679D">
        <w:rPr>
          <w:rFonts w:asciiTheme="minorHAnsi" w:hAnsiTheme="minorHAnsi" w:cstheme="minorHAnsi"/>
          <w:sz w:val="20"/>
          <w:szCs w:val="20"/>
        </w:rPr>
        <w:t xml:space="preserve">regulated </w:t>
      </w:r>
      <w:r>
        <w:rPr>
          <w:rFonts w:asciiTheme="minorHAnsi" w:hAnsiTheme="minorHAnsi" w:cstheme="minorHAnsi"/>
          <w:sz w:val="20"/>
          <w:szCs w:val="20"/>
        </w:rPr>
        <w:t xml:space="preserve">industry. It was noted that an important difference between the electricity regime and the NBN context is that the electricity reset process is conducted in accordance with the National Electricity Rules and there are no equivalent rules for telecommunications. However, it was noted that the fixed </w:t>
      </w:r>
      <w:r w:rsidRPr="003A679D">
        <w:rPr>
          <w:rFonts w:asciiTheme="minorHAnsi" w:hAnsiTheme="minorHAnsi" w:cstheme="minorHAnsi"/>
          <w:sz w:val="20"/>
          <w:szCs w:val="20"/>
        </w:rPr>
        <w:t xml:space="preserve">principles </w:t>
      </w:r>
      <w:r w:rsidR="006A1096" w:rsidRPr="003A679D">
        <w:rPr>
          <w:rFonts w:asciiTheme="minorHAnsi" w:hAnsiTheme="minorHAnsi" w:cstheme="minorHAnsi"/>
          <w:sz w:val="20"/>
          <w:szCs w:val="20"/>
        </w:rPr>
        <w:t xml:space="preserve">in the SAU </w:t>
      </w:r>
      <w:r w:rsidR="00845BC6">
        <w:rPr>
          <w:rFonts w:asciiTheme="minorHAnsi" w:hAnsiTheme="minorHAnsi" w:cstheme="minorHAnsi"/>
          <w:sz w:val="20"/>
          <w:szCs w:val="20"/>
        </w:rPr>
        <w:t xml:space="preserve">could </w:t>
      </w:r>
      <w:r w:rsidR="006A1096" w:rsidRPr="003A679D">
        <w:rPr>
          <w:rFonts w:asciiTheme="minorHAnsi" w:hAnsiTheme="minorHAnsi" w:cstheme="minorHAnsi"/>
          <w:sz w:val="20"/>
          <w:szCs w:val="20"/>
        </w:rPr>
        <w:t>play</w:t>
      </w:r>
      <w:r w:rsidR="006A1096">
        <w:rPr>
          <w:rFonts w:asciiTheme="minorHAnsi" w:hAnsiTheme="minorHAnsi" w:cstheme="minorHAnsi"/>
          <w:sz w:val="20"/>
          <w:szCs w:val="20"/>
        </w:rPr>
        <w:t xml:space="preserve"> a similar role as the National Electricity Rules</w:t>
      </w:r>
      <w:r w:rsidR="00027E38">
        <w:rPr>
          <w:rFonts w:asciiTheme="minorHAnsi" w:hAnsiTheme="minorHAnsi" w:cstheme="minorHAnsi"/>
          <w:sz w:val="20"/>
          <w:szCs w:val="20"/>
        </w:rPr>
        <w:t>, albeit at a higher (less prescriptive) level</w:t>
      </w:r>
      <w:r w:rsidR="006A1096">
        <w:rPr>
          <w:rFonts w:asciiTheme="minorHAnsi" w:hAnsiTheme="minorHAnsi" w:cstheme="minorHAnsi"/>
          <w:sz w:val="20"/>
          <w:szCs w:val="20"/>
        </w:rPr>
        <w:t xml:space="preserve">. </w:t>
      </w:r>
      <w:r w:rsidR="00845BC6">
        <w:rPr>
          <w:rFonts w:asciiTheme="minorHAnsi" w:hAnsiTheme="minorHAnsi" w:cstheme="minorHAnsi"/>
          <w:sz w:val="20"/>
          <w:szCs w:val="20"/>
        </w:rPr>
        <w:t xml:space="preserve">Participants asked questions concerning </w:t>
      </w:r>
      <w:r w:rsidR="006A1096">
        <w:rPr>
          <w:rFonts w:asciiTheme="minorHAnsi" w:hAnsiTheme="minorHAnsi" w:cstheme="minorHAnsi"/>
          <w:sz w:val="20"/>
          <w:szCs w:val="20"/>
        </w:rPr>
        <w:t xml:space="preserve">how the AER assesses expenditure forecasts and how it would </w:t>
      </w:r>
      <w:r w:rsidR="00845BC6">
        <w:rPr>
          <w:rFonts w:asciiTheme="minorHAnsi" w:hAnsiTheme="minorHAnsi" w:cstheme="minorHAnsi"/>
          <w:sz w:val="20"/>
          <w:szCs w:val="20"/>
        </w:rPr>
        <w:t xml:space="preserve">take into account </w:t>
      </w:r>
      <w:r w:rsidR="006A1096">
        <w:rPr>
          <w:rFonts w:asciiTheme="minorHAnsi" w:hAnsiTheme="minorHAnsi" w:cstheme="minorHAnsi"/>
          <w:sz w:val="20"/>
          <w:szCs w:val="20"/>
        </w:rPr>
        <w:t>a significant policy change.</w:t>
      </w:r>
    </w:p>
    <w:p w14:paraId="16D7EB82" w14:textId="1670DE18" w:rsidR="00C834BA" w:rsidRDefault="005505D2" w:rsidP="001D0BFF">
      <w:pPr>
        <w:rPr>
          <w:rFonts w:asciiTheme="minorHAnsi" w:hAnsiTheme="minorHAnsi" w:cstheme="minorHAnsi"/>
          <w:sz w:val="20"/>
          <w:szCs w:val="20"/>
        </w:rPr>
      </w:pPr>
      <w:r>
        <w:rPr>
          <w:rFonts w:asciiTheme="minorHAnsi" w:hAnsiTheme="minorHAnsi" w:cstheme="minorHAnsi"/>
          <w:sz w:val="20"/>
          <w:szCs w:val="20"/>
        </w:rPr>
        <w:t xml:space="preserve">The final paper </w:t>
      </w:r>
      <w:r w:rsidR="00845BC6">
        <w:rPr>
          <w:rFonts w:asciiTheme="minorHAnsi" w:hAnsiTheme="minorHAnsi" w:cstheme="minorHAnsi"/>
          <w:sz w:val="20"/>
          <w:szCs w:val="20"/>
        </w:rPr>
        <w:t xml:space="preserve">outlined </w:t>
      </w:r>
      <w:r>
        <w:rPr>
          <w:rFonts w:asciiTheme="minorHAnsi" w:hAnsiTheme="minorHAnsi" w:cstheme="minorHAnsi"/>
          <w:sz w:val="20"/>
          <w:szCs w:val="20"/>
        </w:rPr>
        <w:t>how the regulatory reset process could be applied in the NBN context.</w:t>
      </w:r>
      <w:r w:rsidR="009F7170">
        <w:rPr>
          <w:rFonts w:asciiTheme="minorHAnsi" w:hAnsiTheme="minorHAnsi" w:cstheme="minorHAnsi"/>
          <w:sz w:val="20"/>
          <w:szCs w:val="20"/>
        </w:rPr>
        <w:t xml:space="preserve"> It </w:t>
      </w:r>
      <w:r w:rsidR="00845BC6">
        <w:rPr>
          <w:rFonts w:asciiTheme="minorHAnsi" w:hAnsiTheme="minorHAnsi" w:cstheme="minorHAnsi"/>
          <w:sz w:val="20"/>
          <w:szCs w:val="20"/>
        </w:rPr>
        <w:t xml:space="preserve">discussed </w:t>
      </w:r>
      <w:r w:rsidR="009F7170">
        <w:rPr>
          <w:rFonts w:asciiTheme="minorHAnsi" w:hAnsiTheme="minorHAnsi" w:cstheme="minorHAnsi"/>
          <w:sz w:val="20"/>
          <w:szCs w:val="20"/>
        </w:rPr>
        <w:t xml:space="preserve">how the concept of rolling resets could be implemented as part of the SAU process. </w:t>
      </w:r>
      <w:r w:rsidR="000C2B0B">
        <w:rPr>
          <w:rFonts w:asciiTheme="minorHAnsi" w:hAnsiTheme="minorHAnsi" w:cstheme="minorHAnsi"/>
          <w:sz w:val="20"/>
          <w:szCs w:val="20"/>
        </w:rPr>
        <w:t>It provided some initial views on the reset process as well as the length and scope of regulatory resets. Following the discussion, further aspects of this will be explored ahead of the next working group meeting.</w:t>
      </w:r>
    </w:p>
    <w:p w14:paraId="03050ADA" w14:textId="3CFD6240" w:rsidR="008E1465" w:rsidRDefault="008E1465" w:rsidP="001D0BFF">
      <w:pPr>
        <w:rPr>
          <w:rFonts w:asciiTheme="minorHAnsi" w:hAnsiTheme="minorHAnsi" w:cstheme="minorHAnsi"/>
          <w:sz w:val="20"/>
          <w:szCs w:val="20"/>
        </w:rPr>
      </w:pPr>
      <w:r>
        <w:rPr>
          <w:rFonts w:asciiTheme="minorHAnsi" w:hAnsiTheme="minorHAnsi" w:cstheme="minorHAnsi"/>
          <w:sz w:val="20"/>
          <w:szCs w:val="20"/>
        </w:rPr>
        <w:t>For the next meeting, participants will prepare a discussion paper on other powers and functions that should be included in the SAU.</w:t>
      </w:r>
    </w:p>
    <w:p w14:paraId="3B3898D1" w14:textId="77777777" w:rsidR="001D0BFF" w:rsidRDefault="001D0BFF" w:rsidP="001D0BFF">
      <w:pPr>
        <w:rPr>
          <w:rFonts w:asciiTheme="minorHAnsi" w:hAnsiTheme="minorHAnsi" w:cstheme="minorHAnsi"/>
          <w:sz w:val="20"/>
          <w:szCs w:val="20"/>
        </w:rPr>
      </w:pPr>
    </w:p>
    <w:p w14:paraId="054B6438" w14:textId="77777777" w:rsidR="001D0BFF" w:rsidRDefault="001D0BFF" w:rsidP="001D0BFF">
      <w:pPr>
        <w:rPr>
          <w:rFonts w:asciiTheme="minorHAnsi" w:hAnsiTheme="minorHAnsi" w:cstheme="minorHAnsi"/>
          <w:sz w:val="20"/>
          <w:szCs w:val="20"/>
        </w:rPr>
      </w:pPr>
    </w:p>
    <w:p w14:paraId="3850671A" w14:textId="77777777" w:rsidR="001D0BFF" w:rsidRDefault="001D0BFF" w:rsidP="001D0BFF">
      <w:pPr>
        <w:rPr>
          <w:rFonts w:asciiTheme="minorHAnsi" w:hAnsiTheme="minorHAnsi" w:cstheme="minorHAnsi"/>
          <w:b/>
          <w:sz w:val="20"/>
          <w:szCs w:val="20"/>
        </w:rPr>
      </w:pPr>
    </w:p>
    <w:p w14:paraId="7F90111B" w14:textId="77777777" w:rsidR="001D0BFF" w:rsidRPr="00202983" w:rsidRDefault="001D0BFF" w:rsidP="001D0BFF">
      <w:pPr>
        <w:rPr>
          <w:rFonts w:asciiTheme="minorHAnsi" w:hAnsiTheme="minorHAnsi" w:cstheme="minorHAnsi"/>
          <w:sz w:val="20"/>
          <w:szCs w:val="20"/>
        </w:rPr>
      </w:pPr>
    </w:p>
    <w:p w14:paraId="0E9B24DE" w14:textId="77777777" w:rsidR="00AC3E35" w:rsidRDefault="00AC3E35"/>
    <w:sectPr w:rsidR="00AC3E35" w:rsidSect="00B62438">
      <w:footerReference w:type="default" r:id="rId11"/>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56885" w14:textId="77777777" w:rsidR="005B311D" w:rsidRDefault="005B311D" w:rsidP="004B4412">
      <w:pPr>
        <w:spacing w:before="0"/>
      </w:pPr>
      <w:r>
        <w:separator/>
      </w:r>
    </w:p>
  </w:endnote>
  <w:endnote w:type="continuationSeparator" w:id="0">
    <w:p w14:paraId="2C509A84" w14:textId="77777777" w:rsidR="005B311D" w:rsidRDefault="005B311D"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914603"/>
      <w:docPartObj>
        <w:docPartGallery w:val="Page Numbers (Bottom of Page)"/>
        <w:docPartUnique/>
      </w:docPartObj>
    </w:sdtPr>
    <w:sdtEndPr>
      <w:rPr>
        <w:noProof/>
      </w:rPr>
    </w:sdtEndPr>
    <w:sdtContent>
      <w:p w14:paraId="2B25EFB6" w14:textId="12B93570" w:rsidR="00CB19C8" w:rsidRDefault="00CB19C8">
        <w:pPr>
          <w:pStyle w:val="Footer"/>
          <w:jc w:val="right"/>
        </w:pPr>
        <w:r>
          <w:fldChar w:fldCharType="begin"/>
        </w:r>
        <w:r>
          <w:instrText xml:space="preserve"> PAGE   \* MERGEFORMAT </w:instrText>
        </w:r>
        <w:r>
          <w:fldChar w:fldCharType="separate"/>
        </w:r>
        <w:r w:rsidR="00027E38">
          <w:rPr>
            <w:noProof/>
          </w:rPr>
          <w:t>2</w:t>
        </w:r>
        <w:r>
          <w:rPr>
            <w:noProof/>
          </w:rPr>
          <w:fldChar w:fldCharType="end"/>
        </w:r>
      </w:p>
    </w:sdtContent>
  </w:sdt>
  <w:p w14:paraId="32A8AC1E" w14:textId="77777777" w:rsidR="00CB19C8" w:rsidRDefault="00CB1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900D" w14:textId="77777777" w:rsidR="00691616" w:rsidRDefault="00691616">
    <w:pPr>
      <w:pStyle w:val="Footer"/>
    </w:pPr>
  </w:p>
  <w:p w14:paraId="210CF2E7" w14:textId="77777777"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7D18C" w14:textId="77777777" w:rsidR="005B311D" w:rsidRDefault="005B311D" w:rsidP="004B4412">
      <w:pPr>
        <w:spacing w:before="0"/>
      </w:pPr>
      <w:r>
        <w:separator/>
      </w:r>
    </w:p>
  </w:footnote>
  <w:footnote w:type="continuationSeparator" w:id="0">
    <w:p w14:paraId="06D8E3E7" w14:textId="77777777" w:rsidR="005B311D" w:rsidRDefault="005B311D" w:rsidP="004B441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4982C7A"/>
    <w:multiLevelType w:val="hybridMultilevel"/>
    <w:tmpl w:val="F94094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0"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3"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4"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5"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6"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7"/>
  </w:num>
  <w:num w:numId="3">
    <w:abstractNumId w:val="7"/>
  </w:num>
  <w:num w:numId="4">
    <w:abstractNumId w:val="6"/>
  </w:num>
  <w:num w:numId="5">
    <w:abstractNumId w:val="5"/>
  </w:num>
  <w:num w:numId="6">
    <w:abstractNumId w:val="4"/>
  </w:num>
  <w:num w:numId="7">
    <w:abstractNumId w:val="1"/>
  </w:num>
  <w:num w:numId="8">
    <w:abstractNumId w:val="0"/>
  </w:num>
  <w:num w:numId="9">
    <w:abstractNumId w:val="22"/>
  </w:num>
  <w:num w:numId="10">
    <w:abstractNumId w:val="16"/>
  </w:num>
  <w:num w:numId="11">
    <w:abstractNumId w:val="9"/>
  </w:num>
  <w:num w:numId="12">
    <w:abstractNumId w:val="13"/>
  </w:num>
  <w:num w:numId="13">
    <w:abstractNumId w:val="15"/>
  </w:num>
  <w:num w:numId="14">
    <w:abstractNumId w:val="2"/>
  </w:num>
  <w:num w:numId="15">
    <w:abstractNumId w:val="23"/>
  </w:num>
  <w:num w:numId="16">
    <w:abstractNumId w:val="26"/>
  </w:num>
  <w:num w:numId="17">
    <w:abstractNumId w:val="25"/>
  </w:num>
  <w:num w:numId="18">
    <w:abstractNumId w:val="19"/>
  </w:num>
  <w:num w:numId="19">
    <w:abstractNumId w:val="14"/>
  </w:num>
  <w:num w:numId="20">
    <w:abstractNumId w:val="17"/>
  </w:num>
  <w:num w:numId="21">
    <w:abstractNumId w:val="24"/>
  </w:num>
  <w:num w:numId="22">
    <w:abstractNumId w:val="20"/>
  </w:num>
  <w:num w:numId="23">
    <w:abstractNumId w:val="8"/>
  </w:num>
  <w:num w:numId="24">
    <w:abstractNumId w:val="3"/>
  </w:num>
  <w:num w:numId="25">
    <w:abstractNumId w:val="18"/>
  </w:num>
  <w:num w:numId="26">
    <w:abstractNumId w:val="12"/>
  </w:num>
  <w:num w:numId="27">
    <w:abstractNumId w:val="21"/>
  </w:num>
  <w:num w:numId="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homesharecl\HomeDrives\dsmit\Desktop\Normal.dotm"/>
  </w:docVars>
  <w:rsids>
    <w:rsidRoot w:val="001D0BFF"/>
    <w:rsid w:val="0002115F"/>
    <w:rsid w:val="00021202"/>
    <w:rsid w:val="000225C4"/>
    <w:rsid w:val="0002508C"/>
    <w:rsid w:val="00027E38"/>
    <w:rsid w:val="0003578C"/>
    <w:rsid w:val="00063247"/>
    <w:rsid w:val="00070F9F"/>
    <w:rsid w:val="0007137B"/>
    <w:rsid w:val="00085663"/>
    <w:rsid w:val="00085EBF"/>
    <w:rsid w:val="000C2B0B"/>
    <w:rsid w:val="000D122C"/>
    <w:rsid w:val="000E1819"/>
    <w:rsid w:val="000E6C72"/>
    <w:rsid w:val="000F2368"/>
    <w:rsid w:val="000F7F19"/>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D0BFF"/>
    <w:rsid w:val="001F492E"/>
    <w:rsid w:val="001F6DA3"/>
    <w:rsid w:val="00212737"/>
    <w:rsid w:val="00224DB9"/>
    <w:rsid w:val="00251745"/>
    <w:rsid w:val="00263AC0"/>
    <w:rsid w:val="0026772D"/>
    <w:rsid w:val="00286874"/>
    <w:rsid w:val="00296B65"/>
    <w:rsid w:val="002A0251"/>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91C4A"/>
    <w:rsid w:val="003A673F"/>
    <w:rsid w:val="003A679D"/>
    <w:rsid w:val="003B592A"/>
    <w:rsid w:val="003B5A70"/>
    <w:rsid w:val="003D0781"/>
    <w:rsid w:val="003E5BB6"/>
    <w:rsid w:val="0041638D"/>
    <w:rsid w:val="00475DDE"/>
    <w:rsid w:val="00480B4B"/>
    <w:rsid w:val="00482753"/>
    <w:rsid w:val="00485DC4"/>
    <w:rsid w:val="004B4412"/>
    <w:rsid w:val="004C348C"/>
    <w:rsid w:val="004D1733"/>
    <w:rsid w:val="004D445F"/>
    <w:rsid w:val="004D55BA"/>
    <w:rsid w:val="005038DB"/>
    <w:rsid w:val="0052379B"/>
    <w:rsid w:val="00530128"/>
    <w:rsid w:val="00531347"/>
    <w:rsid w:val="00532467"/>
    <w:rsid w:val="00547BA2"/>
    <w:rsid w:val="00547CCF"/>
    <w:rsid w:val="005505D2"/>
    <w:rsid w:val="00564A4D"/>
    <w:rsid w:val="00571B35"/>
    <w:rsid w:val="00571C9F"/>
    <w:rsid w:val="00577A09"/>
    <w:rsid w:val="00580B78"/>
    <w:rsid w:val="00584D8F"/>
    <w:rsid w:val="00596D42"/>
    <w:rsid w:val="005A404D"/>
    <w:rsid w:val="005B1E3C"/>
    <w:rsid w:val="005B311D"/>
    <w:rsid w:val="005C24AC"/>
    <w:rsid w:val="005C26CC"/>
    <w:rsid w:val="005E2E1F"/>
    <w:rsid w:val="005E6C0E"/>
    <w:rsid w:val="005F7016"/>
    <w:rsid w:val="00615C6B"/>
    <w:rsid w:val="00632D6D"/>
    <w:rsid w:val="00642C3E"/>
    <w:rsid w:val="00646025"/>
    <w:rsid w:val="0066265D"/>
    <w:rsid w:val="00663DAD"/>
    <w:rsid w:val="00672935"/>
    <w:rsid w:val="00676679"/>
    <w:rsid w:val="00691616"/>
    <w:rsid w:val="006A1096"/>
    <w:rsid w:val="006B4CF9"/>
    <w:rsid w:val="006B7AC8"/>
    <w:rsid w:val="006C19BF"/>
    <w:rsid w:val="006D4FE5"/>
    <w:rsid w:val="006D550F"/>
    <w:rsid w:val="006D77F3"/>
    <w:rsid w:val="00701CAB"/>
    <w:rsid w:val="00707563"/>
    <w:rsid w:val="0072348C"/>
    <w:rsid w:val="00724A37"/>
    <w:rsid w:val="007303C3"/>
    <w:rsid w:val="00743223"/>
    <w:rsid w:val="00746E01"/>
    <w:rsid w:val="00763E5D"/>
    <w:rsid w:val="00767740"/>
    <w:rsid w:val="00775671"/>
    <w:rsid w:val="00777EE6"/>
    <w:rsid w:val="00782EEA"/>
    <w:rsid w:val="007B2C72"/>
    <w:rsid w:val="007B4BFE"/>
    <w:rsid w:val="007C1C53"/>
    <w:rsid w:val="007E26A9"/>
    <w:rsid w:val="007E4904"/>
    <w:rsid w:val="007E4CB5"/>
    <w:rsid w:val="007F066B"/>
    <w:rsid w:val="008033C4"/>
    <w:rsid w:val="00806C88"/>
    <w:rsid w:val="0081034E"/>
    <w:rsid w:val="008344F6"/>
    <w:rsid w:val="0083510F"/>
    <w:rsid w:val="00845BC6"/>
    <w:rsid w:val="00851209"/>
    <w:rsid w:val="0088007E"/>
    <w:rsid w:val="008837AC"/>
    <w:rsid w:val="008863CE"/>
    <w:rsid w:val="00894112"/>
    <w:rsid w:val="008945B4"/>
    <w:rsid w:val="008A587D"/>
    <w:rsid w:val="008C5486"/>
    <w:rsid w:val="008E1465"/>
    <w:rsid w:val="008E7031"/>
    <w:rsid w:val="00922C95"/>
    <w:rsid w:val="009233EE"/>
    <w:rsid w:val="009339E1"/>
    <w:rsid w:val="0093685A"/>
    <w:rsid w:val="009661DE"/>
    <w:rsid w:val="009856B7"/>
    <w:rsid w:val="0098602B"/>
    <w:rsid w:val="00991B3B"/>
    <w:rsid w:val="009962BA"/>
    <w:rsid w:val="009B74B0"/>
    <w:rsid w:val="009D4414"/>
    <w:rsid w:val="009D6B46"/>
    <w:rsid w:val="009F4940"/>
    <w:rsid w:val="009F7170"/>
    <w:rsid w:val="00A0248C"/>
    <w:rsid w:val="00A14162"/>
    <w:rsid w:val="00A1665B"/>
    <w:rsid w:val="00A323D9"/>
    <w:rsid w:val="00A4478A"/>
    <w:rsid w:val="00A44852"/>
    <w:rsid w:val="00A57D04"/>
    <w:rsid w:val="00A60A26"/>
    <w:rsid w:val="00A61598"/>
    <w:rsid w:val="00A84F46"/>
    <w:rsid w:val="00A871F4"/>
    <w:rsid w:val="00AC1B2C"/>
    <w:rsid w:val="00AC3264"/>
    <w:rsid w:val="00AC3E35"/>
    <w:rsid w:val="00AC6F01"/>
    <w:rsid w:val="00AE0FE2"/>
    <w:rsid w:val="00AE1BF1"/>
    <w:rsid w:val="00AF0DD2"/>
    <w:rsid w:val="00AF2200"/>
    <w:rsid w:val="00B10314"/>
    <w:rsid w:val="00B13048"/>
    <w:rsid w:val="00B15998"/>
    <w:rsid w:val="00B1716D"/>
    <w:rsid w:val="00B17A1D"/>
    <w:rsid w:val="00B207A0"/>
    <w:rsid w:val="00B56E03"/>
    <w:rsid w:val="00B60F5D"/>
    <w:rsid w:val="00B62438"/>
    <w:rsid w:val="00B64FB0"/>
    <w:rsid w:val="00B67E91"/>
    <w:rsid w:val="00B8080B"/>
    <w:rsid w:val="00B87C39"/>
    <w:rsid w:val="00BA4665"/>
    <w:rsid w:val="00BB2FB2"/>
    <w:rsid w:val="00BB3304"/>
    <w:rsid w:val="00BD3446"/>
    <w:rsid w:val="00BE0328"/>
    <w:rsid w:val="00BE1F1B"/>
    <w:rsid w:val="00BE47B5"/>
    <w:rsid w:val="00BE4C99"/>
    <w:rsid w:val="00C058AB"/>
    <w:rsid w:val="00C06739"/>
    <w:rsid w:val="00C4603F"/>
    <w:rsid w:val="00C538A9"/>
    <w:rsid w:val="00C53B5A"/>
    <w:rsid w:val="00C54F5A"/>
    <w:rsid w:val="00C755AD"/>
    <w:rsid w:val="00C834BA"/>
    <w:rsid w:val="00C86679"/>
    <w:rsid w:val="00CB19C8"/>
    <w:rsid w:val="00CB666B"/>
    <w:rsid w:val="00CF799E"/>
    <w:rsid w:val="00D01CF0"/>
    <w:rsid w:val="00D0442A"/>
    <w:rsid w:val="00D203E1"/>
    <w:rsid w:val="00D23723"/>
    <w:rsid w:val="00D521D5"/>
    <w:rsid w:val="00D544B8"/>
    <w:rsid w:val="00D61388"/>
    <w:rsid w:val="00D61A54"/>
    <w:rsid w:val="00D64DEA"/>
    <w:rsid w:val="00D66E5E"/>
    <w:rsid w:val="00D80893"/>
    <w:rsid w:val="00D92CF1"/>
    <w:rsid w:val="00D92D38"/>
    <w:rsid w:val="00D950F5"/>
    <w:rsid w:val="00DB0F93"/>
    <w:rsid w:val="00DC542F"/>
    <w:rsid w:val="00DC7981"/>
    <w:rsid w:val="00DE4EFA"/>
    <w:rsid w:val="00DE5520"/>
    <w:rsid w:val="00E04818"/>
    <w:rsid w:val="00E06442"/>
    <w:rsid w:val="00E23993"/>
    <w:rsid w:val="00E25B8C"/>
    <w:rsid w:val="00E27642"/>
    <w:rsid w:val="00E37007"/>
    <w:rsid w:val="00E4674F"/>
    <w:rsid w:val="00E65C85"/>
    <w:rsid w:val="00E66199"/>
    <w:rsid w:val="00E755EC"/>
    <w:rsid w:val="00E7624D"/>
    <w:rsid w:val="00EA3D42"/>
    <w:rsid w:val="00EA67CC"/>
    <w:rsid w:val="00EA6B1B"/>
    <w:rsid w:val="00EB5C85"/>
    <w:rsid w:val="00EE28F3"/>
    <w:rsid w:val="00EF5110"/>
    <w:rsid w:val="00F15882"/>
    <w:rsid w:val="00F20BD3"/>
    <w:rsid w:val="00F30D2E"/>
    <w:rsid w:val="00F373A5"/>
    <w:rsid w:val="00F47559"/>
    <w:rsid w:val="00F60BE4"/>
    <w:rsid w:val="00F61B84"/>
    <w:rsid w:val="00F64C7B"/>
    <w:rsid w:val="00F676DD"/>
    <w:rsid w:val="00F75A26"/>
    <w:rsid w:val="00F83FAD"/>
    <w:rsid w:val="00F91DC6"/>
    <w:rsid w:val="00F952A0"/>
    <w:rsid w:val="00FA3C7F"/>
    <w:rsid w:val="00FA4E09"/>
    <w:rsid w:val="00FB40E1"/>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CF19"/>
  <w15:chartTrackingRefBased/>
  <w15:docId w15:val="{2358C3AC-4503-40F6-BF41-0E1CBB4E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BFF"/>
    <w:rPr>
      <w:rFonts w:ascii="Arial" w:hAnsi="Arial"/>
    </w:rPr>
  </w:style>
  <w:style w:type="paragraph" w:styleId="Heading1">
    <w:name w:val="heading 1"/>
    <w:basedOn w:val="Normal"/>
    <w:next w:val="Normal"/>
    <w:link w:val="Heading1Char"/>
    <w:qFormat/>
    <w:rsid w:val="00E2764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42"/>
    <w:rPr>
      <w:rFonts w:ascii="Palatino Linotype" w:eastAsiaTheme="majorEastAsia" w:hAnsi="Palatino Linotype" w:cstheme="majorBidi"/>
      <w:bCs/>
      <w:color w:val="410099" w:themeColor="accent1"/>
      <w:sz w:val="36"/>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ACCCTable1">
    <w:name w:val="ACCC Table1"/>
    <w:basedOn w:val="TableNormal"/>
    <w:next w:val="TableGrid"/>
    <w:uiPriority w:val="59"/>
    <w:rsid w:val="001D0BFF"/>
    <w:pPr>
      <w:spacing w:before="0"/>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BC6"/>
    <w:rPr>
      <w:sz w:val="16"/>
      <w:szCs w:val="16"/>
    </w:rPr>
  </w:style>
  <w:style w:type="paragraph" w:styleId="CommentText">
    <w:name w:val="annotation text"/>
    <w:basedOn w:val="Normal"/>
    <w:link w:val="CommentTextChar"/>
    <w:uiPriority w:val="99"/>
    <w:semiHidden/>
    <w:unhideWhenUsed/>
    <w:rsid w:val="00845BC6"/>
    <w:rPr>
      <w:sz w:val="20"/>
      <w:szCs w:val="20"/>
    </w:rPr>
  </w:style>
  <w:style w:type="character" w:customStyle="1" w:styleId="CommentTextChar">
    <w:name w:val="Comment Text Char"/>
    <w:basedOn w:val="DefaultParagraphFont"/>
    <w:link w:val="CommentText"/>
    <w:uiPriority w:val="99"/>
    <w:semiHidden/>
    <w:rsid w:val="00845B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5BC6"/>
    <w:rPr>
      <w:b/>
      <w:bCs/>
    </w:rPr>
  </w:style>
  <w:style w:type="character" w:customStyle="1" w:styleId="CommentSubjectChar">
    <w:name w:val="Comment Subject Char"/>
    <w:basedOn w:val="CommentTextChar"/>
    <w:link w:val="CommentSubject"/>
    <w:uiPriority w:val="99"/>
    <w:semiHidden/>
    <w:rsid w:val="00845BC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1 6 " ? > < p r o p e r t i e s   x m l n s = " h t t p : / / w w w . i m a n a g e . c o m / w o r k / x m l s c h e m a " >  
     < d o c u m e n t i d > A C C C a n d A E R ! 1 2 9 3 1 1 5 5 . 1 < / d o c u m e n t i d >  
     < s e n d e r i d > K M E S K < / s e n d e r i d >  
     < s e n d e r e m a i l > K I M . H O L L I S @ A C C C . G O V . A U < / s e n d e r e m a i l >  
     < l a s t m o d i f i e d > 2 0 2 1 - 1 1 - 0 4 T 1 5 : 5 7 : 0 0 . 0 0 0 0 0 0 0 + 1 0 : 0 0 < / l a s t m o d i f i e d >  
     < d a t a b a s e > A C C C a n d A E R < / d a t a b a s e >  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F102AA-BED6-4171-B22B-BAB33E1CE3C7}">
  <ds:schemaRefs>
    <ds:schemaRef ds:uri="http://www.imanage.com/work/xmlschema"/>
  </ds:schemaRefs>
</ds:datastoreItem>
</file>

<file path=customXml/itemProps3.xml><?xml version="1.0" encoding="utf-8"?>
<ds:datastoreItem xmlns:ds="http://schemas.openxmlformats.org/officeDocument/2006/customXml" ds:itemID="{0A15A5E9-7A7F-4806-AB91-1E54A6EE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2415</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Hollis, Kim</dc:creator>
  <cp:keywords/>
  <dc:description/>
  <cp:lastModifiedBy>Popovic, Jordan</cp:lastModifiedBy>
  <cp:revision>2</cp:revision>
  <dcterms:created xsi:type="dcterms:W3CDTF">2021-11-09T23:12:00Z</dcterms:created>
  <dcterms:modified xsi:type="dcterms:W3CDTF">2021-11-09T23:12:00Z</dcterms:modified>
</cp:coreProperties>
</file>