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BB" w:rsidRDefault="00325BBB" w:rsidP="00325BBB">
      <w:r>
        <w:rPr>
          <w:noProof/>
          <w:lang w:eastAsia="en-AU"/>
        </w:rPr>
        <w:drawing>
          <wp:inline distT="0" distB="0" distL="0" distR="0" wp14:anchorId="412079C9" wp14:editId="15ECEC23">
            <wp:extent cx="3419475" cy="1047750"/>
            <wp:effectExtent l="19050" t="0" r="9525" b="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10" cstate="print"/>
                    <a:srcRect/>
                    <a:stretch>
                      <a:fillRect/>
                    </a:stretch>
                  </pic:blipFill>
                  <pic:spPr bwMode="auto">
                    <a:xfrm>
                      <a:off x="0" y="0"/>
                      <a:ext cx="3419475" cy="1047750"/>
                    </a:xfrm>
                    <a:prstGeom prst="rect">
                      <a:avLst/>
                    </a:prstGeom>
                    <a:noFill/>
                    <a:ln w="9525">
                      <a:noFill/>
                      <a:miter lim="800000"/>
                      <a:headEnd/>
                      <a:tailEnd/>
                    </a:ln>
                  </pic:spPr>
                </pic:pic>
              </a:graphicData>
            </a:graphic>
          </wp:inline>
        </w:drawing>
      </w:r>
    </w:p>
    <w:p w:rsidR="00325BBB" w:rsidRDefault="00325BBB" w:rsidP="00325BBB">
      <w:pPr>
        <w:pStyle w:val="ACCCreporttitle1"/>
      </w:pPr>
      <w:r>
        <w:t xml:space="preserve">NBN Co Special Access Undertaking </w:t>
      </w:r>
    </w:p>
    <w:p w:rsidR="00325BBB" w:rsidRDefault="00325BBB" w:rsidP="00325BBB">
      <w:pPr>
        <w:pStyle w:val="ACCCreporttitle1"/>
      </w:pPr>
    </w:p>
    <w:p w:rsidR="00325BBB" w:rsidRDefault="00325BBB" w:rsidP="00325BBB">
      <w:pPr>
        <w:pStyle w:val="ACCCreporttitle1"/>
      </w:pPr>
      <w:r>
        <w:t xml:space="preserve">Long Term Revenue Constraint Methodology 2015-16: </w:t>
      </w:r>
    </w:p>
    <w:p w:rsidR="00325BBB" w:rsidRDefault="00325BBB" w:rsidP="00325BBB">
      <w:pPr>
        <w:pStyle w:val="ACCCreporttitle1"/>
      </w:pPr>
    </w:p>
    <w:p w:rsidR="00325BBB" w:rsidRDefault="00325BBB" w:rsidP="00325BBB">
      <w:pPr>
        <w:pStyle w:val="ACCCreporttitle1"/>
      </w:pPr>
      <w:r>
        <w:t>Final Determination</w:t>
      </w:r>
    </w:p>
    <w:p w:rsidR="00325BBB" w:rsidRDefault="00325BBB" w:rsidP="00325BBB">
      <w:pPr>
        <w:pStyle w:val="ACCCreporttitle1"/>
      </w:pPr>
    </w:p>
    <w:p w:rsidR="00325BBB" w:rsidRDefault="00325BBB" w:rsidP="00325BBB">
      <w:pPr>
        <w:pStyle w:val="ACCCreporttitle1"/>
      </w:pPr>
      <w:proofErr w:type="gramStart"/>
      <w:r>
        <w:t>and</w:t>
      </w:r>
      <w:proofErr w:type="gramEnd"/>
    </w:p>
    <w:p w:rsidR="00325BBB" w:rsidRDefault="00325BBB" w:rsidP="00325BBB">
      <w:pPr>
        <w:pStyle w:val="ACCCreporttitle1"/>
      </w:pPr>
    </w:p>
    <w:p w:rsidR="00325BBB" w:rsidRDefault="00325BBB" w:rsidP="00325BBB">
      <w:pPr>
        <w:pStyle w:val="ACCCreporttitle1"/>
      </w:pPr>
      <w:r>
        <w:t xml:space="preserve">Price compliance reporting 2015-16 </w:t>
      </w:r>
    </w:p>
    <w:p w:rsidR="00325BBB" w:rsidRDefault="00325BBB" w:rsidP="00325BBB">
      <w:pPr>
        <w:pStyle w:val="ACCCreporttitle1"/>
      </w:pPr>
    </w:p>
    <w:p w:rsidR="00325BBB" w:rsidRDefault="00325BBB" w:rsidP="00325BBB">
      <w:pPr>
        <w:pStyle w:val="ACCCreporttitle1"/>
      </w:pPr>
    </w:p>
    <w:p w:rsidR="00325BBB" w:rsidRDefault="00325BBB" w:rsidP="00325BBB">
      <w:pPr>
        <w:pStyle w:val="ACCCreporttitle1"/>
      </w:pPr>
    </w:p>
    <w:p w:rsidR="00325BBB" w:rsidRDefault="00325BBB" w:rsidP="00325BBB">
      <w:pPr>
        <w:pStyle w:val="ACCCreporttitle1"/>
      </w:pPr>
    </w:p>
    <w:p w:rsidR="00325BBB" w:rsidRDefault="00325BBB" w:rsidP="00325BBB">
      <w:pPr>
        <w:pStyle w:val="ACCCreporttitle1"/>
      </w:pPr>
    </w:p>
    <w:p w:rsidR="00325BBB" w:rsidRDefault="00325BBB" w:rsidP="00325BBB">
      <w:pPr>
        <w:pStyle w:val="ACCCreporttitle1"/>
      </w:pPr>
    </w:p>
    <w:p w:rsidR="00325BBB" w:rsidRDefault="00325BBB" w:rsidP="00325BBB">
      <w:pPr>
        <w:pStyle w:val="ACCCreporttitle1"/>
      </w:pPr>
    </w:p>
    <w:p w:rsidR="00325BBB" w:rsidRPr="005B3E92" w:rsidRDefault="00325BBB" w:rsidP="00325BBB">
      <w:pPr>
        <w:pStyle w:val="ACCCreporttitle1"/>
      </w:pPr>
      <w:r w:rsidRPr="005B3E92">
        <w:t>June 201</w:t>
      </w:r>
      <w:r>
        <w:t>7</w:t>
      </w: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325BBB" w:rsidRDefault="00325BBB" w:rsidP="00325BBB">
      <w:pPr>
        <w:pStyle w:val="ACCCcopyrighttext"/>
      </w:pPr>
    </w:p>
    <w:p w:rsidR="00765E8C" w:rsidRDefault="00765E8C" w:rsidP="00325BBB">
      <w:pPr>
        <w:pStyle w:val="ACCCcopyrighttext"/>
      </w:pPr>
    </w:p>
    <w:p w:rsidR="00765E8C" w:rsidRDefault="00765E8C" w:rsidP="00325BBB">
      <w:pPr>
        <w:pStyle w:val="ACCCcopyrighttext"/>
      </w:pPr>
    </w:p>
    <w:p w:rsidR="00765E8C" w:rsidRDefault="00765E8C" w:rsidP="00325BBB">
      <w:pPr>
        <w:pStyle w:val="ACCCcopyrighttext"/>
      </w:pPr>
    </w:p>
    <w:p w:rsidR="00325BBB" w:rsidRDefault="00325BBB" w:rsidP="00325BBB">
      <w:pPr>
        <w:pStyle w:val="ACCCcopyrighttext"/>
      </w:pPr>
    </w:p>
    <w:p w:rsidR="00325BBB" w:rsidRDefault="00325BBB" w:rsidP="00325BBB">
      <w:pPr>
        <w:pStyle w:val="ACCCcopyrighttext"/>
      </w:pPr>
    </w:p>
    <w:p w:rsidR="00765E8C" w:rsidRDefault="00765E8C" w:rsidP="00765E8C">
      <w:pPr>
        <w:pStyle w:val="ACCCcopyrighttext"/>
      </w:pPr>
      <w:r>
        <w:rPr>
          <w:noProof/>
          <w:lang w:eastAsia="en-AU"/>
        </w:rPr>
        <w:drawing>
          <wp:inline distT="0" distB="0" distL="0" distR="0" wp14:anchorId="5FB7B5CF" wp14:editId="25C6B804">
            <wp:extent cx="1181100" cy="9144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181100" cy="914400"/>
                    </a:xfrm>
                    <a:prstGeom prst="rect">
                      <a:avLst/>
                    </a:prstGeom>
                    <a:noFill/>
                    <a:ln w="9525">
                      <a:noFill/>
                      <a:miter lim="800000"/>
                      <a:headEnd/>
                      <a:tailEnd/>
                    </a:ln>
                  </pic:spPr>
                </pic:pic>
              </a:graphicData>
            </a:graphic>
          </wp:inline>
        </w:drawing>
      </w:r>
    </w:p>
    <w:p w:rsidR="00765E8C" w:rsidRPr="004346BF" w:rsidRDefault="00765E8C" w:rsidP="00765E8C">
      <w:pPr>
        <w:pStyle w:val="Copyrighttext"/>
        <w:rPr>
          <w:color w:val="auto"/>
        </w:rPr>
      </w:pPr>
      <w:r w:rsidRPr="004346BF">
        <w:rPr>
          <w:color w:val="auto"/>
        </w:rPr>
        <w:t>Australian Competition and Consumer Commission</w:t>
      </w:r>
    </w:p>
    <w:p w:rsidR="00765E8C" w:rsidRPr="004346BF" w:rsidRDefault="00765E8C" w:rsidP="00765E8C">
      <w:pPr>
        <w:pStyle w:val="Copyrighttext"/>
        <w:rPr>
          <w:color w:val="auto"/>
        </w:rPr>
      </w:pPr>
      <w:r w:rsidRPr="004346BF">
        <w:rPr>
          <w:color w:val="auto"/>
        </w:rPr>
        <w:t>23 Marcus Clarke Street, Canberra, Australian Capital Territory 2601</w:t>
      </w:r>
    </w:p>
    <w:p w:rsidR="00765E8C" w:rsidRPr="004346BF" w:rsidRDefault="00765E8C" w:rsidP="00765E8C">
      <w:pPr>
        <w:pStyle w:val="Copyrighttext"/>
        <w:rPr>
          <w:color w:val="auto"/>
        </w:rPr>
      </w:pPr>
      <w:r w:rsidRPr="004346BF">
        <w:rPr>
          <w:color w:val="auto"/>
        </w:rPr>
        <w:t>© Commonwealth of Australia 201</w:t>
      </w:r>
      <w:r>
        <w:rPr>
          <w:color w:val="auto"/>
        </w:rPr>
        <w:t>7</w:t>
      </w:r>
    </w:p>
    <w:p w:rsidR="00765E8C" w:rsidRPr="004346BF" w:rsidRDefault="00765E8C" w:rsidP="00765E8C">
      <w:pPr>
        <w:pStyle w:val="Copyrighttext"/>
        <w:rPr>
          <w:color w:val="auto"/>
        </w:rPr>
      </w:pPr>
      <w:r w:rsidRPr="004346BF">
        <w:rPr>
          <w:color w:val="auto"/>
        </w:rPr>
        <w:t>ISBN 978-1-921973-73-4</w:t>
      </w:r>
    </w:p>
    <w:p w:rsidR="00765E8C" w:rsidRPr="004346BF" w:rsidRDefault="00765E8C" w:rsidP="00765E8C">
      <w:pPr>
        <w:pStyle w:val="Copyrighttext"/>
        <w:rPr>
          <w:color w:val="auto"/>
        </w:rPr>
      </w:pPr>
      <w:r w:rsidRPr="004346BF">
        <w:rPr>
          <w:color w:val="auto"/>
        </w:rPr>
        <w:t>This work is copyright. Apart from any use permitted by the Copyright Act 1968, no part may be reproduced without prior written permission from the Commonwealth, available through the Australian Competition and Consumer Commission. Requests and inquiries concerning reproduction and rights should be addressed to the Director Publishing, Australian Competition and Consumer Commission, GPO Box 3131, Canberra ACT 2601 or by email to publishing.unit@accc.gov.au.</w:t>
      </w:r>
    </w:p>
    <w:p w:rsidR="00765E8C" w:rsidRPr="00765E8C" w:rsidRDefault="00A000A3" w:rsidP="00765E8C">
      <w:pPr>
        <w:pStyle w:val="Copyrighttext"/>
        <w:rPr>
          <w:color w:val="auto"/>
        </w:rPr>
      </w:pPr>
      <w:hyperlink r:id="rId12" w:history="1">
        <w:r w:rsidR="00765E8C" w:rsidRPr="00765E8C">
          <w:rPr>
            <w:rStyle w:val="Hyperlink"/>
            <w:color w:val="auto"/>
            <w:sz w:val="16"/>
          </w:rPr>
          <w:t>www.accc.gov.au</w:t>
        </w:r>
      </w:hyperlink>
      <w:r w:rsidR="00765E8C" w:rsidRPr="00765E8C">
        <w:rPr>
          <w:rStyle w:val="Hyperlink"/>
          <w:color w:val="auto"/>
          <w:sz w:val="16"/>
        </w:rPr>
        <w:t xml:space="preserve"> </w:t>
      </w:r>
    </w:p>
    <w:p w:rsidR="00325BBB" w:rsidRDefault="00325BBB" w:rsidP="00325BBB">
      <w:pPr>
        <w:pStyle w:val="ACCCcopyrighttext"/>
      </w:pPr>
    </w:p>
    <w:p w:rsidR="00325BBB" w:rsidRPr="00A20E5A" w:rsidRDefault="00325BBB" w:rsidP="00325BBB">
      <w:pPr>
        <w:pStyle w:val="Non-NumberedStyle"/>
      </w:pPr>
      <w:bookmarkStart w:id="0" w:name="_Toc377396309"/>
      <w:r>
        <w:lastRenderedPageBreak/>
        <w:t>Contents</w:t>
      </w:r>
      <w:bookmarkEnd w:id="0"/>
    </w:p>
    <w:p w:rsidR="007249F3" w:rsidRDefault="00325BBB">
      <w:pPr>
        <w:pStyle w:val="TOC1"/>
        <w:rPr>
          <w:rFonts w:asciiTheme="minorHAnsi" w:eastAsiaTheme="minorEastAsia" w:hAnsiTheme="minorHAnsi"/>
          <w:sz w:val="22"/>
          <w:lang w:val="en-AU" w:eastAsia="en-AU"/>
        </w:rPr>
      </w:pPr>
      <w:r>
        <w:rPr>
          <w:b/>
        </w:rPr>
        <w:fldChar w:fldCharType="begin"/>
      </w:r>
      <w:r>
        <w:instrText xml:space="preserve"> TOC \o "1-2" \h \z \u </w:instrText>
      </w:r>
      <w:r>
        <w:rPr>
          <w:b/>
        </w:rPr>
        <w:fldChar w:fldCharType="separate"/>
      </w:r>
      <w:hyperlink w:anchor="_Toc483563138" w:history="1">
        <w:r w:rsidR="007249F3" w:rsidRPr="00432710">
          <w:rPr>
            <w:rStyle w:val="Hyperlink"/>
          </w:rPr>
          <w:t>List of abbreviations and acronyms</w:t>
        </w:r>
        <w:r w:rsidR="007249F3">
          <w:rPr>
            <w:webHidden/>
          </w:rPr>
          <w:tab/>
        </w:r>
        <w:r w:rsidR="007249F3">
          <w:rPr>
            <w:webHidden/>
          </w:rPr>
          <w:fldChar w:fldCharType="begin"/>
        </w:r>
        <w:r w:rsidR="007249F3">
          <w:rPr>
            <w:webHidden/>
          </w:rPr>
          <w:instrText xml:space="preserve"> PAGEREF _Toc483563138 \h </w:instrText>
        </w:r>
        <w:r w:rsidR="007249F3">
          <w:rPr>
            <w:webHidden/>
          </w:rPr>
        </w:r>
        <w:r w:rsidR="007249F3">
          <w:rPr>
            <w:webHidden/>
          </w:rPr>
          <w:fldChar w:fldCharType="separate"/>
        </w:r>
        <w:r w:rsidR="002A2478">
          <w:rPr>
            <w:webHidden/>
          </w:rPr>
          <w:t>i</w:t>
        </w:r>
        <w:r w:rsidR="007249F3">
          <w:rPr>
            <w:webHidden/>
          </w:rPr>
          <w:fldChar w:fldCharType="end"/>
        </w:r>
      </w:hyperlink>
    </w:p>
    <w:p w:rsidR="007249F3" w:rsidRDefault="00A000A3">
      <w:pPr>
        <w:pStyle w:val="TOC1"/>
        <w:rPr>
          <w:rFonts w:asciiTheme="minorHAnsi" w:eastAsiaTheme="minorEastAsia" w:hAnsiTheme="minorHAnsi"/>
          <w:sz w:val="22"/>
          <w:lang w:val="en-AU" w:eastAsia="en-AU"/>
        </w:rPr>
      </w:pPr>
      <w:hyperlink w:anchor="_Toc483563139" w:history="1">
        <w:r w:rsidR="007249F3" w:rsidRPr="00432710">
          <w:rPr>
            <w:rStyle w:val="Hyperlink"/>
          </w:rPr>
          <w:t>Executive Summary</w:t>
        </w:r>
        <w:r w:rsidR="007249F3">
          <w:rPr>
            <w:webHidden/>
          </w:rPr>
          <w:tab/>
        </w:r>
        <w:r w:rsidR="007249F3">
          <w:rPr>
            <w:webHidden/>
          </w:rPr>
          <w:fldChar w:fldCharType="begin"/>
        </w:r>
        <w:r w:rsidR="007249F3">
          <w:rPr>
            <w:webHidden/>
          </w:rPr>
          <w:instrText xml:space="preserve"> PAGEREF _Toc483563139 \h </w:instrText>
        </w:r>
        <w:r w:rsidR="007249F3">
          <w:rPr>
            <w:webHidden/>
          </w:rPr>
        </w:r>
        <w:r w:rsidR="007249F3">
          <w:rPr>
            <w:webHidden/>
          </w:rPr>
          <w:fldChar w:fldCharType="separate"/>
        </w:r>
        <w:r w:rsidR="002A2478">
          <w:rPr>
            <w:webHidden/>
          </w:rPr>
          <w:t>2</w:t>
        </w:r>
        <w:r w:rsidR="007249F3">
          <w:rPr>
            <w:webHidden/>
          </w:rPr>
          <w:fldChar w:fldCharType="end"/>
        </w:r>
      </w:hyperlink>
    </w:p>
    <w:p w:rsidR="007249F3" w:rsidRDefault="00A000A3">
      <w:pPr>
        <w:pStyle w:val="TOC1"/>
        <w:rPr>
          <w:rFonts w:asciiTheme="minorHAnsi" w:eastAsiaTheme="minorEastAsia" w:hAnsiTheme="minorHAnsi"/>
          <w:sz w:val="22"/>
          <w:lang w:val="en-AU" w:eastAsia="en-AU"/>
        </w:rPr>
      </w:pPr>
      <w:hyperlink w:anchor="_Toc483563140" w:history="1">
        <w:r w:rsidR="007249F3" w:rsidRPr="00432710">
          <w:rPr>
            <w:rStyle w:val="Hyperlink"/>
          </w:rPr>
          <w:t>1</w:t>
        </w:r>
        <w:r w:rsidR="007249F3">
          <w:rPr>
            <w:rFonts w:asciiTheme="minorHAnsi" w:eastAsiaTheme="minorEastAsia" w:hAnsiTheme="minorHAnsi"/>
            <w:sz w:val="22"/>
            <w:lang w:val="en-AU" w:eastAsia="en-AU"/>
          </w:rPr>
          <w:tab/>
        </w:r>
        <w:r w:rsidR="007249F3" w:rsidRPr="00432710">
          <w:rPr>
            <w:rStyle w:val="Hyperlink"/>
          </w:rPr>
          <w:t>Introduction</w:t>
        </w:r>
        <w:r w:rsidR="007249F3">
          <w:rPr>
            <w:webHidden/>
          </w:rPr>
          <w:tab/>
        </w:r>
        <w:r w:rsidR="007249F3">
          <w:rPr>
            <w:webHidden/>
          </w:rPr>
          <w:fldChar w:fldCharType="begin"/>
        </w:r>
        <w:r w:rsidR="007249F3">
          <w:rPr>
            <w:webHidden/>
          </w:rPr>
          <w:instrText xml:space="preserve"> PAGEREF _Toc483563140 \h </w:instrText>
        </w:r>
        <w:r w:rsidR="007249F3">
          <w:rPr>
            <w:webHidden/>
          </w:rPr>
        </w:r>
        <w:r w:rsidR="007249F3">
          <w:rPr>
            <w:webHidden/>
          </w:rPr>
          <w:fldChar w:fldCharType="separate"/>
        </w:r>
        <w:r w:rsidR="002A2478">
          <w:rPr>
            <w:webHidden/>
          </w:rPr>
          <w:t>3</w:t>
        </w:r>
        <w:r w:rsidR="007249F3">
          <w:rPr>
            <w:webHidden/>
          </w:rPr>
          <w:fldChar w:fldCharType="end"/>
        </w:r>
      </w:hyperlink>
    </w:p>
    <w:p w:rsidR="007249F3" w:rsidRDefault="00A000A3">
      <w:pPr>
        <w:pStyle w:val="TOC2"/>
        <w:rPr>
          <w:rFonts w:asciiTheme="minorHAnsi" w:eastAsiaTheme="minorEastAsia" w:hAnsiTheme="minorHAnsi"/>
          <w:sz w:val="22"/>
          <w:lang w:eastAsia="en-AU"/>
        </w:rPr>
      </w:pPr>
      <w:hyperlink w:anchor="_Toc483563141" w:history="1">
        <w:r w:rsidR="007249F3" w:rsidRPr="00432710">
          <w:rPr>
            <w:rStyle w:val="Hyperlink"/>
          </w:rPr>
          <w:t>1.1</w:t>
        </w:r>
        <w:r w:rsidR="007249F3">
          <w:rPr>
            <w:rFonts w:asciiTheme="minorHAnsi" w:eastAsiaTheme="minorEastAsia" w:hAnsiTheme="minorHAnsi"/>
            <w:sz w:val="22"/>
            <w:lang w:eastAsia="en-AU"/>
          </w:rPr>
          <w:tab/>
        </w:r>
        <w:r w:rsidR="007249F3" w:rsidRPr="00432710">
          <w:rPr>
            <w:rStyle w:val="Hyperlink"/>
          </w:rPr>
          <w:t>Background</w:t>
        </w:r>
        <w:r w:rsidR="007249F3">
          <w:rPr>
            <w:webHidden/>
          </w:rPr>
          <w:tab/>
        </w:r>
        <w:r w:rsidR="007249F3">
          <w:rPr>
            <w:webHidden/>
          </w:rPr>
          <w:fldChar w:fldCharType="begin"/>
        </w:r>
        <w:r w:rsidR="007249F3">
          <w:rPr>
            <w:webHidden/>
          </w:rPr>
          <w:instrText xml:space="preserve"> PAGEREF _Toc483563141 \h </w:instrText>
        </w:r>
        <w:r w:rsidR="007249F3">
          <w:rPr>
            <w:webHidden/>
          </w:rPr>
        </w:r>
        <w:r w:rsidR="007249F3">
          <w:rPr>
            <w:webHidden/>
          </w:rPr>
          <w:fldChar w:fldCharType="separate"/>
        </w:r>
        <w:r w:rsidR="002A2478">
          <w:rPr>
            <w:webHidden/>
          </w:rPr>
          <w:t>3</w:t>
        </w:r>
        <w:r w:rsidR="007249F3">
          <w:rPr>
            <w:webHidden/>
          </w:rPr>
          <w:fldChar w:fldCharType="end"/>
        </w:r>
      </w:hyperlink>
    </w:p>
    <w:p w:rsidR="007249F3" w:rsidRDefault="00A000A3">
      <w:pPr>
        <w:pStyle w:val="TOC2"/>
        <w:rPr>
          <w:rFonts w:asciiTheme="minorHAnsi" w:eastAsiaTheme="minorEastAsia" w:hAnsiTheme="minorHAnsi"/>
          <w:sz w:val="22"/>
          <w:lang w:eastAsia="en-AU"/>
        </w:rPr>
      </w:pPr>
      <w:hyperlink w:anchor="_Toc483563142" w:history="1">
        <w:r w:rsidR="007249F3" w:rsidRPr="00432710">
          <w:rPr>
            <w:rStyle w:val="Hyperlink"/>
          </w:rPr>
          <w:t>1.2</w:t>
        </w:r>
        <w:r w:rsidR="007249F3">
          <w:rPr>
            <w:rFonts w:asciiTheme="minorHAnsi" w:eastAsiaTheme="minorEastAsia" w:hAnsiTheme="minorHAnsi"/>
            <w:sz w:val="22"/>
            <w:lang w:eastAsia="en-AU"/>
          </w:rPr>
          <w:tab/>
        </w:r>
        <w:r w:rsidR="007249F3" w:rsidRPr="00432710">
          <w:rPr>
            <w:rStyle w:val="Hyperlink"/>
          </w:rPr>
          <w:t>Consultation process</w:t>
        </w:r>
        <w:r w:rsidR="007249F3">
          <w:rPr>
            <w:webHidden/>
          </w:rPr>
          <w:tab/>
        </w:r>
        <w:r w:rsidR="007249F3">
          <w:rPr>
            <w:webHidden/>
          </w:rPr>
          <w:fldChar w:fldCharType="begin"/>
        </w:r>
        <w:r w:rsidR="007249F3">
          <w:rPr>
            <w:webHidden/>
          </w:rPr>
          <w:instrText xml:space="preserve"> PAGEREF _Toc483563142 \h </w:instrText>
        </w:r>
        <w:r w:rsidR="007249F3">
          <w:rPr>
            <w:webHidden/>
          </w:rPr>
        </w:r>
        <w:r w:rsidR="007249F3">
          <w:rPr>
            <w:webHidden/>
          </w:rPr>
          <w:fldChar w:fldCharType="separate"/>
        </w:r>
        <w:r w:rsidR="002A2478">
          <w:rPr>
            <w:webHidden/>
          </w:rPr>
          <w:t>5</w:t>
        </w:r>
        <w:r w:rsidR="007249F3">
          <w:rPr>
            <w:webHidden/>
          </w:rPr>
          <w:fldChar w:fldCharType="end"/>
        </w:r>
      </w:hyperlink>
    </w:p>
    <w:p w:rsidR="007249F3" w:rsidRDefault="00A000A3">
      <w:pPr>
        <w:pStyle w:val="TOC2"/>
        <w:rPr>
          <w:rFonts w:asciiTheme="minorHAnsi" w:eastAsiaTheme="minorEastAsia" w:hAnsiTheme="minorHAnsi"/>
          <w:sz w:val="22"/>
          <w:lang w:eastAsia="en-AU"/>
        </w:rPr>
      </w:pPr>
      <w:hyperlink w:anchor="_Toc483563143" w:history="1">
        <w:r w:rsidR="007249F3" w:rsidRPr="00432710">
          <w:rPr>
            <w:rStyle w:val="Hyperlink"/>
          </w:rPr>
          <w:t>1.3</w:t>
        </w:r>
        <w:r w:rsidR="007249F3">
          <w:rPr>
            <w:rFonts w:asciiTheme="minorHAnsi" w:eastAsiaTheme="minorEastAsia" w:hAnsiTheme="minorHAnsi"/>
            <w:sz w:val="22"/>
            <w:lang w:eastAsia="en-AU"/>
          </w:rPr>
          <w:tab/>
        </w:r>
        <w:r w:rsidR="007249F3" w:rsidRPr="00432710">
          <w:rPr>
            <w:rStyle w:val="Hyperlink"/>
          </w:rPr>
          <w:t>Structure of the report</w:t>
        </w:r>
        <w:r w:rsidR="007249F3">
          <w:rPr>
            <w:webHidden/>
          </w:rPr>
          <w:tab/>
        </w:r>
        <w:r w:rsidR="007249F3">
          <w:rPr>
            <w:webHidden/>
          </w:rPr>
          <w:fldChar w:fldCharType="begin"/>
        </w:r>
        <w:r w:rsidR="007249F3">
          <w:rPr>
            <w:webHidden/>
          </w:rPr>
          <w:instrText xml:space="preserve"> PAGEREF _Toc483563143 \h </w:instrText>
        </w:r>
        <w:r w:rsidR="007249F3">
          <w:rPr>
            <w:webHidden/>
          </w:rPr>
        </w:r>
        <w:r w:rsidR="007249F3">
          <w:rPr>
            <w:webHidden/>
          </w:rPr>
          <w:fldChar w:fldCharType="separate"/>
        </w:r>
        <w:r w:rsidR="002A2478">
          <w:rPr>
            <w:webHidden/>
          </w:rPr>
          <w:t>5</w:t>
        </w:r>
        <w:r w:rsidR="007249F3">
          <w:rPr>
            <w:webHidden/>
          </w:rPr>
          <w:fldChar w:fldCharType="end"/>
        </w:r>
      </w:hyperlink>
    </w:p>
    <w:p w:rsidR="007249F3" w:rsidRDefault="00A000A3">
      <w:pPr>
        <w:pStyle w:val="TOC1"/>
        <w:rPr>
          <w:rFonts w:asciiTheme="minorHAnsi" w:eastAsiaTheme="minorEastAsia" w:hAnsiTheme="minorHAnsi"/>
          <w:sz w:val="22"/>
          <w:lang w:val="en-AU" w:eastAsia="en-AU"/>
        </w:rPr>
      </w:pPr>
      <w:hyperlink w:anchor="_Toc483563144" w:history="1">
        <w:r w:rsidR="007249F3" w:rsidRPr="00432710">
          <w:rPr>
            <w:rStyle w:val="Hyperlink"/>
          </w:rPr>
          <w:t>2</w:t>
        </w:r>
        <w:r w:rsidR="007249F3">
          <w:rPr>
            <w:rFonts w:asciiTheme="minorHAnsi" w:eastAsiaTheme="minorEastAsia" w:hAnsiTheme="minorHAnsi"/>
            <w:sz w:val="22"/>
            <w:lang w:val="en-AU" w:eastAsia="en-AU"/>
          </w:rPr>
          <w:tab/>
        </w:r>
        <w:r w:rsidR="007249F3" w:rsidRPr="00432710">
          <w:rPr>
            <w:rStyle w:val="Hyperlink"/>
          </w:rPr>
          <w:t>NBN Co’s 2015-16 LTRCM proposal</w:t>
        </w:r>
        <w:r w:rsidR="007249F3">
          <w:rPr>
            <w:webHidden/>
          </w:rPr>
          <w:tab/>
        </w:r>
        <w:r w:rsidR="007249F3">
          <w:rPr>
            <w:webHidden/>
          </w:rPr>
          <w:fldChar w:fldCharType="begin"/>
        </w:r>
        <w:r w:rsidR="007249F3">
          <w:rPr>
            <w:webHidden/>
          </w:rPr>
          <w:instrText xml:space="preserve"> PAGEREF _Toc483563144 \h </w:instrText>
        </w:r>
        <w:r w:rsidR="007249F3">
          <w:rPr>
            <w:webHidden/>
          </w:rPr>
        </w:r>
        <w:r w:rsidR="007249F3">
          <w:rPr>
            <w:webHidden/>
          </w:rPr>
          <w:fldChar w:fldCharType="separate"/>
        </w:r>
        <w:r w:rsidR="002A2478">
          <w:rPr>
            <w:webHidden/>
          </w:rPr>
          <w:t>7</w:t>
        </w:r>
        <w:r w:rsidR="007249F3">
          <w:rPr>
            <w:webHidden/>
          </w:rPr>
          <w:fldChar w:fldCharType="end"/>
        </w:r>
      </w:hyperlink>
    </w:p>
    <w:p w:rsidR="007249F3" w:rsidRDefault="00A000A3">
      <w:pPr>
        <w:pStyle w:val="TOC2"/>
        <w:rPr>
          <w:rFonts w:asciiTheme="minorHAnsi" w:eastAsiaTheme="minorEastAsia" w:hAnsiTheme="minorHAnsi"/>
          <w:sz w:val="22"/>
          <w:lang w:eastAsia="en-AU"/>
        </w:rPr>
      </w:pPr>
      <w:hyperlink w:anchor="_Toc483563145" w:history="1">
        <w:r w:rsidR="007249F3" w:rsidRPr="00432710">
          <w:rPr>
            <w:rStyle w:val="Hyperlink"/>
          </w:rPr>
          <w:t>2.1</w:t>
        </w:r>
        <w:r w:rsidR="007249F3">
          <w:rPr>
            <w:rFonts w:asciiTheme="minorHAnsi" w:eastAsiaTheme="minorEastAsia" w:hAnsiTheme="minorHAnsi"/>
            <w:sz w:val="22"/>
            <w:lang w:eastAsia="en-AU"/>
          </w:rPr>
          <w:tab/>
        </w:r>
        <w:r w:rsidR="007249F3" w:rsidRPr="00432710">
          <w:rPr>
            <w:rStyle w:val="Hyperlink"/>
          </w:rPr>
          <w:t>2015-16 LTRCM regulatory information</w:t>
        </w:r>
        <w:r w:rsidR="007249F3">
          <w:rPr>
            <w:webHidden/>
          </w:rPr>
          <w:tab/>
        </w:r>
        <w:r w:rsidR="007249F3">
          <w:rPr>
            <w:webHidden/>
          </w:rPr>
          <w:fldChar w:fldCharType="begin"/>
        </w:r>
        <w:r w:rsidR="007249F3">
          <w:rPr>
            <w:webHidden/>
          </w:rPr>
          <w:instrText xml:space="preserve"> PAGEREF _Toc483563145 \h </w:instrText>
        </w:r>
        <w:r w:rsidR="007249F3">
          <w:rPr>
            <w:webHidden/>
          </w:rPr>
        </w:r>
        <w:r w:rsidR="007249F3">
          <w:rPr>
            <w:webHidden/>
          </w:rPr>
          <w:fldChar w:fldCharType="separate"/>
        </w:r>
        <w:r w:rsidR="002A2478">
          <w:rPr>
            <w:webHidden/>
          </w:rPr>
          <w:t>7</w:t>
        </w:r>
        <w:r w:rsidR="007249F3">
          <w:rPr>
            <w:webHidden/>
          </w:rPr>
          <w:fldChar w:fldCharType="end"/>
        </w:r>
      </w:hyperlink>
    </w:p>
    <w:p w:rsidR="007249F3" w:rsidRDefault="00A000A3">
      <w:pPr>
        <w:pStyle w:val="TOC2"/>
        <w:rPr>
          <w:rFonts w:asciiTheme="minorHAnsi" w:eastAsiaTheme="minorEastAsia" w:hAnsiTheme="minorHAnsi"/>
          <w:sz w:val="22"/>
          <w:lang w:eastAsia="en-AU"/>
        </w:rPr>
      </w:pPr>
      <w:hyperlink w:anchor="_Toc483563146" w:history="1">
        <w:r w:rsidR="007249F3" w:rsidRPr="00432710">
          <w:rPr>
            <w:rStyle w:val="Hyperlink"/>
          </w:rPr>
          <w:t>2.2</w:t>
        </w:r>
        <w:r w:rsidR="007249F3">
          <w:rPr>
            <w:rFonts w:asciiTheme="minorHAnsi" w:eastAsiaTheme="minorEastAsia" w:hAnsiTheme="minorHAnsi"/>
            <w:sz w:val="22"/>
            <w:lang w:eastAsia="en-AU"/>
          </w:rPr>
          <w:tab/>
        </w:r>
        <w:r w:rsidR="007249F3" w:rsidRPr="00432710">
          <w:rPr>
            <w:rStyle w:val="Hyperlink"/>
          </w:rPr>
          <w:t>Price compliance reporting</w:t>
        </w:r>
        <w:r w:rsidR="007249F3">
          <w:rPr>
            <w:webHidden/>
          </w:rPr>
          <w:tab/>
        </w:r>
        <w:r w:rsidR="007249F3">
          <w:rPr>
            <w:webHidden/>
          </w:rPr>
          <w:fldChar w:fldCharType="begin"/>
        </w:r>
        <w:r w:rsidR="007249F3">
          <w:rPr>
            <w:webHidden/>
          </w:rPr>
          <w:instrText xml:space="preserve"> PAGEREF _Toc483563146 \h </w:instrText>
        </w:r>
        <w:r w:rsidR="007249F3">
          <w:rPr>
            <w:webHidden/>
          </w:rPr>
        </w:r>
        <w:r w:rsidR="007249F3">
          <w:rPr>
            <w:webHidden/>
          </w:rPr>
          <w:fldChar w:fldCharType="separate"/>
        </w:r>
        <w:r w:rsidR="002A2478">
          <w:rPr>
            <w:webHidden/>
          </w:rPr>
          <w:t>8</w:t>
        </w:r>
        <w:r w:rsidR="007249F3">
          <w:rPr>
            <w:webHidden/>
          </w:rPr>
          <w:fldChar w:fldCharType="end"/>
        </w:r>
      </w:hyperlink>
    </w:p>
    <w:p w:rsidR="007249F3" w:rsidRDefault="00A000A3">
      <w:pPr>
        <w:pStyle w:val="TOC1"/>
        <w:rPr>
          <w:rFonts w:asciiTheme="minorHAnsi" w:eastAsiaTheme="minorEastAsia" w:hAnsiTheme="minorHAnsi"/>
          <w:sz w:val="22"/>
          <w:lang w:val="en-AU" w:eastAsia="en-AU"/>
        </w:rPr>
      </w:pPr>
      <w:hyperlink w:anchor="_Toc483563147" w:history="1">
        <w:r w:rsidR="007249F3" w:rsidRPr="00432710">
          <w:rPr>
            <w:rStyle w:val="Hyperlink"/>
          </w:rPr>
          <w:t>3</w:t>
        </w:r>
        <w:r w:rsidR="007249F3">
          <w:rPr>
            <w:rFonts w:asciiTheme="minorHAnsi" w:eastAsiaTheme="minorEastAsia" w:hAnsiTheme="minorHAnsi"/>
            <w:sz w:val="22"/>
            <w:lang w:val="en-AU" w:eastAsia="en-AU"/>
          </w:rPr>
          <w:tab/>
        </w:r>
        <w:r w:rsidR="007249F3" w:rsidRPr="00432710">
          <w:rPr>
            <w:rStyle w:val="Hyperlink"/>
          </w:rPr>
          <w:t>ACCC’s assessment of NBN Co’s LTRCM proposal</w:t>
        </w:r>
        <w:r w:rsidR="007249F3">
          <w:rPr>
            <w:webHidden/>
          </w:rPr>
          <w:tab/>
        </w:r>
        <w:r w:rsidR="007249F3">
          <w:rPr>
            <w:webHidden/>
          </w:rPr>
          <w:fldChar w:fldCharType="begin"/>
        </w:r>
        <w:r w:rsidR="007249F3">
          <w:rPr>
            <w:webHidden/>
          </w:rPr>
          <w:instrText xml:space="preserve"> PAGEREF _Toc483563147 \h </w:instrText>
        </w:r>
        <w:r w:rsidR="007249F3">
          <w:rPr>
            <w:webHidden/>
          </w:rPr>
        </w:r>
        <w:r w:rsidR="007249F3">
          <w:rPr>
            <w:webHidden/>
          </w:rPr>
          <w:fldChar w:fldCharType="separate"/>
        </w:r>
        <w:r w:rsidR="002A2478">
          <w:rPr>
            <w:webHidden/>
          </w:rPr>
          <w:t>9</w:t>
        </w:r>
        <w:r w:rsidR="007249F3">
          <w:rPr>
            <w:webHidden/>
          </w:rPr>
          <w:fldChar w:fldCharType="end"/>
        </w:r>
      </w:hyperlink>
    </w:p>
    <w:p w:rsidR="007249F3" w:rsidRDefault="00A000A3">
      <w:pPr>
        <w:pStyle w:val="TOC2"/>
        <w:rPr>
          <w:rFonts w:asciiTheme="minorHAnsi" w:eastAsiaTheme="minorEastAsia" w:hAnsiTheme="minorHAnsi"/>
          <w:sz w:val="22"/>
          <w:lang w:eastAsia="en-AU"/>
        </w:rPr>
      </w:pPr>
      <w:hyperlink w:anchor="_Toc483563148" w:history="1">
        <w:r w:rsidR="007249F3" w:rsidRPr="00432710">
          <w:rPr>
            <w:rStyle w:val="Hyperlink"/>
          </w:rPr>
          <w:t>3.3</w:t>
        </w:r>
        <w:r w:rsidR="007249F3">
          <w:rPr>
            <w:rFonts w:asciiTheme="minorHAnsi" w:eastAsiaTheme="minorEastAsia" w:hAnsiTheme="minorHAnsi"/>
            <w:sz w:val="22"/>
            <w:lang w:eastAsia="en-AU"/>
          </w:rPr>
          <w:tab/>
        </w:r>
        <w:r w:rsidR="007249F3" w:rsidRPr="00432710">
          <w:rPr>
            <w:rStyle w:val="Hyperlink"/>
          </w:rPr>
          <w:t>LTRCM 2015-16 determination</w:t>
        </w:r>
        <w:r w:rsidR="007249F3">
          <w:rPr>
            <w:webHidden/>
          </w:rPr>
          <w:tab/>
        </w:r>
        <w:r w:rsidR="007249F3">
          <w:rPr>
            <w:webHidden/>
          </w:rPr>
          <w:fldChar w:fldCharType="begin"/>
        </w:r>
        <w:r w:rsidR="007249F3">
          <w:rPr>
            <w:webHidden/>
          </w:rPr>
          <w:instrText xml:space="preserve"> PAGEREF _Toc483563148 \h </w:instrText>
        </w:r>
        <w:r w:rsidR="007249F3">
          <w:rPr>
            <w:webHidden/>
          </w:rPr>
        </w:r>
        <w:r w:rsidR="007249F3">
          <w:rPr>
            <w:webHidden/>
          </w:rPr>
          <w:fldChar w:fldCharType="separate"/>
        </w:r>
        <w:r w:rsidR="002A2478">
          <w:rPr>
            <w:webHidden/>
          </w:rPr>
          <w:t>9</w:t>
        </w:r>
        <w:r w:rsidR="007249F3">
          <w:rPr>
            <w:webHidden/>
          </w:rPr>
          <w:fldChar w:fldCharType="end"/>
        </w:r>
      </w:hyperlink>
    </w:p>
    <w:p w:rsidR="007249F3" w:rsidRDefault="00A000A3">
      <w:pPr>
        <w:pStyle w:val="TOC2"/>
        <w:rPr>
          <w:rFonts w:asciiTheme="minorHAnsi" w:eastAsiaTheme="minorEastAsia" w:hAnsiTheme="minorHAnsi"/>
          <w:sz w:val="22"/>
          <w:lang w:eastAsia="en-AU"/>
        </w:rPr>
      </w:pPr>
      <w:hyperlink w:anchor="_Toc483563149" w:history="1">
        <w:r w:rsidR="007249F3" w:rsidRPr="00432710">
          <w:rPr>
            <w:rStyle w:val="Hyperlink"/>
          </w:rPr>
          <w:t>3.4</w:t>
        </w:r>
        <w:r w:rsidR="007249F3">
          <w:rPr>
            <w:rFonts w:asciiTheme="minorHAnsi" w:eastAsiaTheme="minorEastAsia" w:hAnsiTheme="minorHAnsi"/>
            <w:sz w:val="22"/>
            <w:lang w:eastAsia="en-AU"/>
          </w:rPr>
          <w:tab/>
        </w:r>
        <w:r w:rsidR="007249F3" w:rsidRPr="00432710">
          <w:rPr>
            <w:rStyle w:val="Hyperlink"/>
          </w:rPr>
          <w:t>Price compliance reporting</w:t>
        </w:r>
        <w:r w:rsidR="007249F3">
          <w:rPr>
            <w:webHidden/>
          </w:rPr>
          <w:tab/>
        </w:r>
        <w:r w:rsidR="007249F3">
          <w:rPr>
            <w:webHidden/>
          </w:rPr>
          <w:fldChar w:fldCharType="begin"/>
        </w:r>
        <w:r w:rsidR="007249F3">
          <w:rPr>
            <w:webHidden/>
          </w:rPr>
          <w:instrText xml:space="preserve"> PAGEREF _Toc483563149 \h </w:instrText>
        </w:r>
        <w:r w:rsidR="007249F3">
          <w:rPr>
            <w:webHidden/>
          </w:rPr>
        </w:r>
        <w:r w:rsidR="007249F3">
          <w:rPr>
            <w:webHidden/>
          </w:rPr>
          <w:fldChar w:fldCharType="separate"/>
        </w:r>
        <w:r w:rsidR="002A2478">
          <w:rPr>
            <w:webHidden/>
          </w:rPr>
          <w:t>11</w:t>
        </w:r>
        <w:r w:rsidR="007249F3">
          <w:rPr>
            <w:webHidden/>
          </w:rPr>
          <w:fldChar w:fldCharType="end"/>
        </w:r>
      </w:hyperlink>
    </w:p>
    <w:p w:rsidR="007249F3" w:rsidRDefault="00A000A3">
      <w:pPr>
        <w:pStyle w:val="TOC1"/>
        <w:rPr>
          <w:rFonts w:asciiTheme="minorHAnsi" w:eastAsiaTheme="minorEastAsia" w:hAnsiTheme="minorHAnsi"/>
          <w:sz w:val="22"/>
          <w:lang w:val="en-AU" w:eastAsia="en-AU"/>
        </w:rPr>
      </w:pPr>
      <w:hyperlink w:anchor="_Toc483563150" w:history="1">
        <w:r w:rsidR="007249F3" w:rsidRPr="00432710">
          <w:rPr>
            <w:rStyle w:val="Hyperlink"/>
          </w:rPr>
          <w:t>4</w:t>
        </w:r>
        <w:r w:rsidR="007249F3">
          <w:rPr>
            <w:rFonts w:asciiTheme="minorHAnsi" w:eastAsiaTheme="minorEastAsia" w:hAnsiTheme="minorHAnsi"/>
            <w:sz w:val="22"/>
            <w:lang w:val="en-AU" w:eastAsia="en-AU"/>
          </w:rPr>
          <w:tab/>
        </w:r>
        <w:r w:rsidR="007249F3" w:rsidRPr="00432710">
          <w:rPr>
            <w:rStyle w:val="Hyperlink"/>
          </w:rPr>
          <w:t>ACCC 2015-16 LTRCM final determination and price compliance assessment</w:t>
        </w:r>
        <w:r w:rsidR="007249F3">
          <w:rPr>
            <w:webHidden/>
          </w:rPr>
          <w:tab/>
        </w:r>
        <w:r w:rsidR="007249F3">
          <w:rPr>
            <w:webHidden/>
          </w:rPr>
          <w:fldChar w:fldCharType="begin"/>
        </w:r>
        <w:r w:rsidR="007249F3">
          <w:rPr>
            <w:webHidden/>
          </w:rPr>
          <w:instrText xml:space="preserve"> PAGEREF _Toc483563150 \h </w:instrText>
        </w:r>
        <w:r w:rsidR="007249F3">
          <w:rPr>
            <w:webHidden/>
          </w:rPr>
        </w:r>
        <w:r w:rsidR="007249F3">
          <w:rPr>
            <w:webHidden/>
          </w:rPr>
          <w:fldChar w:fldCharType="separate"/>
        </w:r>
        <w:r w:rsidR="002A2478">
          <w:rPr>
            <w:webHidden/>
          </w:rPr>
          <w:t>12</w:t>
        </w:r>
        <w:r w:rsidR="007249F3">
          <w:rPr>
            <w:webHidden/>
          </w:rPr>
          <w:fldChar w:fldCharType="end"/>
        </w:r>
      </w:hyperlink>
    </w:p>
    <w:p w:rsidR="00325BBB" w:rsidRPr="00A20E5A" w:rsidRDefault="00325BBB" w:rsidP="00325BBB">
      <w:r>
        <w:fldChar w:fldCharType="end"/>
      </w:r>
    </w:p>
    <w:p w:rsidR="00325BBB" w:rsidRDefault="00325BBB" w:rsidP="00325BBB">
      <w:pPr>
        <w:pStyle w:val="Non-NumberedStyle"/>
        <w:sectPr w:rsidR="00325BBB" w:rsidSect="00A865E0">
          <w:footerReference w:type="default" r:id="rId13"/>
          <w:pgSz w:w="11906" w:h="16838"/>
          <w:pgMar w:top="1440" w:right="1729" w:bottom="1582" w:left="1729" w:header="709" w:footer="709" w:gutter="0"/>
          <w:pgNumType w:start="1"/>
          <w:cols w:space="708"/>
          <w:docGrid w:linePitch="360"/>
        </w:sectPr>
      </w:pPr>
      <w:bookmarkStart w:id="1" w:name="_Toc377396310"/>
    </w:p>
    <w:p w:rsidR="00325BBB" w:rsidRDefault="00325BBB" w:rsidP="00325BBB">
      <w:pPr>
        <w:pStyle w:val="HeadingLevel1"/>
        <w:numPr>
          <w:ilvl w:val="0"/>
          <w:numId w:val="0"/>
        </w:numPr>
      </w:pPr>
      <w:bookmarkStart w:id="2" w:name="_Toc483563138"/>
      <w:r>
        <w:lastRenderedPageBreak/>
        <w:t>List of abbreviations and acronyms</w:t>
      </w:r>
      <w:bookmarkEnd w:id="2"/>
    </w:p>
    <w:tbl>
      <w:tblPr>
        <w:tblStyle w:val="TableGrid"/>
        <w:tblW w:w="9529" w:type="dxa"/>
        <w:tblBorders>
          <w:top w:val="none" w:sz="0" w:space="0" w:color="auto"/>
          <w:bottom w:val="none" w:sz="0" w:space="0" w:color="auto"/>
        </w:tblBorders>
        <w:tblLook w:val="01E0" w:firstRow="1" w:lastRow="1" w:firstColumn="1" w:lastColumn="1" w:noHBand="0" w:noVBand="0"/>
      </w:tblPr>
      <w:tblGrid>
        <w:gridCol w:w="2335"/>
        <w:gridCol w:w="7194"/>
      </w:tblGrid>
      <w:tr w:rsidR="00325BBB" w:rsidRPr="00A92C6F" w:rsidTr="00325BBB">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25BBB" w:rsidRPr="00325BBB" w:rsidRDefault="00325BBB" w:rsidP="00A865E0">
            <w:pPr>
              <w:spacing w:before="120"/>
              <w:rPr>
                <w:b w:val="0"/>
              </w:rPr>
            </w:pPr>
            <w:r w:rsidRPr="00325BBB">
              <w:rPr>
                <w:b w:val="0"/>
              </w:rPr>
              <w:t>ABBRR</w:t>
            </w:r>
          </w:p>
        </w:tc>
        <w:tc>
          <w:tcPr>
            <w:tcW w:w="719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25BBB" w:rsidRPr="00325BBB" w:rsidRDefault="00325BBB" w:rsidP="00A865E0">
            <w:pPr>
              <w:spacing w:before="120"/>
              <w:cnfStyle w:val="100000000000" w:firstRow="1" w:lastRow="0" w:firstColumn="0" w:lastColumn="0" w:oddVBand="0" w:evenVBand="0" w:oddHBand="0" w:evenHBand="0" w:firstRowFirstColumn="0" w:firstRowLastColumn="0" w:lastRowFirstColumn="0" w:lastRowLastColumn="0"/>
              <w:rPr>
                <w:b w:val="0"/>
              </w:rPr>
            </w:pPr>
            <w:r w:rsidRPr="00325BBB">
              <w:rPr>
                <w:b w:val="0"/>
              </w:rPr>
              <w:t>Annual Building Block Revenue Requirement</w:t>
            </w:r>
          </w:p>
        </w:tc>
      </w:tr>
      <w:tr w:rsidR="00325BBB" w:rsidRPr="00A92C6F" w:rsidTr="00A865E0">
        <w:trPr>
          <w:trHeight w:val="144"/>
        </w:trPr>
        <w:tc>
          <w:tcPr>
            <w:cnfStyle w:val="001000000000" w:firstRow="0" w:lastRow="0" w:firstColumn="1" w:lastColumn="0" w:oddVBand="0" w:evenVBand="0" w:oddHBand="0" w:evenHBand="0" w:firstRowFirstColumn="0" w:firstRowLastColumn="0" w:lastRowFirstColumn="0" w:lastRowLastColumn="0"/>
            <w:tcW w:w="2335" w:type="dxa"/>
          </w:tcPr>
          <w:p w:rsidR="00325BBB" w:rsidRPr="00325BBB" w:rsidRDefault="00325BBB" w:rsidP="00A865E0">
            <w:pPr>
              <w:spacing w:before="120"/>
              <w:rPr>
                <w:b w:val="0"/>
              </w:rPr>
            </w:pPr>
            <w:r w:rsidRPr="00325BBB">
              <w:rPr>
                <w:b w:val="0"/>
              </w:rPr>
              <w:t>ACCC</w:t>
            </w:r>
          </w:p>
        </w:tc>
        <w:tc>
          <w:tcPr>
            <w:tcW w:w="7194" w:type="dxa"/>
          </w:tcPr>
          <w:p w:rsidR="00325BBB" w:rsidRPr="00325BBB" w:rsidRDefault="00325BBB" w:rsidP="00A865E0">
            <w:pPr>
              <w:spacing w:before="120"/>
              <w:cnfStyle w:val="000000000000" w:firstRow="0" w:lastRow="0" w:firstColumn="0" w:lastColumn="0" w:oddVBand="0" w:evenVBand="0" w:oddHBand="0" w:evenHBand="0" w:firstRowFirstColumn="0" w:firstRowLastColumn="0" w:lastRowFirstColumn="0" w:lastRowLastColumn="0"/>
            </w:pPr>
            <w:r w:rsidRPr="00325BBB">
              <w:t>Australian Competition and Consumer Commission</w:t>
            </w:r>
          </w:p>
        </w:tc>
      </w:tr>
      <w:tr w:rsidR="00325BBB" w:rsidRPr="00A92C6F" w:rsidTr="00A865E0">
        <w:trPr>
          <w:trHeight w:val="144"/>
        </w:trPr>
        <w:tc>
          <w:tcPr>
            <w:cnfStyle w:val="001000000000" w:firstRow="0" w:lastRow="0" w:firstColumn="1" w:lastColumn="0" w:oddVBand="0" w:evenVBand="0" w:oddHBand="0" w:evenHBand="0" w:firstRowFirstColumn="0" w:firstRowLastColumn="0" w:lastRowFirstColumn="0" w:lastRowLastColumn="0"/>
            <w:tcW w:w="2335" w:type="dxa"/>
          </w:tcPr>
          <w:p w:rsidR="00325BBB" w:rsidRPr="00325BBB" w:rsidRDefault="00325BBB" w:rsidP="00A865E0">
            <w:pPr>
              <w:spacing w:before="120"/>
              <w:rPr>
                <w:b w:val="0"/>
              </w:rPr>
            </w:pPr>
            <w:r w:rsidRPr="00325BBB">
              <w:rPr>
                <w:b w:val="0"/>
              </w:rPr>
              <w:t>ACIPA</w:t>
            </w:r>
          </w:p>
        </w:tc>
        <w:tc>
          <w:tcPr>
            <w:tcW w:w="7194" w:type="dxa"/>
          </w:tcPr>
          <w:p w:rsidR="00325BBB" w:rsidRPr="00325BBB" w:rsidRDefault="00325BBB" w:rsidP="00A865E0">
            <w:pPr>
              <w:spacing w:before="120"/>
              <w:cnfStyle w:val="000000000000" w:firstRow="0" w:lastRow="0" w:firstColumn="0" w:lastColumn="0" w:oddVBand="0" w:evenVBand="0" w:oddHBand="0" w:evenHBand="0" w:firstRowFirstColumn="0" w:firstRowLastColumn="0" w:lastRowFirstColumn="0" w:lastRowLastColumn="0"/>
              <w:rPr>
                <w:iCs/>
              </w:rPr>
            </w:pPr>
            <w:r w:rsidRPr="00325BBB">
              <w:rPr>
                <w:iCs/>
              </w:rPr>
              <w:t>Annual Construction in Progress Allowance</w:t>
            </w:r>
          </w:p>
        </w:tc>
      </w:tr>
      <w:tr w:rsidR="00325BBB" w:rsidRPr="00A92C6F" w:rsidTr="00A865E0">
        <w:trPr>
          <w:trHeight w:val="144"/>
        </w:trPr>
        <w:tc>
          <w:tcPr>
            <w:cnfStyle w:val="001000000000" w:firstRow="0" w:lastRow="0" w:firstColumn="1" w:lastColumn="0" w:oddVBand="0" w:evenVBand="0" w:oddHBand="0" w:evenHBand="0" w:firstRowFirstColumn="0" w:firstRowLastColumn="0" w:lastRowFirstColumn="0" w:lastRowLastColumn="0"/>
            <w:tcW w:w="2335" w:type="dxa"/>
          </w:tcPr>
          <w:p w:rsidR="00325BBB" w:rsidRPr="00325BBB" w:rsidRDefault="00325BBB" w:rsidP="00A865E0">
            <w:pPr>
              <w:spacing w:before="120"/>
              <w:rPr>
                <w:b w:val="0"/>
              </w:rPr>
            </w:pPr>
            <w:r w:rsidRPr="00325BBB">
              <w:rPr>
                <w:b w:val="0"/>
              </w:rPr>
              <w:t>CCA</w:t>
            </w:r>
          </w:p>
        </w:tc>
        <w:tc>
          <w:tcPr>
            <w:tcW w:w="7194" w:type="dxa"/>
          </w:tcPr>
          <w:p w:rsidR="00325BBB" w:rsidRPr="00325BBB" w:rsidRDefault="00325BBB" w:rsidP="00A865E0">
            <w:pPr>
              <w:spacing w:before="120"/>
              <w:cnfStyle w:val="000000000000" w:firstRow="0" w:lastRow="0" w:firstColumn="0" w:lastColumn="0" w:oddVBand="0" w:evenVBand="0" w:oddHBand="0" w:evenHBand="0" w:firstRowFirstColumn="0" w:firstRowLastColumn="0" w:lastRowFirstColumn="0" w:lastRowLastColumn="0"/>
              <w:rPr>
                <w:iCs/>
              </w:rPr>
            </w:pPr>
            <w:r w:rsidRPr="00325BBB">
              <w:rPr>
                <w:i/>
                <w:iCs/>
              </w:rPr>
              <w:t>Competition and Consumer Act 2010</w:t>
            </w:r>
            <w:r w:rsidRPr="00325BBB">
              <w:rPr>
                <w:iCs/>
              </w:rPr>
              <w:t xml:space="preserve"> (Commonwealth)</w:t>
            </w:r>
          </w:p>
        </w:tc>
      </w:tr>
      <w:tr w:rsidR="00325BBB" w:rsidRPr="00A92C6F" w:rsidTr="00A865E0">
        <w:trPr>
          <w:trHeight w:val="144"/>
        </w:trPr>
        <w:tc>
          <w:tcPr>
            <w:cnfStyle w:val="001000000000" w:firstRow="0" w:lastRow="0" w:firstColumn="1" w:lastColumn="0" w:oddVBand="0" w:evenVBand="0" w:oddHBand="0" w:evenHBand="0" w:firstRowFirstColumn="0" w:firstRowLastColumn="0" w:lastRowFirstColumn="0" w:lastRowLastColumn="0"/>
            <w:tcW w:w="2335" w:type="dxa"/>
          </w:tcPr>
          <w:p w:rsidR="00325BBB" w:rsidRPr="00325BBB" w:rsidRDefault="00325BBB" w:rsidP="00A865E0">
            <w:pPr>
              <w:spacing w:before="120"/>
              <w:rPr>
                <w:b w:val="0"/>
              </w:rPr>
            </w:pPr>
            <w:r w:rsidRPr="00325BBB">
              <w:rPr>
                <w:b w:val="0"/>
              </w:rPr>
              <w:t>CFO</w:t>
            </w:r>
          </w:p>
        </w:tc>
        <w:tc>
          <w:tcPr>
            <w:tcW w:w="7194" w:type="dxa"/>
          </w:tcPr>
          <w:p w:rsidR="00325BBB" w:rsidRPr="00325BBB" w:rsidRDefault="00325BBB" w:rsidP="00A865E0">
            <w:pPr>
              <w:spacing w:before="120"/>
              <w:cnfStyle w:val="000000000000" w:firstRow="0" w:lastRow="0" w:firstColumn="0" w:lastColumn="0" w:oddVBand="0" w:evenVBand="0" w:oddHBand="0" w:evenHBand="0" w:firstRowFirstColumn="0" w:firstRowLastColumn="0" w:lastRowFirstColumn="0" w:lastRowLastColumn="0"/>
            </w:pPr>
            <w:r w:rsidRPr="00325BBB">
              <w:t>Chief Financial Officer</w:t>
            </w:r>
          </w:p>
        </w:tc>
      </w:tr>
      <w:tr w:rsidR="00325BBB" w:rsidRPr="00A92C6F" w:rsidTr="00A865E0">
        <w:trPr>
          <w:trHeight w:val="144"/>
        </w:trPr>
        <w:tc>
          <w:tcPr>
            <w:cnfStyle w:val="001000000000" w:firstRow="0" w:lastRow="0" w:firstColumn="1" w:lastColumn="0" w:oddVBand="0" w:evenVBand="0" w:oddHBand="0" w:evenHBand="0" w:firstRowFirstColumn="0" w:firstRowLastColumn="0" w:lastRowFirstColumn="0" w:lastRowLastColumn="0"/>
            <w:tcW w:w="2335" w:type="dxa"/>
          </w:tcPr>
          <w:p w:rsidR="00325BBB" w:rsidRPr="00325BBB" w:rsidRDefault="00325BBB" w:rsidP="00A865E0">
            <w:pPr>
              <w:spacing w:before="120"/>
              <w:rPr>
                <w:b w:val="0"/>
              </w:rPr>
            </w:pPr>
            <w:r w:rsidRPr="00325BBB">
              <w:rPr>
                <w:b w:val="0"/>
              </w:rPr>
              <w:t>CIF</w:t>
            </w:r>
          </w:p>
        </w:tc>
        <w:tc>
          <w:tcPr>
            <w:tcW w:w="7194" w:type="dxa"/>
          </w:tcPr>
          <w:p w:rsidR="00325BBB" w:rsidRPr="00325BBB" w:rsidRDefault="00325BBB" w:rsidP="00A865E0">
            <w:pPr>
              <w:spacing w:before="120"/>
              <w:cnfStyle w:val="000000000000" w:firstRow="0" w:lastRow="0" w:firstColumn="0" w:lastColumn="0" w:oddVBand="0" w:evenVBand="0" w:oddHBand="0" w:evenHBand="0" w:firstRowFirstColumn="0" w:firstRowLastColumn="0" w:lastRowFirstColumn="0" w:lastRowLastColumn="0"/>
            </w:pPr>
            <w:r w:rsidRPr="00325BBB">
              <w:t>Cumulative Inflation Factor</w:t>
            </w:r>
          </w:p>
        </w:tc>
      </w:tr>
      <w:tr w:rsidR="00325BBB" w:rsidRPr="00A92C6F" w:rsidTr="00A865E0">
        <w:trPr>
          <w:trHeight w:val="144"/>
        </w:trPr>
        <w:tc>
          <w:tcPr>
            <w:cnfStyle w:val="001000000000" w:firstRow="0" w:lastRow="0" w:firstColumn="1" w:lastColumn="0" w:oddVBand="0" w:evenVBand="0" w:oddHBand="0" w:evenHBand="0" w:firstRowFirstColumn="0" w:firstRowLastColumn="0" w:lastRowFirstColumn="0" w:lastRowLastColumn="0"/>
            <w:tcW w:w="2335" w:type="dxa"/>
          </w:tcPr>
          <w:p w:rsidR="00325BBB" w:rsidRPr="00325BBB" w:rsidRDefault="00325BBB" w:rsidP="00A865E0">
            <w:pPr>
              <w:spacing w:before="120"/>
              <w:rPr>
                <w:b w:val="0"/>
              </w:rPr>
            </w:pPr>
            <w:r w:rsidRPr="00325BBB">
              <w:rPr>
                <w:b w:val="0"/>
              </w:rPr>
              <w:t>CIP</w:t>
            </w:r>
          </w:p>
        </w:tc>
        <w:tc>
          <w:tcPr>
            <w:tcW w:w="7194" w:type="dxa"/>
          </w:tcPr>
          <w:p w:rsidR="00325BBB" w:rsidRPr="00325BBB" w:rsidRDefault="00325BBB" w:rsidP="00A865E0">
            <w:pPr>
              <w:spacing w:before="120"/>
              <w:cnfStyle w:val="000000000000" w:firstRow="0" w:lastRow="0" w:firstColumn="0" w:lastColumn="0" w:oddVBand="0" w:evenVBand="0" w:oddHBand="0" w:evenHBand="0" w:firstRowFirstColumn="0" w:firstRowLastColumn="0" w:lastRowFirstColumn="0" w:lastRowLastColumn="0"/>
            </w:pPr>
            <w:r w:rsidRPr="00325BBB">
              <w:t>Construction in Progress</w:t>
            </w:r>
          </w:p>
        </w:tc>
      </w:tr>
      <w:tr w:rsidR="00325BBB" w:rsidRPr="00A92C6F" w:rsidTr="00A865E0">
        <w:trPr>
          <w:trHeight w:val="144"/>
        </w:trPr>
        <w:tc>
          <w:tcPr>
            <w:cnfStyle w:val="001000000000" w:firstRow="0" w:lastRow="0" w:firstColumn="1" w:lastColumn="0" w:oddVBand="0" w:evenVBand="0" w:oddHBand="0" w:evenHBand="0" w:firstRowFirstColumn="0" w:firstRowLastColumn="0" w:lastRowFirstColumn="0" w:lastRowLastColumn="0"/>
            <w:tcW w:w="2335" w:type="dxa"/>
          </w:tcPr>
          <w:p w:rsidR="00325BBB" w:rsidRPr="00325BBB" w:rsidRDefault="00325BBB" w:rsidP="00A865E0">
            <w:pPr>
              <w:spacing w:before="120"/>
              <w:rPr>
                <w:b w:val="0"/>
              </w:rPr>
            </w:pPr>
            <w:r w:rsidRPr="00325BBB">
              <w:rPr>
                <w:b w:val="0"/>
              </w:rPr>
              <w:t>CPI</w:t>
            </w:r>
          </w:p>
        </w:tc>
        <w:tc>
          <w:tcPr>
            <w:tcW w:w="7194" w:type="dxa"/>
          </w:tcPr>
          <w:p w:rsidR="00325BBB" w:rsidRPr="00325BBB" w:rsidRDefault="00325BBB" w:rsidP="00A865E0">
            <w:pPr>
              <w:spacing w:before="120"/>
              <w:cnfStyle w:val="000000000000" w:firstRow="0" w:lastRow="0" w:firstColumn="0" w:lastColumn="0" w:oddVBand="0" w:evenVBand="0" w:oddHBand="0" w:evenHBand="0" w:firstRowFirstColumn="0" w:firstRowLastColumn="0" w:lastRowFirstColumn="0" w:lastRowLastColumn="0"/>
            </w:pPr>
            <w:r w:rsidRPr="00325BBB">
              <w:t>Consumer Price Index</w:t>
            </w:r>
          </w:p>
        </w:tc>
      </w:tr>
      <w:tr w:rsidR="00325BBB" w:rsidRPr="00A92C6F" w:rsidTr="00A865E0">
        <w:trPr>
          <w:trHeight w:val="144"/>
        </w:trPr>
        <w:tc>
          <w:tcPr>
            <w:cnfStyle w:val="001000000000" w:firstRow="0" w:lastRow="0" w:firstColumn="1" w:lastColumn="0" w:oddVBand="0" w:evenVBand="0" w:oddHBand="0" w:evenHBand="0" w:firstRowFirstColumn="0" w:firstRowLastColumn="0" w:lastRowFirstColumn="0" w:lastRowLastColumn="0"/>
            <w:tcW w:w="2335" w:type="dxa"/>
          </w:tcPr>
          <w:p w:rsidR="00325BBB" w:rsidRPr="00325BBB" w:rsidRDefault="00325BBB" w:rsidP="00A865E0">
            <w:pPr>
              <w:spacing w:before="120"/>
              <w:rPr>
                <w:b w:val="0"/>
              </w:rPr>
            </w:pPr>
            <w:r w:rsidRPr="00325BBB">
              <w:rPr>
                <w:b w:val="0"/>
              </w:rPr>
              <w:t>CPO</w:t>
            </w:r>
          </w:p>
        </w:tc>
        <w:tc>
          <w:tcPr>
            <w:tcW w:w="7194" w:type="dxa"/>
          </w:tcPr>
          <w:p w:rsidR="00325BBB" w:rsidRPr="00325BBB" w:rsidRDefault="00325BBB" w:rsidP="00A865E0">
            <w:pPr>
              <w:spacing w:before="120"/>
              <w:cnfStyle w:val="000000000000" w:firstRow="0" w:lastRow="0" w:firstColumn="0" w:lastColumn="0" w:oddVBand="0" w:evenVBand="0" w:oddHBand="0" w:evenHBand="0" w:firstRowFirstColumn="0" w:firstRowLastColumn="0" w:lastRowFirstColumn="0" w:lastRowLastColumn="0"/>
            </w:pPr>
            <w:r w:rsidRPr="00325BBB">
              <w:t>Chief Procurement Officer</w:t>
            </w:r>
          </w:p>
        </w:tc>
      </w:tr>
      <w:tr w:rsidR="00325BBB" w:rsidRPr="00A92C6F" w:rsidTr="00A865E0">
        <w:trPr>
          <w:trHeight w:val="144"/>
        </w:trPr>
        <w:tc>
          <w:tcPr>
            <w:cnfStyle w:val="001000000000" w:firstRow="0" w:lastRow="0" w:firstColumn="1" w:lastColumn="0" w:oddVBand="0" w:evenVBand="0" w:oddHBand="0" w:evenHBand="0" w:firstRowFirstColumn="0" w:firstRowLastColumn="0" w:lastRowFirstColumn="0" w:lastRowLastColumn="0"/>
            <w:tcW w:w="2335" w:type="dxa"/>
          </w:tcPr>
          <w:p w:rsidR="00325BBB" w:rsidRPr="00325BBB" w:rsidRDefault="00325BBB" w:rsidP="00A865E0">
            <w:pPr>
              <w:spacing w:before="120"/>
              <w:rPr>
                <w:b w:val="0"/>
              </w:rPr>
            </w:pPr>
            <w:r w:rsidRPr="00325BBB">
              <w:rPr>
                <w:b w:val="0"/>
              </w:rPr>
              <w:t>ICRA</w:t>
            </w:r>
          </w:p>
        </w:tc>
        <w:tc>
          <w:tcPr>
            <w:tcW w:w="7194" w:type="dxa"/>
          </w:tcPr>
          <w:p w:rsidR="00325BBB" w:rsidRPr="00325BBB" w:rsidRDefault="00325BBB" w:rsidP="00A865E0">
            <w:pPr>
              <w:spacing w:before="120"/>
              <w:cnfStyle w:val="000000000000" w:firstRow="0" w:lastRow="0" w:firstColumn="0" w:lastColumn="0" w:oddVBand="0" w:evenVBand="0" w:oddHBand="0" w:evenHBand="0" w:firstRowFirstColumn="0" w:firstRowLastColumn="0" w:lastRowFirstColumn="0" w:lastRowLastColumn="0"/>
            </w:pPr>
            <w:r w:rsidRPr="00325BBB">
              <w:t>Initial Cost Recovery Account</w:t>
            </w:r>
          </w:p>
        </w:tc>
      </w:tr>
      <w:tr w:rsidR="00325BBB" w:rsidRPr="00A92C6F" w:rsidTr="00A865E0">
        <w:trPr>
          <w:trHeight w:val="144"/>
        </w:trPr>
        <w:tc>
          <w:tcPr>
            <w:cnfStyle w:val="001000000000" w:firstRow="0" w:lastRow="0" w:firstColumn="1" w:lastColumn="0" w:oddVBand="0" w:evenVBand="0" w:oddHBand="0" w:evenHBand="0" w:firstRowFirstColumn="0" w:firstRowLastColumn="0" w:lastRowFirstColumn="0" w:lastRowLastColumn="0"/>
            <w:tcW w:w="2335" w:type="dxa"/>
          </w:tcPr>
          <w:p w:rsidR="00325BBB" w:rsidRPr="00325BBB" w:rsidRDefault="00325BBB" w:rsidP="00A865E0">
            <w:pPr>
              <w:spacing w:before="120"/>
              <w:rPr>
                <w:b w:val="0"/>
              </w:rPr>
            </w:pPr>
            <w:r w:rsidRPr="00325BBB">
              <w:rPr>
                <w:b w:val="0"/>
              </w:rPr>
              <w:t>LTRCM</w:t>
            </w:r>
          </w:p>
        </w:tc>
        <w:tc>
          <w:tcPr>
            <w:tcW w:w="7194" w:type="dxa"/>
          </w:tcPr>
          <w:p w:rsidR="00325BBB" w:rsidRPr="00325BBB" w:rsidRDefault="00325BBB" w:rsidP="00A865E0">
            <w:pPr>
              <w:spacing w:before="120"/>
              <w:cnfStyle w:val="000000000000" w:firstRow="0" w:lastRow="0" w:firstColumn="0" w:lastColumn="0" w:oddVBand="0" w:evenVBand="0" w:oddHBand="0" w:evenHBand="0" w:firstRowFirstColumn="0" w:firstRowLastColumn="0" w:lastRowFirstColumn="0" w:lastRowLastColumn="0"/>
            </w:pPr>
            <w:r w:rsidRPr="00325BBB">
              <w:t>Long Term Revenue Constraint Methodology</w:t>
            </w:r>
          </w:p>
        </w:tc>
      </w:tr>
      <w:tr w:rsidR="00325BBB" w:rsidRPr="00A92C6F" w:rsidTr="00A865E0">
        <w:trPr>
          <w:trHeight w:val="144"/>
        </w:trPr>
        <w:tc>
          <w:tcPr>
            <w:cnfStyle w:val="001000000000" w:firstRow="0" w:lastRow="0" w:firstColumn="1" w:lastColumn="0" w:oddVBand="0" w:evenVBand="0" w:oddHBand="0" w:evenHBand="0" w:firstRowFirstColumn="0" w:firstRowLastColumn="0" w:lastRowFirstColumn="0" w:lastRowLastColumn="0"/>
            <w:tcW w:w="2335" w:type="dxa"/>
          </w:tcPr>
          <w:p w:rsidR="00325BBB" w:rsidRPr="00325BBB" w:rsidRDefault="00325BBB" w:rsidP="00A865E0">
            <w:pPr>
              <w:spacing w:before="120"/>
              <w:rPr>
                <w:b w:val="0"/>
              </w:rPr>
            </w:pPr>
            <w:r w:rsidRPr="00325BBB">
              <w:rPr>
                <w:b w:val="0"/>
              </w:rPr>
              <w:t>NBN</w:t>
            </w:r>
          </w:p>
        </w:tc>
        <w:tc>
          <w:tcPr>
            <w:tcW w:w="7194" w:type="dxa"/>
          </w:tcPr>
          <w:p w:rsidR="00325BBB" w:rsidRPr="00325BBB" w:rsidRDefault="00325BBB" w:rsidP="00A865E0">
            <w:pPr>
              <w:spacing w:before="120"/>
              <w:cnfStyle w:val="000000000000" w:firstRow="0" w:lastRow="0" w:firstColumn="0" w:lastColumn="0" w:oddVBand="0" w:evenVBand="0" w:oddHBand="0" w:evenHBand="0" w:firstRowFirstColumn="0" w:firstRowLastColumn="0" w:lastRowFirstColumn="0" w:lastRowLastColumn="0"/>
            </w:pPr>
            <w:r w:rsidRPr="00325BBB">
              <w:t>National Broadband Network</w:t>
            </w:r>
          </w:p>
        </w:tc>
      </w:tr>
      <w:tr w:rsidR="00325BBB" w:rsidRPr="00A92C6F" w:rsidTr="00A865E0">
        <w:trPr>
          <w:trHeight w:val="144"/>
        </w:trPr>
        <w:tc>
          <w:tcPr>
            <w:cnfStyle w:val="001000000000" w:firstRow="0" w:lastRow="0" w:firstColumn="1" w:lastColumn="0" w:oddVBand="0" w:evenVBand="0" w:oddHBand="0" w:evenHBand="0" w:firstRowFirstColumn="0" w:firstRowLastColumn="0" w:lastRowFirstColumn="0" w:lastRowLastColumn="0"/>
            <w:tcW w:w="2335" w:type="dxa"/>
          </w:tcPr>
          <w:p w:rsidR="00325BBB" w:rsidRPr="00325BBB" w:rsidRDefault="00325BBB" w:rsidP="00A865E0">
            <w:pPr>
              <w:spacing w:before="120"/>
              <w:rPr>
                <w:b w:val="0"/>
              </w:rPr>
            </w:pPr>
            <w:r w:rsidRPr="00325BBB">
              <w:rPr>
                <w:b w:val="0"/>
              </w:rPr>
              <w:t>RAB</w:t>
            </w:r>
          </w:p>
        </w:tc>
        <w:tc>
          <w:tcPr>
            <w:tcW w:w="7194" w:type="dxa"/>
          </w:tcPr>
          <w:p w:rsidR="00325BBB" w:rsidRPr="00325BBB" w:rsidRDefault="00325BBB" w:rsidP="00A865E0">
            <w:pPr>
              <w:spacing w:before="120"/>
              <w:cnfStyle w:val="000000000000" w:firstRow="0" w:lastRow="0" w:firstColumn="0" w:lastColumn="0" w:oddVBand="0" w:evenVBand="0" w:oddHBand="0" w:evenHBand="0" w:firstRowFirstColumn="0" w:firstRowLastColumn="0" w:lastRowFirstColumn="0" w:lastRowLastColumn="0"/>
            </w:pPr>
            <w:r w:rsidRPr="00325BBB">
              <w:t>Regulatory Asset Base</w:t>
            </w:r>
          </w:p>
        </w:tc>
      </w:tr>
      <w:tr w:rsidR="00325BBB" w:rsidRPr="00A92C6F" w:rsidTr="00A865E0">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335" w:type="dxa"/>
          </w:tcPr>
          <w:p w:rsidR="00325BBB" w:rsidRPr="00AB5D5F" w:rsidRDefault="00325BBB" w:rsidP="00A865E0">
            <w:pPr>
              <w:spacing w:before="120"/>
              <w:rPr>
                <w:b w:val="0"/>
              </w:rPr>
            </w:pPr>
            <w:r w:rsidRPr="00AB5D5F">
              <w:rPr>
                <w:b w:val="0"/>
              </w:rPr>
              <w:t>SAU</w:t>
            </w:r>
          </w:p>
          <w:p w:rsidR="00AB5D5F" w:rsidRPr="00AB5D5F" w:rsidRDefault="00AB5D5F" w:rsidP="00A865E0">
            <w:pPr>
              <w:spacing w:before="120"/>
              <w:rPr>
                <w:b w:val="0"/>
              </w:rPr>
            </w:pPr>
            <w:r w:rsidRPr="00AB5D5F">
              <w:rPr>
                <w:b w:val="0"/>
              </w:rPr>
              <w:t>WBA</w:t>
            </w:r>
          </w:p>
        </w:tc>
        <w:tc>
          <w:tcPr>
            <w:tcW w:w="7194" w:type="dxa"/>
          </w:tcPr>
          <w:p w:rsidR="00325BBB" w:rsidRPr="00AB5D5F" w:rsidRDefault="00325BBB" w:rsidP="00A865E0">
            <w:pPr>
              <w:spacing w:before="120"/>
              <w:cnfStyle w:val="010000000000" w:firstRow="0" w:lastRow="1" w:firstColumn="0" w:lastColumn="0" w:oddVBand="0" w:evenVBand="0" w:oddHBand="0" w:evenHBand="0" w:firstRowFirstColumn="0" w:firstRowLastColumn="0" w:lastRowFirstColumn="0" w:lastRowLastColumn="0"/>
              <w:rPr>
                <w:b w:val="0"/>
              </w:rPr>
            </w:pPr>
            <w:r w:rsidRPr="00AB5D5F">
              <w:rPr>
                <w:b w:val="0"/>
              </w:rPr>
              <w:t>Special Access Undertaking</w:t>
            </w:r>
          </w:p>
          <w:p w:rsidR="00AB5D5F" w:rsidRPr="00AB5D5F" w:rsidRDefault="00AB5D5F" w:rsidP="00A865E0">
            <w:pPr>
              <w:spacing w:before="120"/>
              <w:cnfStyle w:val="010000000000" w:firstRow="0" w:lastRow="1" w:firstColumn="0" w:lastColumn="0" w:oddVBand="0" w:evenVBand="0" w:oddHBand="0" w:evenHBand="0" w:firstRowFirstColumn="0" w:firstRowLastColumn="0" w:lastRowFirstColumn="0" w:lastRowLastColumn="0"/>
              <w:rPr>
                <w:b w:val="0"/>
              </w:rPr>
            </w:pPr>
            <w:r w:rsidRPr="00AB5D5F">
              <w:rPr>
                <w:b w:val="0"/>
              </w:rPr>
              <w:t>Wholesale Broadband Agreement</w:t>
            </w:r>
          </w:p>
          <w:p w:rsidR="00AB5D5F" w:rsidRPr="00AB5D5F" w:rsidRDefault="00AB5D5F" w:rsidP="00A865E0">
            <w:pPr>
              <w:spacing w:before="120"/>
              <w:cnfStyle w:val="010000000000" w:firstRow="0" w:lastRow="1" w:firstColumn="0" w:lastColumn="0" w:oddVBand="0" w:evenVBand="0" w:oddHBand="0" w:evenHBand="0" w:firstRowFirstColumn="0" w:firstRowLastColumn="0" w:lastRowFirstColumn="0" w:lastRowLastColumn="0"/>
              <w:rPr>
                <w:b w:val="0"/>
              </w:rPr>
            </w:pPr>
          </w:p>
        </w:tc>
      </w:tr>
    </w:tbl>
    <w:p w:rsidR="00325BBB" w:rsidRDefault="00325BBB" w:rsidP="00325BBB">
      <w:pPr>
        <w:sectPr w:rsidR="00325BBB" w:rsidSect="00A865E0">
          <w:footerReference w:type="default" r:id="rId14"/>
          <w:pgSz w:w="11906" w:h="16838"/>
          <w:pgMar w:top="1440" w:right="1729" w:bottom="1582" w:left="1729" w:header="709" w:footer="709" w:gutter="0"/>
          <w:pgNumType w:fmt="lowerRoman" w:start="1"/>
          <w:cols w:space="708"/>
          <w:docGrid w:linePitch="360"/>
        </w:sectPr>
      </w:pPr>
    </w:p>
    <w:p w:rsidR="00325BBB" w:rsidRDefault="00325BBB" w:rsidP="00325BBB">
      <w:pPr>
        <w:pStyle w:val="HeadingLevel1"/>
        <w:numPr>
          <w:ilvl w:val="0"/>
          <w:numId w:val="0"/>
        </w:numPr>
      </w:pPr>
      <w:bookmarkStart w:id="3" w:name="_Toc483563139"/>
      <w:r>
        <w:lastRenderedPageBreak/>
        <w:t>Executive Summary</w:t>
      </w:r>
      <w:bookmarkEnd w:id="1"/>
      <w:bookmarkEnd w:id="3"/>
      <w:r>
        <w:t xml:space="preserve"> </w:t>
      </w:r>
    </w:p>
    <w:p w:rsidR="002A6102" w:rsidRDefault="00062019" w:rsidP="00062019">
      <w:r>
        <w:t xml:space="preserve">The Australian Competition and Consumer Commission (ACCC) must make a Long Term Revenue Constraint Methodology (LTRCM) Determination </w:t>
      </w:r>
      <w:r w:rsidR="00DE0060">
        <w:t xml:space="preserve">each year pursuant to </w:t>
      </w:r>
      <w:r>
        <w:t>NBN Co’s Special Access Undertaking (SAU).</w:t>
      </w:r>
      <w:r w:rsidR="002A6102">
        <w:t xml:space="preserve"> </w:t>
      </w:r>
      <w:r w:rsidR="00D7335D">
        <w:t>The SAU</w:t>
      </w:r>
      <w:r w:rsidR="00DE0060">
        <w:t xml:space="preserve"> </w:t>
      </w:r>
      <w:r w:rsidR="00D7335D">
        <w:t xml:space="preserve">was accepted by the ACCC on 13 December 2013. </w:t>
      </w:r>
    </w:p>
    <w:p w:rsidR="00062019" w:rsidRDefault="00062019" w:rsidP="00062019">
      <w:r>
        <w:t xml:space="preserve">The LTRCM is a component of NBN Co’s SAU, which forms part of the regulatory framework for the National Broadband Network (NBN). The LTRCM is a methodology for determining the amount of revenue NBN Co is allowed to earn over the term of the SAU. The LTRCM provides NBN Co with the opportunity to recover its prudent and efficient costs of supply, including an appropriate return on investment. </w:t>
      </w:r>
      <w:r w:rsidR="00D672BB">
        <w:t xml:space="preserve">It </w:t>
      </w:r>
      <w:r>
        <w:t xml:space="preserve">is one of </w:t>
      </w:r>
      <w:r w:rsidR="00D672BB">
        <w:t xml:space="preserve">a number of </w:t>
      </w:r>
      <w:r>
        <w:t>incentives in the SAU to encourage NBN Co to operate and invest prudently and efficiently.</w:t>
      </w:r>
    </w:p>
    <w:p w:rsidR="00062019" w:rsidDel="00423792" w:rsidRDefault="00062019" w:rsidP="00062019">
      <w:r w:rsidDel="00423792">
        <w:t>Schedule 1F of the SAU requires NBN Co to submit certain regulatory information for each financial year, including financial information required to determine the revenue NBN Co is allow</w:t>
      </w:r>
      <w:r>
        <w:t>ed</w:t>
      </w:r>
      <w:r w:rsidDel="00423792">
        <w:t xml:space="preserve"> to earn via its long term revenue constraint. NBN Co is also required to certify that it has complied with the price controls set</w:t>
      </w:r>
      <w:r w:rsidR="00507490">
        <w:t xml:space="preserve"> out in Schedule 1C of the SAU. T</w:t>
      </w:r>
      <w:r w:rsidR="00454EF8">
        <w:t>he ACCC used this information to inform this</w:t>
      </w:r>
      <w:r w:rsidR="00507490">
        <w:t xml:space="preserve"> final </w:t>
      </w:r>
      <w:r w:rsidR="00507490" w:rsidDel="00423792">
        <w:t>determination</w:t>
      </w:r>
      <w:r w:rsidR="00507490">
        <w:t xml:space="preserve">. </w:t>
      </w:r>
    </w:p>
    <w:p w:rsidR="00062019" w:rsidRDefault="00062019" w:rsidP="00062019">
      <w:r>
        <w:t>In making an LTRCM Determination, the ACCC must determine the following values (and the inputs to the values):</w:t>
      </w:r>
    </w:p>
    <w:p w:rsidR="00062019" w:rsidRDefault="00062019" w:rsidP="00362A4C">
      <w:pPr>
        <w:pStyle w:val="ListParagraph"/>
        <w:numPr>
          <w:ilvl w:val="0"/>
          <w:numId w:val="35"/>
        </w:numPr>
        <w:tabs>
          <w:tab w:val="clear" w:pos="340"/>
        </w:tabs>
        <w:spacing w:before="240"/>
        <w:ind w:left="714" w:hanging="357"/>
        <w:contextualSpacing/>
      </w:pPr>
      <w:r>
        <w:t xml:space="preserve">Annual Building Block Revenue Requirement (ABBRRR) – this is the amount of revenue NBN Co is allowed to earn </w:t>
      </w:r>
      <w:r w:rsidR="00175B55">
        <w:t xml:space="preserve">in </w:t>
      </w:r>
      <w:r>
        <w:t>each financial year</w:t>
      </w:r>
    </w:p>
    <w:p w:rsidR="00062019" w:rsidRDefault="00062019" w:rsidP="00362A4C">
      <w:pPr>
        <w:pStyle w:val="ListParagraph"/>
        <w:numPr>
          <w:ilvl w:val="0"/>
          <w:numId w:val="35"/>
        </w:numPr>
        <w:tabs>
          <w:tab w:val="clear" w:pos="340"/>
        </w:tabs>
        <w:spacing w:before="240"/>
        <w:ind w:left="714" w:hanging="357"/>
        <w:contextualSpacing/>
      </w:pPr>
      <w:r>
        <w:t>Regulatory Asset Base (RAB) – this is the net value of NBN Co’s regulated assets, and</w:t>
      </w:r>
    </w:p>
    <w:p w:rsidR="00062019" w:rsidRDefault="00062019" w:rsidP="00362A4C">
      <w:pPr>
        <w:pStyle w:val="ListParagraph"/>
        <w:numPr>
          <w:ilvl w:val="0"/>
          <w:numId w:val="35"/>
        </w:numPr>
        <w:tabs>
          <w:tab w:val="clear" w:pos="340"/>
        </w:tabs>
        <w:spacing w:before="240"/>
        <w:ind w:left="714" w:hanging="357"/>
        <w:contextualSpacing/>
      </w:pPr>
      <w:r>
        <w:t>Initial Cost Recover Account (ICRA) – this is the account for accumulating (and rolling forward) NBN Co’s initial unrecovered costs.</w:t>
      </w:r>
    </w:p>
    <w:p w:rsidR="00624C40" w:rsidRDefault="00624C40" w:rsidP="00062019">
      <w:r>
        <w:t xml:space="preserve">This report sets out the ACCC’s final determination in relation to NBN Co’s LTRCM and on NBN Co’s price compliance for the 2015-16 financial year. </w:t>
      </w:r>
      <w:r w:rsidR="00062019">
        <w:t xml:space="preserve">The ACCC’s </w:t>
      </w:r>
      <w:r w:rsidR="00A865E0">
        <w:t xml:space="preserve">final </w:t>
      </w:r>
      <w:r w:rsidR="00062019">
        <w:t>LTRCM determination is to accept without modification NBN Co’s proposed values (and the inputs to those values) for the ABBRR, RAB, and ICRA in accordance with clause 1E.1.2 of NBN Co’s SAU. The reasons for accepting the proposed</w:t>
      </w:r>
      <w:r w:rsidR="00A865E0">
        <w:t xml:space="preserve"> values are set out in section 3</w:t>
      </w:r>
      <w:r w:rsidR="00346B11">
        <w:t xml:space="preserve"> of this determination. </w:t>
      </w:r>
    </w:p>
    <w:p w:rsidR="00062019" w:rsidRDefault="00062019" w:rsidP="00062019">
      <w:r>
        <w:t>In making this determination, the ACCC has undertaken an assessment of the information provided by NBN Co to ensure that, firstly, NBN Co’s financial details are consistent with its statutory accounts and the formul</w:t>
      </w:r>
      <w:r w:rsidR="00624C40">
        <w:t xml:space="preserve">as </w:t>
      </w:r>
      <w:r w:rsidR="00153F83">
        <w:t>contained i</w:t>
      </w:r>
      <w:r w:rsidR="00624C40">
        <w:t xml:space="preserve">n the SAU. </w:t>
      </w:r>
      <w:r>
        <w:t xml:space="preserve">Secondly, the ACCC has engaged with NBN Co in relation to its procedures and processes to ensure that its expenditure is in accordance with the prudency criteria in the SAU. </w:t>
      </w:r>
    </w:p>
    <w:p w:rsidR="00624C40" w:rsidRDefault="00624C40" w:rsidP="00624C40">
      <w:r>
        <w:t>In relation to price compliance, the ACCC’s final decision is that it is satisfied that NBN Co’s prices for 2015-16 did not exceed the maximum regulated prices applicable at the relevant point in time in accordance with Schedule 1C of the SAU.</w:t>
      </w:r>
    </w:p>
    <w:p w:rsidR="00062019" w:rsidRDefault="00062019" w:rsidP="00B5183F"/>
    <w:p w:rsidR="00062019" w:rsidRDefault="00062019" w:rsidP="00B5183F"/>
    <w:p w:rsidR="00062019" w:rsidRDefault="00062019" w:rsidP="00B5183F"/>
    <w:p w:rsidR="00303C4A" w:rsidRDefault="00303C4A"/>
    <w:p w:rsidR="00325BBB" w:rsidRDefault="00325BBB"/>
    <w:p w:rsidR="00325BBB" w:rsidRDefault="00325BBB"/>
    <w:p w:rsidR="00325BBB" w:rsidRDefault="00325BBB" w:rsidP="00325BBB">
      <w:pPr>
        <w:pStyle w:val="HeadingLevel1"/>
      </w:pPr>
      <w:bookmarkStart w:id="4" w:name="_Toc483563140"/>
      <w:bookmarkStart w:id="5" w:name="_Toc479848538"/>
      <w:r>
        <w:lastRenderedPageBreak/>
        <w:t>Introduction</w:t>
      </w:r>
      <w:bookmarkEnd w:id="4"/>
    </w:p>
    <w:p w:rsidR="00300C76" w:rsidRDefault="00300C76" w:rsidP="00300C76">
      <w:r>
        <w:t>On 13 December 2013, the ACCC accepted a Special Access Undertaking (SAU) from NBN Co. The SAU is a long term undertaking that establishes the regulatory framework for the National Broadband Network (NBN)</w:t>
      </w:r>
      <w:r w:rsidR="00D72D22">
        <w:t xml:space="preserve"> and specifies the price and non-price terms and conditions relating to access to NBN Co’s services. </w:t>
      </w:r>
    </w:p>
    <w:p w:rsidR="00300C76" w:rsidRDefault="00360F26" w:rsidP="00300C76">
      <w:r>
        <w:t xml:space="preserve">Under schedule 1F of the SAU, </w:t>
      </w:r>
      <w:r w:rsidR="00300C76">
        <w:t>NBN Co</w:t>
      </w:r>
      <w:r w:rsidR="00FF4090">
        <w:t xml:space="preserve"> </w:t>
      </w:r>
      <w:r w:rsidR="00A21D1D">
        <w:t>i</w:t>
      </w:r>
      <w:r w:rsidR="00FF4090">
        <w:t>s required</w:t>
      </w:r>
      <w:r w:rsidR="00300C76">
        <w:t xml:space="preserve"> to submit certain regulatory information to the ACCC for each financial year, including financial information required to determine the revenues NBN Co is allowed to earn (its long term revenue constraint).</w:t>
      </w:r>
      <w:r w:rsidR="001A131D">
        <w:rPr>
          <w:rStyle w:val="FootnoteReference"/>
        </w:rPr>
        <w:footnoteReference w:id="1"/>
      </w:r>
      <w:r w:rsidR="001A131D">
        <w:t xml:space="preserve"> </w:t>
      </w:r>
      <w:r w:rsidR="001A131D" w:rsidRPr="001A131D">
        <w:t xml:space="preserve"> </w:t>
      </w:r>
      <w:r w:rsidR="00300C76">
        <w:t>NBN Co is also required to certify that its prices have not exceeded the maximum regulated prices set by the SAU.</w:t>
      </w:r>
      <w:r w:rsidR="001A131D">
        <w:rPr>
          <w:rStyle w:val="FootnoteReference"/>
        </w:rPr>
        <w:footnoteReference w:id="2"/>
      </w:r>
      <w:r w:rsidR="00300C76">
        <w:t xml:space="preserve"> Following NBN Co’s submission, the ACCC must make a Long Term Revenue Constraint Methodology (LTRCM) determination within 12 months after the end of each financial year.</w:t>
      </w:r>
      <w:r w:rsidR="001A131D">
        <w:rPr>
          <w:rStyle w:val="FootnoteReference"/>
        </w:rPr>
        <w:footnoteReference w:id="3"/>
      </w:r>
      <w:r w:rsidR="00300C76">
        <w:t xml:space="preserve"> </w:t>
      </w:r>
    </w:p>
    <w:p w:rsidR="00BB2E79" w:rsidRDefault="00BB2E79" w:rsidP="00BB2E79">
      <w:r>
        <w:t>This</w:t>
      </w:r>
      <w:r w:rsidRPr="003C0383">
        <w:t xml:space="preserve"> is the third LTRCM determination process for the ACCC. </w:t>
      </w:r>
      <w:r>
        <w:t>On both previous occasions, the ACCC accepted NBN Co’s LTRCM proposal without modification. The 2013-14 LTRCM determination applied to all years from 2007-08 to 2013-14. The 2014-15 LTRCM determination included an amendment to the 2013-14 determination to address an inadvertent error by NBN Co in its regulatory information.</w:t>
      </w:r>
      <w:r w:rsidR="000310B3">
        <w:t xml:space="preserve"> </w:t>
      </w:r>
    </w:p>
    <w:p w:rsidR="00BE761F" w:rsidRDefault="00BE761F" w:rsidP="00BE761F">
      <w:pPr>
        <w:pStyle w:val="HeadingLevel2"/>
        <w:numPr>
          <w:ilvl w:val="1"/>
          <w:numId w:val="41"/>
        </w:numPr>
      </w:pPr>
      <w:bookmarkStart w:id="6" w:name="_Toc483563141"/>
      <w:r>
        <w:t>Background</w:t>
      </w:r>
      <w:bookmarkEnd w:id="6"/>
    </w:p>
    <w:p w:rsidR="00300C76" w:rsidRDefault="00300C76" w:rsidP="00BE761F">
      <w:pPr>
        <w:pStyle w:val="HeadingLevel5"/>
      </w:pPr>
      <w:r>
        <w:t>LTRCM determination</w:t>
      </w:r>
    </w:p>
    <w:p w:rsidR="00BB2E79" w:rsidRDefault="00BB2E79" w:rsidP="00BB2E79">
      <w:r>
        <w:t>The LTRCM is a methodology for determining the amount of revenue NBN Co is allowed to earn via its prices over the SAU term. The purpose of the LTRCM is to provide NBN Co with the opportunity to recover its prudent and efficient costs of supply (including an appropriate return on investment). The LTRCM works with other parts of the SAU to provide incentives to NBN Co to operate and invest prudently and efficiently.</w:t>
      </w:r>
    </w:p>
    <w:p w:rsidR="00300C76" w:rsidRDefault="00842B5C" w:rsidP="00300C76">
      <w:r>
        <w:t>The LTRCM determination is</w:t>
      </w:r>
      <w:r w:rsidR="00300C76">
        <w:t xml:space="preserve"> prepared on an </w:t>
      </w:r>
      <w:r w:rsidR="00300C76" w:rsidRPr="00CD4EFF">
        <w:rPr>
          <w:i/>
        </w:rPr>
        <w:t>ex-post</w:t>
      </w:r>
      <w:r w:rsidR="00300C76">
        <w:t xml:space="preserve"> basis </w:t>
      </w:r>
      <w:r w:rsidR="00806013">
        <w:t xml:space="preserve">until 2023 </w:t>
      </w:r>
      <w:r w:rsidR="00300C76">
        <w:t xml:space="preserve">(the Initial Regulatory Period). In subsequent regulatory periods, NBN Co will be subjected to the standard building block approach where the ACCC undertakes an </w:t>
      </w:r>
      <w:r w:rsidR="00300C76" w:rsidRPr="00CD4EFF">
        <w:rPr>
          <w:i/>
        </w:rPr>
        <w:t>ex-ante</w:t>
      </w:r>
      <w:r w:rsidR="00300C76">
        <w:t xml:space="preserve"> assessment of NBN Co’s proposed expenditures and their prudency.  </w:t>
      </w:r>
    </w:p>
    <w:p w:rsidR="00300C76" w:rsidRDefault="00300C76" w:rsidP="00300C76">
      <w:pPr>
        <w:spacing w:after="120"/>
      </w:pPr>
      <w:r>
        <w:t>In making an LTRCM Determination, the ACCC must determine the following values (and the inputs to those values):</w:t>
      </w:r>
      <w:r w:rsidR="00D84DBB">
        <w:t xml:space="preserve">                                                                                                                          </w:t>
      </w:r>
    </w:p>
    <w:p w:rsidR="00300C76" w:rsidRPr="00EE1F1F" w:rsidRDefault="00300C76" w:rsidP="00300C76">
      <w:pPr>
        <w:pStyle w:val="Bulletb"/>
      </w:pPr>
      <w:r w:rsidRPr="00EE1F1F">
        <w:t>Annual Building Block Revenue Requirement (ABBRR)—this is the amount of revenue NBN Co is allowed to earn in each financial year</w:t>
      </w:r>
    </w:p>
    <w:p w:rsidR="00300C76" w:rsidRPr="00EE1F1F" w:rsidRDefault="00300C76" w:rsidP="00300C76">
      <w:pPr>
        <w:pStyle w:val="Bulletb"/>
      </w:pPr>
      <w:r w:rsidRPr="00EE1F1F">
        <w:t>Regulatory Asset Base (RAB)—this is the net value of NBN Co’s regulated assets</w:t>
      </w:r>
    </w:p>
    <w:p w:rsidR="00300C76" w:rsidRPr="00EE1F1F" w:rsidRDefault="00300C76" w:rsidP="00300C76">
      <w:pPr>
        <w:pStyle w:val="Bulletb"/>
      </w:pPr>
      <w:r w:rsidRPr="00EE1F1F">
        <w:t>Initial Cost Recovery Account (ICRA)—this is an account for accumulating (and rolling forward) NBN Co’s initial unrecovered costs.</w:t>
      </w:r>
    </w:p>
    <w:p w:rsidR="00300C76" w:rsidRDefault="00300C76" w:rsidP="00300C76">
      <w:pPr>
        <w:spacing w:before="240"/>
      </w:pPr>
      <w:r>
        <w:t>The LTRCM sets out a mechanism for determining NBN Co’s RAB and ABBRR based on a range of financial inputs that must be submitted by NBN Co. The ABBRR is in turn used, together with NBN Co’s actual revenue (as defined in the SAU), to calculate the extent of unrecovered costs in each year, the cumulative value of which is captured in the ICRA. Once NBN Co begins to earn sufficient revenue each year to meet its annual revenue requirement, the SAU</w:t>
      </w:r>
      <w:r w:rsidR="00D217A2">
        <w:t xml:space="preserve"> allows</w:t>
      </w:r>
      <w:r>
        <w:t xml:space="preserve"> NBN Co to recover more </w:t>
      </w:r>
      <w:r>
        <w:lastRenderedPageBreak/>
        <w:t>than its annual revenue requirement until the ICRA reaches zero (subject to the price controls set out in the SAU).</w:t>
      </w:r>
      <w:r w:rsidR="001A131D">
        <w:rPr>
          <w:rStyle w:val="FootnoteReference"/>
        </w:rPr>
        <w:footnoteReference w:id="4"/>
      </w:r>
    </w:p>
    <w:p w:rsidR="00300C76" w:rsidRDefault="00300C76" w:rsidP="00BE761F">
      <w:pPr>
        <w:pStyle w:val="HeadingLevel5"/>
      </w:pPr>
      <w:r>
        <w:t>The ACCC’s role in the LTRCM process</w:t>
      </w:r>
    </w:p>
    <w:p w:rsidR="001A131D" w:rsidRDefault="001A131D" w:rsidP="001A131D">
      <w:r>
        <w:t xml:space="preserve">During the Initial Regulatory Period of the SAU, the ACCC’s role in making an LTRCM determination is to determine whether capital expenditure and operating expenditure meet the relevant requirements in the SAU for inclusion in the RAB and ABBRR, respectively. </w:t>
      </w:r>
      <w:r w:rsidR="00CA0880">
        <w:t>T</w:t>
      </w:r>
      <w:r>
        <w:t>he ACCC can determine substitute values in its LTRCM determination</w:t>
      </w:r>
      <w:r w:rsidR="00CA0880">
        <w:t xml:space="preserve"> if the ACCC is not satisfied that NBN Co’s expenditure meets those requirements</w:t>
      </w:r>
      <w:r>
        <w:t>.</w:t>
      </w:r>
    </w:p>
    <w:p w:rsidR="001A131D" w:rsidRDefault="001A131D" w:rsidP="001A131D">
      <w:pPr>
        <w:spacing w:after="120"/>
      </w:pPr>
      <w:r>
        <w:t>In making the LTRCM determination, capital expenditure may only be included in the RAB to the extent that the ACCC is satisfied that:</w:t>
      </w:r>
    </w:p>
    <w:p w:rsidR="001A131D" w:rsidRDefault="001A131D" w:rsidP="001A131D">
      <w:pPr>
        <w:pStyle w:val="Bulletb"/>
      </w:pPr>
      <w:r>
        <w:t>it meets the Prudent Cost Condition</w:t>
      </w:r>
      <w:r>
        <w:rPr>
          <w:rStyle w:val="FootnoteReference"/>
        </w:rPr>
        <w:footnoteReference w:id="5"/>
      </w:r>
      <w:r>
        <w:t xml:space="preserve"> – broadly speaking, capital expenditure meets the Prudent Cost Condition if it was incurred in connection with the design, engineering and construction of the relevant assets under a ‘conforming contract’</w:t>
      </w:r>
      <w:r>
        <w:rPr>
          <w:rStyle w:val="FootnoteReference"/>
        </w:rPr>
        <w:footnoteReference w:id="6"/>
      </w:r>
      <w:r>
        <w:t xml:space="preserve"> (that is, generally, in accordance with the procurement rules); or in an open and competitive market; or through another ‘value for money’ process. The SAU requires NBN Co to develop procurement rules that establish procurement processes that seek to generate an efficient and competitive outcome and reflect good industry practice; and</w:t>
      </w:r>
    </w:p>
    <w:p w:rsidR="001A131D" w:rsidRDefault="001A131D" w:rsidP="001A131D">
      <w:pPr>
        <w:pStyle w:val="Bulletb"/>
      </w:pPr>
      <w:r>
        <w:t>it meets the Prudent Design Condition</w:t>
      </w:r>
      <w:r>
        <w:rPr>
          <w:rStyle w:val="FootnoteReference"/>
        </w:rPr>
        <w:footnoteReference w:id="7"/>
      </w:r>
      <w:r>
        <w:t xml:space="preserve"> – capital expenditure meets the Prudent Design Condition if it is ‘materially consistent’ with the Network Design Rules</w:t>
      </w:r>
      <w:r>
        <w:rPr>
          <w:rStyle w:val="FootnoteReference"/>
        </w:rPr>
        <w:footnoteReference w:id="8"/>
      </w:r>
      <w:r>
        <w:t xml:space="preserve"> or a permitted variation, endorsed network change or ACCC approved network change to the Network Design Rules,</w:t>
      </w:r>
      <w:r>
        <w:rPr>
          <w:rStyle w:val="FootnoteReference"/>
        </w:rPr>
        <w:footnoteReference w:id="9"/>
      </w:r>
      <w:r>
        <w:t xml:space="preserve"> or</w:t>
      </w:r>
    </w:p>
    <w:p w:rsidR="001A131D" w:rsidRDefault="001A131D" w:rsidP="001A131D">
      <w:pPr>
        <w:pStyle w:val="Bulletb"/>
      </w:pPr>
      <w:r>
        <w:t>capital expenditure was incurred in connection with the specific matters listed in clause 1D.3.2(a)(ii) of the SAU – that is, capital expenditure is considered to be prudent under the SAU if it relates to: the Telstra or Optus arrangements, interim satellite or transit arrangements, Tasmania tri-area service arrangements, trial sites, or third party funded network changes; or was incurred prior to the approval of the SAU on 13 December 2013.</w:t>
      </w:r>
      <w:r>
        <w:rPr>
          <w:rStyle w:val="FootnoteReference"/>
        </w:rPr>
        <w:footnoteReference w:id="10"/>
      </w:r>
    </w:p>
    <w:p w:rsidR="001A131D" w:rsidRDefault="001A131D" w:rsidP="001A131D">
      <w:pPr>
        <w:spacing w:after="120"/>
      </w:pPr>
      <w:r>
        <w:t>Operating expenditure may only be included in the ABBRR to the extent that the ACCC is satisfied that:</w:t>
      </w:r>
    </w:p>
    <w:p w:rsidR="001A131D" w:rsidRDefault="001A131D" w:rsidP="001A131D">
      <w:pPr>
        <w:pStyle w:val="Bulletb"/>
      </w:pPr>
      <w:r>
        <w:t>it was incurred in accordance with NBN Co’s procurement processes (including in accordance with the procurement rules), was incurred pursuant to a ‘conforming contract’, was procured in an open and competitive market, or was procured in a manner that is likely to achieve value for money,</w:t>
      </w:r>
      <w:r>
        <w:rPr>
          <w:rStyle w:val="FootnoteReference"/>
        </w:rPr>
        <w:footnoteReference w:id="11"/>
      </w:r>
      <w:r>
        <w:t xml:space="preserve"> or</w:t>
      </w:r>
    </w:p>
    <w:p w:rsidR="001A131D" w:rsidRDefault="001A131D" w:rsidP="001A131D">
      <w:pPr>
        <w:pStyle w:val="Bulletb"/>
      </w:pPr>
      <w:r>
        <w:t>it was incurred in connection with the specific matters specified in clause 1E.8.2(a)(ii) of the SAU – that is, operating expenditure is considered to be prudent under the SAU if it relates to: the Telstra or Optus arrangements, interim satellite or transit arrangements, Tasmania tri-area service arrangements, trial sites, or third party funded network changes; or was incurred prior to the approval of the SAU on 13 December 2013; or it was required to address an urgent network issue or a force majeure event.</w:t>
      </w:r>
    </w:p>
    <w:p w:rsidR="00766980" w:rsidRDefault="001A131D" w:rsidP="001A131D">
      <w:r>
        <w:t xml:space="preserve">The ACCC’s role is to assess whether NBN Co has incurred its expenditure in accordance with these criteria, and that the relevant LTRCM components have been calculated in accordance with the </w:t>
      </w:r>
      <w:r>
        <w:lastRenderedPageBreak/>
        <w:t>formulas set out in the SAU</w:t>
      </w:r>
      <w:r w:rsidR="003A0DA2">
        <w:t xml:space="preserve">. The ACCC’s role is also </w:t>
      </w:r>
      <w:r>
        <w:t xml:space="preserve">to determine whether those expenditures (as set out in NBN Co’s LTRCM proposal) should be included in the LTRCM determination. </w:t>
      </w:r>
    </w:p>
    <w:p w:rsidR="001A131D" w:rsidRDefault="001A131D" w:rsidP="001A131D">
      <w:r>
        <w:t>The ACCC may determine LTRCM values that are different from the values submitted by NBN Co, provided those values are determined in accordance with Schedule 1D and Schedule 1E of the SAU.</w:t>
      </w:r>
      <w:r w:rsidRPr="009625CC">
        <w:rPr>
          <w:vertAlign w:val="superscript"/>
        </w:rPr>
        <w:footnoteReference w:id="12"/>
      </w:r>
      <w:r>
        <w:t xml:space="preserve"> The SAU includes provisions which set out the factors to consider when determining a substitute amount of capital or operating expenditure.</w:t>
      </w:r>
      <w:r w:rsidR="00A52D14">
        <w:rPr>
          <w:rStyle w:val="FootnoteReference"/>
        </w:rPr>
        <w:footnoteReference w:id="13"/>
      </w:r>
    </w:p>
    <w:p w:rsidR="00300C76" w:rsidRDefault="00300C76" w:rsidP="00BE761F">
      <w:pPr>
        <w:pStyle w:val="HeadingLevel5"/>
        <w:numPr>
          <w:ilvl w:val="0"/>
          <w:numId w:val="0"/>
        </w:numPr>
      </w:pPr>
      <w:r>
        <w:t xml:space="preserve">Price compliance and reporting </w:t>
      </w:r>
    </w:p>
    <w:p w:rsidR="00300C76" w:rsidRPr="00877B69" w:rsidRDefault="0020027D" w:rsidP="00300C76">
      <w:r>
        <w:t>The SAU</w:t>
      </w:r>
      <w:r w:rsidR="00300C76">
        <w:t xml:space="preserve"> set</w:t>
      </w:r>
      <w:r>
        <w:t xml:space="preserve">s binding price caps which provide </w:t>
      </w:r>
      <w:r w:rsidR="00300C76">
        <w:t>long term pricing commitments to NBN Co’s customers. The price controls act in conjunction with the LTRCM to provide incentives to ensure access seekers are not subject to unreasonable prices and to</w:t>
      </w:r>
      <w:r w:rsidR="00766980">
        <w:t xml:space="preserve"> provide incentives</w:t>
      </w:r>
      <w:r w:rsidR="00300C76">
        <w:t xml:space="preserve"> </w:t>
      </w:r>
      <w:r w:rsidR="00766980">
        <w:t xml:space="preserve">for </w:t>
      </w:r>
      <w:r w:rsidR="00300C76">
        <w:t>NBN Co to incur efficient expenditure. There are a number of pricing provisions in the SAU, the most important being an annual price increase limit of the Consumer Price Index (CPI) less 1.5 per cent.</w:t>
      </w:r>
      <w:r w:rsidR="00A52D14">
        <w:rPr>
          <w:rStyle w:val="FootnoteReference"/>
        </w:rPr>
        <w:footnoteReference w:id="14"/>
      </w:r>
    </w:p>
    <w:p w:rsidR="00416AA4" w:rsidRDefault="00285D93" w:rsidP="00300C76">
      <w:r>
        <w:t>Clause 1F.3 of the SAU requires that b</w:t>
      </w:r>
      <w:r w:rsidR="00300C76" w:rsidRPr="00877B69">
        <w:t xml:space="preserve">y 31 October </w:t>
      </w:r>
      <w:r w:rsidR="00300C76">
        <w:t xml:space="preserve">each year, NBN Co must submit a price compliance report to the ACCC. The price compliance report includes certification from NBN Co’s Chief Financial Officer (CFO) that the prices charged during the </w:t>
      </w:r>
      <w:r w:rsidR="00753B71">
        <w:t>preceding</w:t>
      </w:r>
      <w:r w:rsidR="00300C76">
        <w:t xml:space="preserve"> financial year did not exceed the maximum regulated prices set by the SAU. </w:t>
      </w:r>
    </w:p>
    <w:p w:rsidR="00300C76" w:rsidRDefault="00300C76" w:rsidP="00300C76">
      <w:r>
        <w:t>The ACCC may also request information, at any time, from NBN Co that is reasonably necessary for the ACCC to determine NBN Co’s compliance with Schedule 1C of the SAU.</w:t>
      </w:r>
    </w:p>
    <w:p w:rsidR="00300C76" w:rsidRDefault="00300C76" w:rsidP="00BE761F">
      <w:pPr>
        <w:pStyle w:val="HeadingLevel2"/>
      </w:pPr>
      <w:bookmarkStart w:id="7" w:name="_Toc483563142"/>
      <w:r>
        <w:t>Consultation process</w:t>
      </w:r>
      <w:bookmarkEnd w:id="7"/>
    </w:p>
    <w:p w:rsidR="00300C76" w:rsidRDefault="00300C76" w:rsidP="00422C53">
      <w:r>
        <w:t>In accordance with the SAU, the ACCC has invited submissions from NBN Co and other interested parties in making this LTRCM determination.</w:t>
      </w:r>
    </w:p>
    <w:p w:rsidR="00300C76" w:rsidRDefault="00300C76" w:rsidP="00300C76">
      <w:pPr>
        <w:rPr>
          <w:rStyle w:val="Hyperlink"/>
          <w:sz w:val="20"/>
        </w:rPr>
      </w:pPr>
      <w:r>
        <w:t xml:space="preserve">On 22 December 2016, the ACCC provided its preliminary view to NBN Co that it did not intend to determine a substitute amount of capital expenditure in accordance with clause 1D.3.2(d) or a substitute amount of operating expenditure in accordance with clause 1E.8.2(c) of the SAU. The ACCC’s preliminary view is available on the </w:t>
      </w:r>
      <w:r w:rsidR="00C92B17" w:rsidRPr="00D97A11">
        <w:t xml:space="preserve">ACCC website.  </w:t>
      </w:r>
    </w:p>
    <w:p w:rsidR="00422C53" w:rsidRDefault="00422C53" w:rsidP="00422C53">
      <w:r>
        <w:t xml:space="preserve">This year, the ACCC has undertaken a number of additional steps to </w:t>
      </w:r>
      <w:r w:rsidR="00BC71DC">
        <w:t xml:space="preserve">complement its existing assessment process </w:t>
      </w:r>
      <w:r>
        <w:t xml:space="preserve">for making an LTRCM Determination. </w:t>
      </w:r>
      <w:r w:rsidR="0060680A">
        <w:t xml:space="preserve">Prior to publishing its draft determination, the ACCC requested </w:t>
      </w:r>
      <w:r>
        <w:t xml:space="preserve">further information </w:t>
      </w:r>
      <w:r w:rsidR="00C92B17">
        <w:t xml:space="preserve">from </w:t>
      </w:r>
      <w:r>
        <w:t xml:space="preserve">NBN Co in respect of its procurement process to gain a direct understanding as to how NBN Co is meeting the prudency </w:t>
      </w:r>
      <w:r w:rsidR="00BC71DC">
        <w:t xml:space="preserve">conditions set out in the SAU. </w:t>
      </w:r>
      <w:r w:rsidR="0060680A">
        <w:t>The ACCC considered that this additional information would provide the ACCC with visibility about some of NBN Co</w:t>
      </w:r>
      <w:r w:rsidR="0085721D">
        <w:t>’s</w:t>
      </w:r>
      <w:r w:rsidR="0060680A">
        <w:t xml:space="preserve"> processes and how they operate in practice.</w:t>
      </w:r>
    </w:p>
    <w:p w:rsidR="00974DF4" w:rsidRDefault="00300C76" w:rsidP="00300C76">
      <w:r>
        <w:t>On</w:t>
      </w:r>
      <w:r w:rsidR="00943AF9">
        <w:t xml:space="preserve"> </w:t>
      </w:r>
      <w:r>
        <w:t>28 April 2017, the ACCC published a draft LTRCM determination for 2015-16 and the reasons for the draft determinat</w:t>
      </w:r>
      <w:r w:rsidR="007C7ADE">
        <w:t xml:space="preserve">ion. The ACCC’s draft determination is available on the </w:t>
      </w:r>
      <w:r w:rsidR="00507490">
        <w:t xml:space="preserve">ACCC website. </w:t>
      </w:r>
      <w:r w:rsidR="007C7ADE">
        <w:t>The ACCC allowed a four week consultation period</w:t>
      </w:r>
      <w:r w:rsidR="00BF2E57">
        <w:t xml:space="preserve"> which closed on 26 May 2017.</w:t>
      </w:r>
      <w:r w:rsidR="00416AA4">
        <w:t xml:space="preserve"> </w:t>
      </w:r>
      <w:r w:rsidRPr="00003900">
        <w:t>The ACCC did not receive any written submissions during this time.</w:t>
      </w:r>
      <w:r>
        <w:t xml:space="preserve"> </w:t>
      </w:r>
    </w:p>
    <w:p w:rsidR="00300C76" w:rsidRDefault="00300C76" w:rsidP="00BE761F">
      <w:pPr>
        <w:pStyle w:val="HeadingLevel2"/>
      </w:pPr>
      <w:bookmarkStart w:id="8" w:name="_Toc483563143"/>
      <w:r>
        <w:t>Structure of the report</w:t>
      </w:r>
      <w:bookmarkEnd w:id="8"/>
    </w:p>
    <w:p w:rsidR="00300C76" w:rsidRPr="00EA51E4" w:rsidRDefault="00300C76" w:rsidP="00300C76">
      <w:pPr>
        <w:spacing w:after="120"/>
      </w:pPr>
      <w:r w:rsidRPr="00EA51E4">
        <w:t xml:space="preserve">This report sets out the ACCC’s final LTRCM determination and its view on NBN Co’s price compliance for the </w:t>
      </w:r>
      <w:r w:rsidR="00943AF9">
        <w:t xml:space="preserve">2015-16 </w:t>
      </w:r>
      <w:r w:rsidRPr="00EA51E4">
        <w:t>financial year. Th</w:t>
      </w:r>
      <w:r w:rsidR="00D72D22">
        <w:t xml:space="preserve">is final </w:t>
      </w:r>
      <w:r w:rsidR="00416AA4">
        <w:t>r</w:t>
      </w:r>
      <w:r w:rsidRPr="00EA51E4">
        <w:t>eport</w:t>
      </w:r>
      <w:r w:rsidR="00416AA4">
        <w:t>:</w:t>
      </w:r>
      <w:r w:rsidRPr="00EA51E4">
        <w:t xml:space="preserve"> </w:t>
      </w:r>
    </w:p>
    <w:p w:rsidR="00300C76" w:rsidRPr="00EA51E4" w:rsidRDefault="00300C76" w:rsidP="00300C76">
      <w:pPr>
        <w:pStyle w:val="Bulletb"/>
      </w:pPr>
      <w:r w:rsidRPr="00EA51E4">
        <w:lastRenderedPageBreak/>
        <w:t>provides an overview of the regulatory information submitted by NBN Co</w:t>
      </w:r>
      <w:r w:rsidR="00D217A2">
        <w:t xml:space="preserve"> (section 2)</w:t>
      </w:r>
    </w:p>
    <w:p w:rsidR="00300C76" w:rsidRPr="00EA51E4" w:rsidRDefault="00300C76" w:rsidP="00300C76">
      <w:pPr>
        <w:pStyle w:val="Bulletb"/>
      </w:pPr>
      <w:r w:rsidRPr="00EA51E4">
        <w:t xml:space="preserve">summarises the ACCC’s </w:t>
      </w:r>
      <w:r>
        <w:t>assessment of NBN Co’s LTRCM proposal</w:t>
      </w:r>
      <w:r w:rsidR="00D217A2" w:rsidRPr="00D217A2">
        <w:t xml:space="preserve"> </w:t>
      </w:r>
      <w:r w:rsidR="00D217A2">
        <w:t>(se</w:t>
      </w:r>
      <w:r w:rsidR="00D217A2" w:rsidRPr="00EA51E4">
        <w:t>ction 3</w:t>
      </w:r>
      <w:r w:rsidR="00D217A2">
        <w:t>)</w:t>
      </w:r>
      <w:r w:rsidR="00416AA4">
        <w:t xml:space="preserve"> and </w:t>
      </w:r>
    </w:p>
    <w:p w:rsidR="00300C76" w:rsidRPr="00EA51E4" w:rsidRDefault="00300C76" w:rsidP="00300C76">
      <w:pPr>
        <w:pStyle w:val="Bulletb"/>
      </w:pPr>
      <w:r w:rsidRPr="00EA51E4">
        <w:t>sets out the ACCC’s final LTRCM determination and decision on price compliance</w:t>
      </w:r>
      <w:r w:rsidR="00943AF9">
        <w:t xml:space="preserve"> for 2015-16 </w:t>
      </w:r>
      <w:r w:rsidR="00D217A2">
        <w:t>(s</w:t>
      </w:r>
      <w:r w:rsidR="00D217A2" w:rsidRPr="00EA51E4">
        <w:t xml:space="preserve">ection </w:t>
      </w:r>
      <w:r w:rsidR="00D217A2">
        <w:t xml:space="preserve">4). </w:t>
      </w:r>
    </w:p>
    <w:p w:rsidR="00325BBB" w:rsidRDefault="00325BBB" w:rsidP="00325BBB">
      <w:pPr>
        <w:pStyle w:val="HeadingLevel1"/>
      </w:pPr>
      <w:bookmarkStart w:id="9" w:name="_Toc483563144"/>
      <w:r>
        <w:lastRenderedPageBreak/>
        <w:t>NBN Co’s 2015-16 LTRCM proposal</w:t>
      </w:r>
      <w:bookmarkEnd w:id="9"/>
      <w:r>
        <w:t xml:space="preserve"> </w:t>
      </w:r>
    </w:p>
    <w:p w:rsidR="0006381E" w:rsidRPr="0006381E" w:rsidRDefault="0006381E" w:rsidP="00BE761F">
      <w:pPr>
        <w:pStyle w:val="HeadingLevel2"/>
        <w:numPr>
          <w:ilvl w:val="1"/>
          <w:numId w:val="31"/>
        </w:numPr>
      </w:pPr>
      <w:bookmarkStart w:id="10" w:name="_Toc483563145"/>
      <w:r>
        <w:t>2015-16 LTRCM regulatory information</w:t>
      </w:r>
      <w:bookmarkEnd w:id="10"/>
      <w:r>
        <w:t xml:space="preserve"> </w:t>
      </w:r>
    </w:p>
    <w:p w:rsidR="0006381E" w:rsidRDefault="0020027D" w:rsidP="0006381E">
      <w:r w:rsidRPr="0020027D">
        <w:t>On 31 October 2016</w:t>
      </w:r>
      <w:r w:rsidR="0006381E">
        <w:t xml:space="preserve">, NBN Co submitted an LTRCM proposal to the ACCC as required under Schedule 1F of the SAU. NBN Co’s LTRCM proposal consists of the following materials: </w:t>
      </w:r>
    </w:p>
    <w:p w:rsidR="0006381E" w:rsidRDefault="0006381E" w:rsidP="0006381E">
      <w:pPr>
        <w:pStyle w:val="Bulletb"/>
      </w:pPr>
      <w:r>
        <w:t>NBN Co’s actual financial information – this information is based on NBN Co’s reported statutory accounts which are consistent with the definitions in the SAU</w:t>
      </w:r>
    </w:p>
    <w:p w:rsidR="0006381E" w:rsidRDefault="0006381E" w:rsidP="0006381E">
      <w:pPr>
        <w:pStyle w:val="Bulletb"/>
      </w:pPr>
      <w:r>
        <w:t>NBN Co’s proposed financial information – this is NBN Co’s proposed values (and inputs to those values) for the ABBRR, RAB, ICRA and certain other inputs to the LTRCM</w:t>
      </w:r>
    </w:p>
    <w:p w:rsidR="0006381E" w:rsidRDefault="0006381E" w:rsidP="0006381E">
      <w:pPr>
        <w:pStyle w:val="Bulletb"/>
      </w:pPr>
      <w:r>
        <w:t>an expenditure compliance report – a report signed by NBN Co’s CFO certifying that NBN Co’s expenditure complies with the requirements of the SAU</w:t>
      </w:r>
    </w:p>
    <w:p w:rsidR="0006381E" w:rsidRDefault="0006381E" w:rsidP="0006381E">
      <w:pPr>
        <w:pStyle w:val="Bulletb"/>
      </w:pPr>
      <w:r>
        <w:t>a procurement compliance report – a report signed by NBN Co’s Chief Procurement Officer (CPO) certifying that NBN Co’s procurement rules comply with the requirements of the SAU, and</w:t>
      </w:r>
    </w:p>
    <w:p w:rsidR="0006381E" w:rsidRDefault="0006381E" w:rsidP="0006381E">
      <w:pPr>
        <w:pStyle w:val="Bulletb"/>
      </w:pPr>
      <w:r>
        <w:t>a price compliance report – a report signed by NBN Co’s CFO certifying that NBN Co’s prices for the supply of its services comply with the requirements of the SAU.</w:t>
      </w:r>
    </w:p>
    <w:p w:rsidR="0006381E" w:rsidRDefault="0006381E" w:rsidP="0006381E">
      <w:r>
        <w:t xml:space="preserve">NBN Co also lodged three independent assurance reports from </w:t>
      </w:r>
      <w:r w:rsidRPr="007D75D7">
        <w:t>PricewaterhouseCoopers (PwC)</w:t>
      </w:r>
      <w:r>
        <w:t>, a price compliance spreadsheet, an LTRCM spreadsheet and a copy</w:t>
      </w:r>
      <w:r w:rsidR="0020027D">
        <w:t xml:space="preserve"> of NBN Co’s Chart of Accounts. Public version of these documents can be found on the </w:t>
      </w:r>
      <w:r w:rsidR="00BF2E57" w:rsidRPr="00D97A11">
        <w:t xml:space="preserve">ACCC website.  </w:t>
      </w:r>
    </w:p>
    <w:p w:rsidR="0006381E" w:rsidRDefault="0006381E" w:rsidP="00BE761F">
      <w:pPr>
        <w:pStyle w:val="HeadingLevel3"/>
      </w:pPr>
      <w:r>
        <w:t xml:space="preserve">Financial information </w:t>
      </w:r>
    </w:p>
    <w:p w:rsidR="0006381E" w:rsidRDefault="0006381E" w:rsidP="0006381E">
      <w:pPr>
        <w:spacing w:after="120"/>
      </w:pPr>
      <w:r>
        <w:t xml:space="preserve">The financial information provided by NBN Co on </w:t>
      </w:r>
      <w:r w:rsidR="0020027D" w:rsidRPr="0020027D">
        <w:t xml:space="preserve">31 October 2016 </w:t>
      </w:r>
      <w:r>
        <w:t xml:space="preserve">includes the financial statements listed below.  </w:t>
      </w:r>
    </w:p>
    <w:p w:rsidR="0006381E" w:rsidRPr="00B75B4D" w:rsidRDefault="0006381E" w:rsidP="0006381E">
      <w:pPr>
        <w:numPr>
          <w:ilvl w:val="1"/>
          <w:numId w:val="29"/>
        </w:numPr>
        <w:spacing w:before="120" w:after="120"/>
      </w:pPr>
      <w:r w:rsidRPr="00B75B4D">
        <w:t>Schedule 6 – Statement of Capital Expenditure, Disposals, Construction in Progress, Asset Lifetimes and Taxation Asset Lifetimes</w:t>
      </w:r>
    </w:p>
    <w:p w:rsidR="0006381E" w:rsidRPr="00B75B4D" w:rsidRDefault="0006381E" w:rsidP="0006381E">
      <w:pPr>
        <w:numPr>
          <w:ilvl w:val="1"/>
          <w:numId w:val="29"/>
        </w:numPr>
        <w:spacing w:before="120" w:after="120"/>
      </w:pPr>
      <w:r w:rsidRPr="00B75B4D">
        <w:t>Schedule 7 – Statement of Operating Expenditure</w:t>
      </w:r>
    </w:p>
    <w:p w:rsidR="0006381E" w:rsidRPr="00B75B4D" w:rsidRDefault="0006381E" w:rsidP="0006381E">
      <w:pPr>
        <w:numPr>
          <w:ilvl w:val="1"/>
          <w:numId w:val="29"/>
        </w:numPr>
        <w:spacing w:before="120" w:after="120"/>
      </w:pPr>
      <w:r w:rsidRPr="00B75B4D">
        <w:t>Schedule 8 – Statement of Interest Expense</w:t>
      </w:r>
    </w:p>
    <w:p w:rsidR="0006381E" w:rsidRPr="00B75B4D" w:rsidRDefault="0006381E" w:rsidP="0006381E">
      <w:pPr>
        <w:numPr>
          <w:ilvl w:val="1"/>
          <w:numId w:val="29"/>
        </w:numPr>
        <w:spacing w:before="120" w:after="120"/>
      </w:pPr>
      <w:r w:rsidRPr="00B75B4D">
        <w:t>Schedule 9 – Statement of Revenue</w:t>
      </w:r>
    </w:p>
    <w:p w:rsidR="0006381E" w:rsidRPr="00B75B4D" w:rsidRDefault="0006381E" w:rsidP="0006381E">
      <w:pPr>
        <w:numPr>
          <w:ilvl w:val="1"/>
          <w:numId w:val="29"/>
        </w:numPr>
        <w:spacing w:before="120" w:after="120"/>
      </w:pPr>
      <w:r w:rsidRPr="00B75B4D">
        <w:t>Schedule 10 – Statement of LTRCM and RAB items, and</w:t>
      </w:r>
    </w:p>
    <w:p w:rsidR="0006381E" w:rsidRPr="00B75B4D" w:rsidRDefault="0006381E" w:rsidP="0006381E">
      <w:pPr>
        <w:numPr>
          <w:ilvl w:val="1"/>
          <w:numId w:val="29"/>
        </w:numPr>
        <w:spacing w:before="120" w:after="120"/>
      </w:pPr>
      <w:r>
        <w:t>Schedule</w:t>
      </w:r>
      <w:r w:rsidRPr="00B75B4D">
        <w:t xml:space="preserve"> 11 – Statement of Material Operating Expenditure, Capital Expenditure and Construction in Progress Variances.</w:t>
      </w:r>
    </w:p>
    <w:p w:rsidR="0006381E" w:rsidRPr="00B75B4D" w:rsidRDefault="0006381E" w:rsidP="0006381E">
      <w:pPr>
        <w:spacing w:before="240"/>
      </w:pPr>
      <w:r w:rsidRPr="00B75B4D">
        <w:t xml:space="preserve">This information was accompanied by an LTRCM spreadsheet, which provided the underlying calculations of NBN Co’s proposed RAB, ABBRR and ICRA values. </w:t>
      </w:r>
    </w:p>
    <w:p w:rsidR="00765E8C" w:rsidRDefault="00D2031C" w:rsidP="00765E8C">
      <w:r>
        <w:t>Table 2.1</w:t>
      </w:r>
      <w:r w:rsidRPr="001B6F03">
        <w:t xml:space="preserve"> summarises the key financial information </w:t>
      </w:r>
      <w:r>
        <w:t>submitted by NBN Co for the 2015-16</w:t>
      </w:r>
      <w:r w:rsidRPr="001B6F03">
        <w:t xml:space="preserve"> LTRCM Determination.</w:t>
      </w:r>
      <w:r>
        <w:t xml:space="preserve"> </w:t>
      </w:r>
      <w:r w:rsidR="00765E8C">
        <w:t xml:space="preserve">The corresponding values for the 2014-15 LTRCM Determination and percentage change are presented for comparison purposes. </w:t>
      </w:r>
    </w:p>
    <w:p w:rsidR="00D2031C" w:rsidRDefault="00D2031C" w:rsidP="00D2031C"/>
    <w:p w:rsidR="00D2031C" w:rsidRDefault="00D2031C" w:rsidP="00D2031C"/>
    <w:p w:rsidR="00D638E8" w:rsidRDefault="00D638E8" w:rsidP="00D2031C"/>
    <w:p w:rsidR="009911AC" w:rsidRPr="00B75B4D" w:rsidRDefault="009911AC" w:rsidP="009911AC">
      <w:pPr>
        <w:keepNext/>
        <w:rPr>
          <w:rFonts w:eastAsiaTheme="majorEastAsia" w:cstheme="majorBidi"/>
          <w:b/>
          <w:color w:val="002060"/>
          <w:szCs w:val="28"/>
        </w:rPr>
      </w:pPr>
      <w:r>
        <w:rPr>
          <w:rFonts w:eastAsiaTheme="majorEastAsia" w:cstheme="majorBidi"/>
          <w:b/>
          <w:color w:val="002060"/>
          <w:szCs w:val="28"/>
        </w:rPr>
        <w:lastRenderedPageBreak/>
        <w:t xml:space="preserve">Table 2.1 </w:t>
      </w:r>
      <w:r w:rsidR="00765E8C">
        <w:rPr>
          <w:rFonts w:eastAsiaTheme="majorEastAsia" w:cstheme="majorBidi"/>
          <w:b/>
          <w:color w:val="002060"/>
          <w:szCs w:val="28"/>
        </w:rPr>
        <w:tab/>
      </w:r>
      <w:r w:rsidRPr="00B75B4D">
        <w:rPr>
          <w:rFonts w:eastAsiaTheme="majorEastAsia" w:cstheme="majorBidi"/>
          <w:b/>
          <w:color w:val="002060"/>
          <w:szCs w:val="28"/>
        </w:rPr>
        <w:t>Summary of NBN Co financial information</w:t>
      </w:r>
      <w:r>
        <w:rPr>
          <w:rFonts w:eastAsiaTheme="majorEastAsia" w:cstheme="majorBidi"/>
          <w:b/>
          <w:color w:val="002060"/>
          <w:szCs w:val="28"/>
        </w:rPr>
        <w:t>, 2014-15 and 2015-16</w:t>
      </w:r>
      <w:r w:rsidRPr="00B75B4D">
        <w:rPr>
          <w:rFonts w:eastAsiaTheme="majorEastAsia" w:cstheme="majorBidi"/>
          <w:b/>
          <w:color w:val="002060"/>
          <w:szCs w:val="28"/>
        </w:rPr>
        <w:t xml:space="preserve"> (nominal</w:t>
      </w:r>
      <w:r>
        <w:rPr>
          <w:rFonts w:eastAsiaTheme="majorEastAsia" w:cstheme="majorBidi"/>
          <w:b/>
          <w:color w:val="002060"/>
          <w:szCs w:val="28"/>
        </w:rPr>
        <w:t>)</w:t>
      </w:r>
      <w:r w:rsidR="00765E8C">
        <w:rPr>
          <w:rFonts w:eastAsiaTheme="majorEastAsia" w:cstheme="majorBidi"/>
          <w:b/>
          <w:color w:val="002060"/>
          <w:szCs w:val="28"/>
        </w:rPr>
        <w:t>*</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43" w:type="dxa"/>
        </w:tblCellMar>
        <w:tblLook w:val="04A0" w:firstRow="1" w:lastRow="0" w:firstColumn="1" w:lastColumn="0" w:noHBand="0" w:noVBand="1"/>
      </w:tblPr>
      <w:tblGrid>
        <w:gridCol w:w="3843"/>
        <w:gridCol w:w="1701"/>
        <w:gridCol w:w="1701"/>
        <w:gridCol w:w="1417"/>
      </w:tblGrid>
      <w:tr w:rsidR="009911AC" w:rsidRPr="00B75B4D" w:rsidTr="00C92B17">
        <w:trPr>
          <w:trHeight w:val="315"/>
        </w:trPr>
        <w:tc>
          <w:tcPr>
            <w:tcW w:w="3843" w:type="dxa"/>
            <w:shd w:val="clear" w:color="000000" w:fill="BFBFBF" w:themeFill="background1" w:themeFillShade="BF"/>
            <w:noWrap/>
            <w:vAlign w:val="center"/>
            <w:hideMark/>
          </w:tcPr>
          <w:p w:rsidR="009911AC" w:rsidRPr="00FF122F" w:rsidRDefault="009911AC" w:rsidP="00C92B17">
            <w:pPr>
              <w:keepNext/>
              <w:spacing w:after="0"/>
              <w:rPr>
                <w:rFonts w:cs="Arial"/>
                <w:b/>
                <w:bCs/>
                <w:szCs w:val="20"/>
              </w:rPr>
            </w:pPr>
          </w:p>
        </w:tc>
        <w:tc>
          <w:tcPr>
            <w:tcW w:w="1701" w:type="dxa"/>
            <w:shd w:val="clear" w:color="000000" w:fill="BFBFBF" w:themeFill="background1" w:themeFillShade="BF"/>
          </w:tcPr>
          <w:p w:rsidR="009911AC" w:rsidRDefault="009911AC" w:rsidP="00C92B17">
            <w:pPr>
              <w:keepNext/>
              <w:spacing w:after="0"/>
              <w:jc w:val="right"/>
              <w:rPr>
                <w:rFonts w:cs="Arial"/>
                <w:b/>
                <w:bCs/>
                <w:szCs w:val="20"/>
              </w:rPr>
            </w:pPr>
            <w:r>
              <w:rPr>
                <w:rFonts w:cs="Arial"/>
                <w:b/>
                <w:bCs/>
                <w:szCs w:val="20"/>
              </w:rPr>
              <w:t>2014-15</w:t>
            </w:r>
          </w:p>
          <w:p w:rsidR="009911AC" w:rsidRDefault="009911AC" w:rsidP="00C92B17">
            <w:pPr>
              <w:keepNext/>
              <w:spacing w:after="0"/>
              <w:jc w:val="right"/>
              <w:rPr>
                <w:rFonts w:cs="Arial"/>
                <w:b/>
                <w:bCs/>
                <w:szCs w:val="20"/>
              </w:rPr>
            </w:pPr>
            <w:r>
              <w:rPr>
                <w:rFonts w:eastAsiaTheme="majorEastAsia" w:cstheme="majorBidi"/>
                <w:b/>
                <w:szCs w:val="28"/>
              </w:rPr>
              <w:t>(</w:t>
            </w:r>
            <w:r w:rsidRPr="00FF122F">
              <w:rPr>
                <w:rFonts w:eastAsiaTheme="majorEastAsia" w:cstheme="majorBidi"/>
                <w:b/>
                <w:szCs w:val="28"/>
              </w:rPr>
              <w:t>$‘000</w:t>
            </w:r>
            <w:r>
              <w:rPr>
                <w:rFonts w:eastAsiaTheme="majorEastAsia" w:cstheme="majorBidi"/>
                <w:b/>
                <w:szCs w:val="28"/>
              </w:rPr>
              <w:t>)</w:t>
            </w:r>
          </w:p>
        </w:tc>
        <w:tc>
          <w:tcPr>
            <w:tcW w:w="1701" w:type="dxa"/>
            <w:shd w:val="clear" w:color="000000" w:fill="BFBFBF" w:themeFill="background1" w:themeFillShade="BF"/>
          </w:tcPr>
          <w:p w:rsidR="009911AC" w:rsidRDefault="009911AC" w:rsidP="00C92B17">
            <w:pPr>
              <w:keepNext/>
              <w:spacing w:after="0"/>
              <w:jc w:val="right"/>
              <w:rPr>
                <w:rFonts w:cs="Arial"/>
                <w:b/>
                <w:bCs/>
                <w:szCs w:val="20"/>
              </w:rPr>
            </w:pPr>
            <w:r>
              <w:rPr>
                <w:rFonts w:cs="Arial"/>
                <w:b/>
                <w:bCs/>
                <w:szCs w:val="20"/>
              </w:rPr>
              <w:t>2015–16</w:t>
            </w:r>
          </w:p>
          <w:p w:rsidR="009911AC" w:rsidRPr="00903C36" w:rsidRDefault="009911AC" w:rsidP="00C92B17">
            <w:pPr>
              <w:keepNext/>
              <w:spacing w:after="0"/>
              <w:jc w:val="right"/>
              <w:rPr>
                <w:rFonts w:cs="Arial"/>
                <w:b/>
                <w:bCs/>
                <w:szCs w:val="20"/>
              </w:rPr>
            </w:pPr>
            <w:r>
              <w:rPr>
                <w:rFonts w:eastAsiaTheme="majorEastAsia" w:cstheme="majorBidi"/>
                <w:b/>
                <w:szCs w:val="28"/>
              </w:rPr>
              <w:t>(</w:t>
            </w:r>
            <w:r w:rsidRPr="00FF122F">
              <w:rPr>
                <w:rFonts w:eastAsiaTheme="majorEastAsia" w:cstheme="majorBidi"/>
                <w:b/>
                <w:szCs w:val="28"/>
              </w:rPr>
              <w:t>$‘000</w:t>
            </w:r>
            <w:r>
              <w:rPr>
                <w:rFonts w:eastAsiaTheme="majorEastAsia" w:cstheme="majorBidi"/>
                <w:b/>
                <w:szCs w:val="28"/>
              </w:rPr>
              <w:t>)</w:t>
            </w:r>
          </w:p>
        </w:tc>
        <w:tc>
          <w:tcPr>
            <w:tcW w:w="1417" w:type="dxa"/>
            <w:shd w:val="clear" w:color="000000" w:fill="BFBFBF" w:themeFill="background1" w:themeFillShade="BF"/>
          </w:tcPr>
          <w:p w:rsidR="009911AC" w:rsidRDefault="009911AC" w:rsidP="00C92B17">
            <w:pPr>
              <w:keepNext/>
              <w:spacing w:after="0"/>
              <w:jc w:val="right"/>
              <w:rPr>
                <w:rFonts w:cs="Arial"/>
                <w:b/>
                <w:bCs/>
                <w:szCs w:val="20"/>
              </w:rPr>
            </w:pPr>
            <w:r>
              <w:rPr>
                <w:rFonts w:cs="Arial"/>
                <w:b/>
                <w:bCs/>
                <w:szCs w:val="20"/>
              </w:rPr>
              <w:t>Percentage change</w:t>
            </w:r>
          </w:p>
        </w:tc>
      </w:tr>
      <w:tr w:rsidR="009911AC" w:rsidRPr="002B3AC3" w:rsidTr="00C92B17">
        <w:trPr>
          <w:trHeight w:val="240"/>
        </w:trPr>
        <w:tc>
          <w:tcPr>
            <w:tcW w:w="3843" w:type="dxa"/>
            <w:shd w:val="clear" w:color="auto" w:fill="FFFFFF" w:themeFill="background1"/>
            <w:noWrap/>
            <w:vAlign w:val="center"/>
          </w:tcPr>
          <w:p w:rsidR="009911AC" w:rsidRPr="002B3AC3" w:rsidRDefault="009911AC" w:rsidP="00C92B17">
            <w:pPr>
              <w:keepNext/>
              <w:spacing w:after="0"/>
              <w:rPr>
                <w:rFonts w:cs="Arial"/>
                <w:szCs w:val="20"/>
              </w:rPr>
            </w:pPr>
            <w:r w:rsidRPr="002B3AC3">
              <w:rPr>
                <w:rFonts w:cs="Arial"/>
                <w:szCs w:val="20"/>
              </w:rPr>
              <w:t>Operating expenditure</w:t>
            </w:r>
          </w:p>
        </w:tc>
        <w:tc>
          <w:tcPr>
            <w:tcW w:w="1701" w:type="dxa"/>
            <w:shd w:val="clear" w:color="auto" w:fill="FFFFFF" w:themeFill="background1"/>
          </w:tcPr>
          <w:p w:rsidR="009911AC" w:rsidRPr="002B3AC3" w:rsidRDefault="009911AC" w:rsidP="00C92B17">
            <w:pPr>
              <w:keepNext/>
              <w:spacing w:after="0"/>
              <w:jc w:val="right"/>
              <w:rPr>
                <w:rFonts w:cs="Arial"/>
                <w:szCs w:val="20"/>
              </w:rPr>
            </w:pPr>
            <w:r w:rsidRPr="004A3B1E">
              <w:rPr>
                <w:rFonts w:eastAsia="Calibri" w:cs="Arial"/>
                <w:szCs w:val="20"/>
                <w:lang w:eastAsia="en-AU"/>
              </w:rPr>
              <w:t>1 591 219</w:t>
            </w:r>
          </w:p>
        </w:tc>
        <w:tc>
          <w:tcPr>
            <w:tcW w:w="1701" w:type="dxa"/>
            <w:shd w:val="clear" w:color="auto" w:fill="FFFFFF" w:themeFill="background1"/>
          </w:tcPr>
          <w:p w:rsidR="009911AC" w:rsidRPr="002B3AC3" w:rsidRDefault="009911AC" w:rsidP="00C92B17">
            <w:pPr>
              <w:keepNext/>
              <w:spacing w:after="0"/>
              <w:jc w:val="right"/>
              <w:rPr>
                <w:rFonts w:cs="Arial"/>
                <w:szCs w:val="20"/>
              </w:rPr>
            </w:pPr>
            <w:r w:rsidRPr="002B3AC3">
              <w:rPr>
                <w:rFonts w:cs="Arial"/>
                <w:szCs w:val="20"/>
              </w:rPr>
              <w:t>2 259 775</w:t>
            </w:r>
          </w:p>
        </w:tc>
        <w:tc>
          <w:tcPr>
            <w:tcW w:w="1417" w:type="dxa"/>
            <w:shd w:val="clear" w:color="auto" w:fill="FFFFFF" w:themeFill="background1"/>
          </w:tcPr>
          <w:p w:rsidR="009911AC" w:rsidRPr="002B3AC3" w:rsidRDefault="009911AC" w:rsidP="00C92B17">
            <w:pPr>
              <w:keepNext/>
              <w:spacing w:after="0"/>
              <w:jc w:val="right"/>
              <w:rPr>
                <w:rFonts w:cs="Arial"/>
                <w:szCs w:val="20"/>
              </w:rPr>
            </w:pPr>
            <w:r>
              <w:rPr>
                <w:rFonts w:cs="Arial"/>
                <w:szCs w:val="20"/>
              </w:rPr>
              <w:t>42%</w:t>
            </w:r>
          </w:p>
        </w:tc>
      </w:tr>
      <w:tr w:rsidR="009911AC" w:rsidRPr="002B3AC3" w:rsidTr="00C92B17">
        <w:trPr>
          <w:trHeight w:val="240"/>
        </w:trPr>
        <w:tc>
          <w:tcPr>
            <w:tcW w:w="3843" w:type="dxa"/>
            <w:shd w:val="clear" w:color="auto" w:fill="F2F2F2" w:themeFill="background1" w:themeFillShade="F2"/>
            <w:noWrap/>
            <w:vAlign w:val="center"/>
          </w:tcPr>
          <w:p w:rsidR="009911AC" w:rsidRPr="002B3AC3" w:rsidRDefault="009911AC" w:rsidP="00C92B17">
            <w:pPr>
              <w:keepNext/>
              <w:spacing w:after="0"/>
              <w:rPr>
                <w:rFonts w:cs="Arial"/>
                <w:szCs w:val="20"/>
              </w:rPr>
            </w:pPr>
            <w:r w:rsidRPr="002B3AC3">
              <w:rPr>
                <w:rFonts w:cs="Arial"/>
                <w:szCs w:val="20"/>
              </w:rPr>
              <w:t>Capital expenditure</w:t>
            </w:r>
          </w:p>
        </w:tc>
        <w:tc>
          <w:tcPr>
            <w:tcW w:w="1701" w:type="dxa"/>
            <w:shd w:val="clear" w:color="auto" w:fill="F2F2F2" w:themeFill="background1" w:themeFillShade="F2"/>
          </w:tcPr>
          <w:p w:rsidR="009911AC" w:rsidRPr="002B3AC3" w:rsidRDefault="009911AC" w:rsidP="00C92B17">
            <w:pPr>
              <w:keepNext/>
              <w:spacing w:after="0"/>
              <w:jc w:val="right"/>
              <w:rPr>
                <w:rFonts w:cs="Arial"/>
                <w:szCs w:val="20"/>
              </w:rPr>
            </w:pPr>
            <w:r w:rsidRPr="004A3B1E">
              <w:rPr>
                <w:rFonts w:eastAsia="Calibri" w:cs="Arial"/>
                <w:szCs w:val="20"/>
                <w:lang w:eastAsia="en-AU"/>
              </w:rPr>
              <w:t>2 166 854</w:t>
            </w:r>
          </w:p>
        </w:tc>
        <w:tc>
          <w:tcPr>
            <w:tcW w:w="1701" w:type="dxa"/>
            <w:shd w:val="clear" w:color="auto" w:fill="F2F2F2" w:themeFill="background1" w:themeFillShade="F2"/>
          </w:tcPr>
          <w:p w:rsidR="009911AC" w:rsidRPr="002B3AC3" w:rsidRDefault="009911AC" w:rsidP="00C92B17">
            <w:pPr>
              <w:keepNext/>
              <w:spacing w:after="0"/>
              <w:jc w:val="right"/>
              <w:rPr>
                <w:rFonts w:cs="Arial"/>
                <w:szCs w:val="20"/>
              </w:rPr>
            </w:pPr>
            <w:r w:rsidRPr="002B3AC3">
              <w:rPr>
                <w:rFonts w:cs="Arial"/>
                <w:szCs w:val="20"/>
              </w:rPr>
              <w:t>4 523 44</w:t>
            </w:r>
            <w:r>
              <w:rPr>
                <w:rFonts w:cs="Arial"/>
                <w:szCs w:val="20"/>
              </w:rPr>
              <w:t>4</w:t>
            </w:r>
          </w:p>
        </w:tc>
        <w:tc>
          <w:tcPr>
            <w:tcW w:w="1417" w:type="dxa"/>
            <w:shd w:val="clear" w:color="auto" w:fill="F2F2F2" w:themeFill="background1" w:themeFillShade="F2"/>
          </w:tcPr>
          <w:p w:rsidR="009911AC" w:rsidRPr="002B3AC3" w:rsidRDefault="009911AC" w:rsidP="00C92B17">
            <w:pPr>
              <w:keepNext/>
              <w:spacing w:after="0"/>
              <w:jc w:val="right"/>
              <w:rPr>
                <w:rFonts w:cs="Arial"/>
                <w:szCs w:val="20"/>
              </w:rPr>
            </w:pPr>
            <w:r>
              <w:rPr>
                <w:rFonts w:cs="Arial"/>
                <w:szCs w:val="20"/>
              </w:rPr>
              <w:t>109%</w:t>
            </w:r>
          </w:p>
        </w:tc>
      </w:tr>
      <w:tr w:rsidR="009911AC" w:rsidRPr="002B3AC3" w:rsidTr="00C92B17">
        <w:trPr>
          <w:trHeight w:val="240"/>
        </w:trPr>
        <w:tc>
          <w:tcPr>
            <w:tcW w:w="3843" w:type="dxa"/>
            <w:shd w:val="clear" w:color="auto" w:fill="FFFFFF" w:themeFill="background1"/>
            <w:noWrap/>
            <w:vAlign w:val="center"/>
          </w:tcPr>
          <w:p w:rsidR="009911AC" w:rsidRPr="002B3AC3" w:rsidRDefault="009911AC" w:rsidP="00C92B17">
            <w:pPr>
              <w:keepNext/>
              <w:spacing w:after="0"/>
              <w:rPr>
                <w:rFonts w:cs="Arial"/>
                <w:szCs w:val="20"/>
              </w:rPr>
            </w:pPr>
            <w:r w:rsidRPr="002B3AC3">
              <w:rPr>
                <w:rFonts w:cs="Arial"/>
                <w:szCs w:val="20"/>
              </w:rPr>
              <w:t>Construction in progress (</w:t>
            </w:r>
            <w:r>
              <w:rPr>
                <w:rFonts w:cs="Arial"/>
                <w:szCs w:val="20"/>
              </w:rPr>
              <w:t>start of period)</w:t>
            </w:r>
          </w:p>
        </w:tc>
        <w:tc>
          <w:tcPr>
            <w:tcW w:w="1701" w:type="dxa"/>
            <w:shd w:val="clear" w:color="auto" w:fill="FFFFFF" w:themeFill="background1"/>
          </w:tcPr>
          <w:p w:rsidR="009911AC" w:rsidRPr="002B3AC3" w:rsidRDefault="009911AC" w:rsidP="00C92B17">
            <w:pPr>
              <w:keepNext/>
              <w:spacing w:after="0"/>
              <w:jc w:val="right"/>
              <w:rPr>
                <w:rFonts w:cs="Arial"/>
                <w:szCs w:val="20"/>
              </w:rPr>
            </w:pPr>
            <w:r w:rsidRPr="004A3B1E">
              <w:rPr>
                <w:rFonts w:eastAsia="Calibri" w:cs="Arial"/>
                <w:szCs w:val="20"/>
                <w:lang w:eastAsia="en-AU"/>
              </w:rPr>
              <w:t>2 315 416</w:t>
            </w:r>
          </w:p>
        </w:tc>
        <w:tc>
          <w:tcPr>
            <w:tcW w:w="1701" w:type="dxa"/>
            <w:shd w:val="clear" w:color="auto" w:fill="FFFFFF" w:themeFill="background1"/>
          </w:tcPr>
          <w:p w:rsidR="009911AC" w:rsidRPr="002B3AC3" w:rsidRDefault="009911AC" w:rsidP="00C92B17">
            <w:pPr>
              <w:keepNext/>
              <w:spacing w:after="0"/>
              <w:jc w:val="right"/>
              <w:rPr>
                <w:rFonts w:cs="Arial"/>
                <w:szCs w:val="20"/>
              </w:rPr>
            </w:pPr>
            <w:r w:rsidRPr="002B3AC3">
              <w:rPr>
                <w:rFonts w:cs="Arial"/>
                <w:szCs w:val="20"/>
              </w:rPr>
              <w:t>3 482 834</w:t>
            </w:r>
          </w:p>
        </w:tc>
        <w:tc>
          <w:tcPr>
            <w:tcW w:w="1417" w:type="dxa"/>
            <w:shd w:val="clear" w:color="auto" w:fill="FFFFFF" w:themeFill="background1"/>
          </w:tcPr>
          <w:p w:rsidR="009911AC" w:rsidRPr="002B3AC3" w:rsidRDefault="009911AC" w:rsidP="00C92B17">
            <w:pPr>
              <w:keepNext/>
              <w:spacing w:after="0"/>
              <w:jc w:val="right"/>
              <w:rPr>
                <w:rFonts w:cs="Arial"/>
                <w:szCs w:val="20"/>
              </w:rPr>
            </w:pPr>
            <w:r>
              <w:rPr>
                <w:rFonts w:cs="Arial"/>
                <w:szCs w:val="20"/>
              </w:rPr>
              <w:t>50%</w:t>
            </w:r>
          </w:p>
        </w:tc>
      </w:tr>
      <w:tr w:rsidR="009911AC" w:rsidRPr="002B3AC3" w:rsidTr="00C92B17">
        <w:trPr>
          <w:trHeight w:val="240"/>
        </w:trPr>
        <w:tc>
          <w:tcPr>
            <w:tcW w:w="3843" w:type="dxa"/>
            <w:shd w:val="clear" w:color="auto" w:fill="F2F2F2" w:themeFill="background1" w:themeFillShade="F2"/>
            <w:noWrap/>
            <w:vAlign w:val="center"/>
          </w:tcPr>
          <w:p w:rsidR="009911AC" w:rsidRPr="002B3AC3" w:rsidRDefault="009911AC" w:rsidP="00C92B17">
            <w:pPr>
              <w:keepNext/>
              <w:spacing w:after="0"/>
              <w:rPr>
                <w:rFonts w:cs="Arial"/>
                <w:szCs w:val="20"/>
              </w:rPr>
            </w:pPr>
            <w:r w:rsidRPr="002B3AC3">
              <w:rPr>
                <w:rFonts w:cs="Arial"/>
                <w:szCs w:val="20"/>
              </w:rPr>
              <w:t>Interest expense</w:t>
            </w:r>
          </w:p>
        </w:tc>
        <w:tc>
          <w:tcPr>
            <w:tcW w:w="1701" w:type="dxa"/>
            <w:shd w:val="clear" w:color="auto" w:fill="F2F2F2" w:themeFill="background1" w:themeFillShade="F2"/>
          </w:tcPr>
          <w:p w:rsidR="009911AC" w:rsidRPr="002B3AC3" w:rsidRDefault="009911AC" w:rsidP="00C92B17">
            <w:pPr>
              <w:keepNext/>
              <w:spacing w:after="0"/>
              <w:jc w:val="right"/>
              <w:rPr>
                <w:rFonts w:cs="Arial"/>
                <w:szCs w:val="20"/>
              </w:rPr>
            </w:pPr>
            <w:r>
              <w:rPr>
                <w:rFonts w:cs="Arial"/>
                <w:szCs w:val="20"/>
              </w:rPr>
              <w:t>59</w:t>
            </w:r>
          </w:p>
        </w:tc>
        <w:tc>
          <w:tcPr>
            <w:tcW w:w="1701" w:type="dxa"/>
            <w:shd w:val="clear" w:color="auto" w:fill="F2F2F2" w:themeFill="background1" w:themeFillShade="F2"/>
          </w:tcPr>
          <w:p w:rsidR="009911AC" w:rsidRPr="002B3AC3" w:rsidRDefault="009911AC" w:rsidP="00C92B17">
            <w:pPr>
              <w:keepNext/>
              <w:spacing w:after="0"/>
              <w:jc w:val="right"/>
              <w:rPr>
                <w:rFonts w:cs="Arial"/>
                <w:szCs w:val="20"/>
              </w:rPr>
            </w:pPr>
            <w:r w:rsidRPr="002B3AC3">
              <w:rPr>
                <w:rFonts w:cs="Arial"/>
                <w:szCs w:val="20"/>
              </w:rPr>
              <w:t>247</w:t>
            </w:r>
          </w:p>
        </w:tc>
        <w:tc>
          <w:tcPr>
            <w:tcW w:w="1417" w:type="dxa"/>
            <w:shd w:val="clear" w:color="auto" w:fill="F2F2F2" w:themeFill="background1" w:themeFillShade="F2"/>
          </w:tcPr>
          <w:p w:rsidR="009911AC" w:rsidRPr="002B3AC3" w:rsidRDefault="009911AC" w:rsidP="00C92B17">
            <w:pPr>
              <w:keepNext/>
              <w:spacing w:after="0"/>
              <w:jc w:val="right"/>
              <w:rPr>
                <w:rFonts w:cs="Arial"/>
                <w:szCs w:val="20"/>
              </w:rPr>
            </w:pPr>
            <w:r>
              <w:rPr>
                <w:rFonts w:cs="Arial"/>
                <w:szCs w:val="20"/>
              </w:rPr>
              <w:t>319%</w:t>
            </w:r>
          </w:p>
        </w:tc>
      </w:tr>
      <w:tr w:rsidR="009911AC" w:rsidRPr="002B3AC3" w:rsidTr="00C92B17">
        <w:trPr>
          <w:trHeight w:val="240"/>
        </w:trPr>
        <w:tc>
          <w:tcPr>
            <w:tcW w:w="3843" w:type="dxa"/>
            <w:shd w:val="clear" w:color="auto" w:fill="FFFFFF" w:themeFill="background1"/>
            <w:noWrap/>
            <w:vAlign w:val="center"/>
          </w:tcPr>
          <w:p w:rsidR="009911AC" w:rsidRPr="002B3AC3" w:rsidRDefault="009911AC" w:rsidP="00C92B17">
            <w:pPr>
              <w:keepNext/>
              <w:spacing w:after="0"/>
              <w:rPr>
                <w:rFonts w:cs="Arial"/>
                <w:szCs w:val="20"/>
              </w:rPr>
            </w:pPr>
            <w:r w:rsidRPr="002B3AC3">
              <w:rPr>
                <w:rFonts w:cs="Arial"/>
                <w:szCs w:val="20"/>
              </w:rPr>
              <w:t>Revenue</w:t>
            </w:r>
          </w:p>
        </w:tc>
        <w:tc>
          <w:tcPr>
            <w:tcW w:w="1701" w:type="dxa"/>
            <w:shd w:val="clear" w:color="auto" w:fill="FFFFFF" w:themeFill="background1"/>
          </w:tcPr>
          <w:p w:rsidR="009911AC" w:rsidRPr="002B3AC3" w:rsidRDefault="009911AC" w:rsidP="00C92B17">
            <w:pPr>
              <w:keepNext/>
              <w:spacing w:after="0"/>
              <w:jc w:val="right"/>
              <w:rPr>
                <w:rFonts w:cs="Arial"/>
                <w:szCs w:val="20"/>
              </w:rPr>
            </w:pPr>
            <w:r>
              <w:rPr>
                <w:rFonts w:cs="Arial"/>
                <w:szCs w:val="20"/>
              </w:rPr>
              <w:t>163 867</w:t>
            </w:r>
          </w:p>
        </w:tc>
        <w:tc>
          <w:tcPr>
            <w:tcW w:w="1701" w:type="dxa"/>
            <w:shd w:val="clear" w:color="auto" w:fill="FFFFFF" w:themeFill="background1"/>
          </w:tcPr>
          <w:p w:rsidR="009911AC" w:rsidRPr="002B3AC3" w:rsidRDefault="009911AC" w:rsidP="00C92B17">
            <w:pPr>
              <w:keepNext/>
              <w:spacing w:after="0"/>
              <w:jc w:val="right"/>
              <w:rPr>
                <w:rFonts w:cs="Arial"/>
                <w:szCs w:val="20"/>
              </w:rPr>
            </w:pPr>
            <w:r w:rsidRPr="002B3AC3">
              <w:rPr>
                <w:rFonts w:cs="Arial"/>
                <w:szCs w:val="20"/>
              </w:rPr>
              <w:t>421 455</w:t>
            </w:r>
          </w:p>
        </w:tc>
        <w:tc>
          <w:tcPr>
            <w:tcW w:w="1417" w:type="dxa"/>
            <w:shd w:val="clear" w:color="auto" w:fill="FFFFFF" w:themeFill="background1"/>
          </w:tcPr>
          <w:p w:rsidR="009911AC" w:rsidRPr="002B3AC3" w:rsidRDefault="009911AC" w:rsidP="00C92B17">
            <w:pPr>
              <w:keepNext/>
              <w:spacing w:after="0"/>
              <w:jc w:val="right"/>
              <w:rPr>
                <w:rFonts w:cs="Arial"/>
                <w:szCs w:val="20"/>
              </w:rPr>
            </w:pPr>
            <w:r>
              <w:rPr>
                <w:rFonts w:cs="Arial"/>
                <w:szCs w:val="20"/>
              </w:rPr>
              <w:t>157%</w:t>
            </w:r>
          </w:p>
        </w:tc>
      </w:tr>
      <w:tr w:rsidR="009911AC" w:rsidRPr="002B3AC3" w:rsidTr="00C92B17">
        <w:trPr>
          <w:trHeight w:val="240"/>
        </w:trPr>
        <w:tc>
          <w:tcPr>
            <w:tcW w:w="3843" w:type="dxa"/>
            <w:shd w:val="clear" w:color="auto" w:fill="F2F2F2" w:themeFill="background1" w:themeFillShade="F2"/>
            <w:noWrap/>
            <w:vAlign w:val="center"/>
          </w:tcPr>
          <w:p w:rsidR="009911AC" w:rsidRPr="002B3AC3" w:rsidRDefault="009911AC" w:rsidP="00C92B17">
            <w:pPr>
              <w:keepNext/>
              <w:spacing w:after="0"/>
              <w:rPr>
                <w:rFonts w:cs="Arial"/>
                <w:szCs w:val="20"/>
              </w:rPr>
            </w:pPr>
            <w:r w:rsidRPr="004A3B1E">
              <w:rPr>
                <w:rFonts w:eastAsia="Calibri" w:cs="Arial"/>
                <w:szCs w:val="20"/>
                <w:lang w:eastAsia="en-AU"/>
              </w:rPr>
              <w:t>Unrecovered cost</w:t>
            </w:r>
          </w:p>
        </w:tc>
        <w:tc>
          <w:tcPr>
            <w:tcW w:w="1701" w:type="dxa"/>
            <w:shd w:val="clear" w:color="auto" w:fill="F2F2F2" w:themeFill="background1" w:themeFillShade="F2"/>
            <w:vAlign w:val="bottom"/>
          </w:tcPr>
          <w:p w:rsidR="009911AC" w:rsidRPr="004A3B1E" w:rsidRDefault="009911AC" w:rsidP="00C92B17">
            <w:pPr>
              <w:spacing w:after="0"/>
              <w:jc w:val="right"/>
              <w:rPr>
                <w:rFonts w:eastAsia="Calibri" w:cs="Arial"/>
                <w:szCs w:val="20"/>
                <w:lang w:eastAsia="en-AU"/>
              </w:rPr>
            </w:pPr>
            <w:r w:rsidRPr="004A3B1E">
              <w:rPr>
                <w:rFonts w:eastAsia="Calibri" w:cs="Arial"/>
                <w:szCs w:val="20"/>
                <w:lang w:eastAsia="en-AU"/>
              </w:rPr>
              <w:t>2 054 623</w:t>
            </w:r>
          </w:p>
        </w:tc>
        <w:tc>
          <w:tcPr>
            <w:tcW w:w="1701" w:type="dxa"/>
            <w:shd w:val="clear" w:color="auto" w:fill="F2F2F2" w:themeFill="background1" w:themeFillShade="F2"/>
            <w:vAlign w:val="bottom"/>
          </w:tcPr>
          <w:p w:rsidR="009911AC" w:rsidRPr="004A3B1E" w:rsidRDefault="009911AC" w:rsidP="00C92B17">
            <w:pPr>
              <w:spacing w:after="0"/>
              <w:jc w:val="right"/>
              <w:rPr>
                <w:rFonts w:eastAsia="Calibri" w:cs="Arial"/>
                <w:szCs w:val="20"/>
                <w:lang w:eastAsia="en-AU"/>
              </w:rPr>
            </w:pPr>
            <w:r w:rsidRPr="004A3B1E">
              <w:rPr>
                <w:rFonts w:eastAsia="Calibri" w:cs="Arial"/>
                <w:szCs w:val="20"/>
                <w:lang w:eastAsia="en-AU"/>
              </w:rPr>
              <w:t>2 777 273</w:t>
            </w:r>
          </w:p>
        </w:tc>
        <w:tc>
          <w:tcPr>
            <w:tcW w:w="1417" w:type="dxa"/>
            <w:shd w:val="clear" w:color="auto" w:fill="F2F2F2" w:themeFill="background1" w:themeFillShade="F2"/>
            <w:vAlign w:val="bottom"/>
          </w:tcPr>
          <w:p w:rsidR="009911AC" w:rsidRPr="004A3B1E" w:rsidRDefault="009911AC" w:rsidP="00C92B17">
            <w:pPr>
              <w:spacing w:after="0"/>
              <w:jc w:val="right"/>
              <w:rPr>
                <w:rFonts w:eastAsia="Calibri" w:cs="Arial"/>
                <w:szCs w:val="20"/>
                <w:lang w:eastAsia="en-AU"/>
              </w:rPr>
            </w:pPr>
            <w:r w:rsidRPr="004A3B1E">
              <w:rPr>
                <w:rFonts w:eastAsia="Calibri" w:cs="Arial"/>
                <w:szCs w:val="20"/>
                <w:lang w:eastAsia="en-AU"/>
              </w:rPr>
              <w:t>35%</w:t>
            </w:r>
          </w:p>
        </w:tc>
      </w:tr>
      <w:tr w:rsidR="009911AC" w:rsidRPr="002B3AC3" w:rsidTr="00C92B17">
        <w:trPr>
          <w:trHeight w:val="240"/>
        </w:trPr>
        <w:tc>
          <w:tcPr>
            <w:tcW w:w="3843" w:type="dxa"/>
            <w:shd w:val="clear" w:color="auto" w:fill="F2F2F2" w:themeFill="background1" w:themeFillShade="F2"/>
            <w:noWrap/>
            <w:vAlign w:val="center"/>
          </w:tcPr>
          <w:p w:rsidR="009911AC" w:rsidRPr="002B3AC3" w:rsidRDefault="009911AC" w:rsidP="00C92B17">
            <w:pPr>
              <w:keepNext/>
              <w:spacing w:after="0"/>
              <w:rPr>
                <w:rFonts w:cs="Arial"/>
                <w:szCs w:val="20"/>
              </w:rPr>
            </w:pPr>
            <w:r w:rsidRPr="002B3AC3">
              <w:rPr>
                <w:rFonts w:cs="Arial"/>
                <w:szCs w:val="20"/>
              </w:rPr>
              <w:t>RAB (</w:t>
            </w:r>
            <w:r>
              <w:rPr>
                <w:rFonts w:cs="Arial"/>
                <w:szCs w:val="20"/>
              </w:rPr>
              <w:t>end of period</w:t>
            </w:r>
            <w:r w:rsidRPr="002B3AC3">
              <w:rPr>
                <w:rFonts w:cs="Arial"/>
                <w:szCs w:val="20"/>
              </w:rPr>
              <w:t>)</w:t>
            </w:r>
          </w:p>
        </w:tc>
        <w:tc>
          <w:tcPr>
            <w:tcW w:w="1701" w:type="dxa"/>
            <w:shd w:val="clear" w:color="auto" w:fill="F2F2F2" w:themeFill="background1" w:themeFillShade="F2"/>
          </w:tcPr>
          <w:p w:rsidR="009911AC" w:rsidRPr="002B3AC3" w:rsidRDefault="009911AC" w:rsidP="00C92B17">
            <w:pPr>
              <w:keepNext/>
              <w:spacing w:after="0"/>
              <w:jc w:val="right"/>
              <w:rPr>
                <w:rFonts w:cs="Arial"/>
                <w:szCs w:val="20"/>
              </w:rPr>
            </w:pPr>
            <w:r w:rsidRPr="004A3B1E">
              <w:rPr>
                <w:rFonts w:eastAsia="Calibri" w:cs="Arial"/>
                <w:szCs w:val="20"/>
                <w:lang w:eastAsia="en-AU"/>
              </w:rPr>
              <w:t>4 818 889</w:t>
            </w:r>
          </w:p>
        </w:tc>
        <w:tc>
          <w:tcPr>
            <w:tcW w:w="1701" w:type="dxa"/>
            <w:shd w:val="clear" w:color="auto" w:fill="F2F2F2" w:themeFill="background1" w:themeFillShade="F2"/>
          </w:tcPr>
          <w:p w:rsidR="009911AC" w:rsidRPr="002B3AC3" w:rsidRDefault="009911AC" w:rsidP="00C92B17">
            <w:pPr>
              <w:keepNext/>
              <w:spacing w:after="0"/>
              <w:jc w:val="right"/>
              <w:rPr>
                <w:rFonts w:cs="Arial"/>
                <w:szCs w:val="20"/>
              </w:rPr>
            </w:pPr>
            <w:r w:rsidRPr="002B3AC3">
              <w:rPr>
                <w:rFonts w:cs="Arial"/>
                <w:szCs w:val="20"/>
              </w:rPr>
              <w:t>8 944 763</w:t>
            </w:r>
          </w:p>
        </w:tc>
        <w:tc>
          <w:tcPr>
            <w:tcW w:w="1417" w:type="dxa"/>
            <w:shd w:val="clear" w:color="auto" w:fill="F2F2F2" w:themeFill="background1" w:themeFillShade="F2"/>
          </w:tcPr>
          <w:p w:rsidR="009911AC" w:rsidRPr="002B3AC3" w:rsidRDefault="009911AC" w:rsidP="00C92B17">
            <w:pPr>
              <w:keepNext/>
              <w:spacing w:after="0"/>
              <w:jc w:val="right"/>
              <w:rPr>
                <w:rFonts w:cs="Arial"/>
                <w:szCs w:val="20"/>
              </w:rPr>
            </w:pPr>
            <w:r>
              <w:rPr>
                <w:rFonts w:cs="Arial"/>
                <w:szCs w:val="20"/>
              </w:rPr>
              <w:t>86%</w:t>
            </w:r>
          </w:p>
        </w:tc>
      </w:tr>
      <w:tr w:rsidR="009911AC" w:rsidRPr="002B3AC3" w:rsidTr="00C92B17">
        <w:trPr>
          <w:trHeight w:val="240"/>
        </w:trPr>
        <w:tc>
          <w:tcPr>
            <w:tcW w:w="3843" w:type="dxa"/>
            <w:shd w:val="clear" w:color="auto" w:fill="FFFFFF" w:themeFill="background1"/>
            <w:noWrap/>
            <w:vAlign w:val="center"/>
          </w:tcPr>
          <w:p w:rsidR="009911AC" w:rsidRPr="002B3AC3" w:rsidRDefault="009911AC" w:rsidP="00C92B17">
            <w:pPr>
              <w:keepNext/>
              <w:spacing w:after="0"/>
              <w:rPr>
                <w:rFonts w:cs="Arial"/>
                <w:szCs w:val="20"/>
              </w:rPr>
            </w:pPr>
            <w:r w:rsidRPr="002B3AC3">
              <w:rPr>
                <w:rFonts w:cs="Arial"/>
                <w:szCs w:val="20"/>
              </w:rPr>
              <w:t>ABBRR</w:t>
            </w:r>
          </w:p>
        </w:tc>
        <w:tc>
          <w:tcPr>
            <w:tcW w:w="1701" w:type="dxa"/>
            <w:shd w:val="clear" w:color="auto" w:fill="FFFFFF" w:themeFill="background1"/>
          </w:tcPr>
          <w:p w:rsidR="009911AC" w:rsidRPr="002B3AC3" w:rsidRDefault="009911AC" w:rsidP="00C92B17">
            <w:pPr>
              <w:keepNext/>
              <w:spacing w:after="0"/>
              <w:jc w:val="right"/>
              <w:rPr>
                <w:rFonts w:cs="Arial"/>
                <w:szCs w:val="20"/>
              </w:rPr>
            </w:pPr>
            <w:r w:rsidRPr="004A3B1E">
              <w:rPr>
                <w:rFonts w:eastAsia="Calibri" w:cs="Arial"/>
                <w:szCs w:val="20"/>
                <w:lang w:eastAsia="en-AU"/>
              </w:rPr>
              <w:t>2 218 490</w:t>
            </w:r>
          </w:p>
        </w:tc>
        <w:tc>
          <w:tcPr>
            <w:tcW w:w="1701" w:type="dxa"/>
            <w:shd w:val="clear" w:color="auto" w:fill="FFFFFF" w:themeFill="background1"/>
          </w:tcPr>
          <w:p w:rsidR="009911AC" w:rsidRPr="002B3AC3" w:rsidRDefault="009911AC" w:rsidP="00C92B17">
            <w:pPr>
              <w:keepNext/>
              <w:spacing w:after="0"/>
              <w:jc w:val="right"/>
              <w:rPr>
                <w:rFonts w:cs="Arial"/>
                <w:szCs w:val="20"/>
              </w:rPr>
            </w:pPr>
            <w:r w:rsidRPr="002B3AC3">
              <w:rPr>
                <w:rFonts w:cs="Arial"/>
                <w:szCs w:val="20"/>
              </w:rPr>
              <w:t>3 198 728</w:t>
            </w:r>
          </w:p>
        </w:tc>
        <w:tc>
          <w:tcPr>
            <w:tcW w:w="1417" w:type="dxa"/>
            <w:shd w:val="clear" w:color="auto" w:fill="FFFFFF" w:themeFill="background1"/>
          </w:tcPr>
          <w:p w:rsidR="009911AC" w:rsidRPr="002B3AC3" w:rsidRDefault="009911AC" w:rsidP="00C92B17">
            <w:pPr>
              <w:keepNext/>
              <w:spacing w:after="0"/>
              <w:jc w:val="right"/>
              <w:rPr>
                <w:rFonts w:cs="Arial"/>
                <w:szCs w:val="20"/>
              </w:rPr>
            </w:pPr>
            <w:r>
              <w:rPr>
                <w:rFonts w:cs="Arial"/>
                <w:szCs w:val="20"/>
              </w:rPr>
              <w:t>44%</w:t>
            </w:r>
          </w:p>
        </w:tc>
      </w:tr>
      <w:tr w:rsidR="009911AC" w:rsidRPr="002B3AC3" w:rsidTr="00C92B17">
        <w:trPr>
          <w:trHeight w:val="255"/>
        </w:trPr>
        <w:tc>
          <w:tcPr>
            <w:tcW w:w="3843" w:type="dxa"/>
            <w:shd w:val="clear" w:color="auto" w:fill="F2F2F2" w:themeFill="background1" w:themeFillShade="F2"/>
            <w:noWrap/>
            <w:vAlign w:val="center"/>
          </w:tcPr>
          <w:p w:rsidR="009911AC" w:rsidRPr="002B3AC3" w:rsidRDefault="009911AC" w:rsidP="00C92B17">
            <w:pPr>
              <w:keepNext/>
              <w:spacing w:after="0"/>
              <w:rPr>
                <w:rFonts w:cs="Arial"/>
                <w:szCs w:val="20"/>
              </w:rPr>
            </w:pPr>
            <w:r w:rsidRPr="002B3AC3">
              <w:rPr>
                <w:rFonts w:cs="Arial"/>
                <w:szCs w:val="20"/>
              </w:rPr>
              <w:t xml:space="preserve">ICRA </w:t>
            </w:r>
            <w:r>
              <w:rPr>
                <w:rFonts w:cs="Arial"/>
                <w:szCs w:val="20"/>
              </w:rPr>
              <w:t>(end of period)</w:t>
            </w:r>
          </w:p>
        </w:tc>
        <w:tc>
          <w:tcPr>
            <w:tcW w:w="1701" w:type="dxa"/>
            <w:shd w:val="clear" w:color="auto" w:fill="F2F2F2" w:themeFill="background1" w:themeFillShade="F2"/>
          </w:tcPr>
          <w:p w:rsidR="009911AC" w:rsidRPr="002B3AC3" w:rsidRDefault="009911AC" w:rsidP="00C92B17">
            <w:pPr>
              <w:keepNext/>
              <w:spacing w:after="0"/>
              <w:jc w:val="right"/>
              <w:rPr>
                <w:rFonts w:cs="Arial"/>
                <w:szCs w:val="20"/>
              </w:rPr>
            </w:pPr>
            <w:r w:rsidRPr="004A3B1E">
              <w:rPr>
                <w:rFonts w:eastAsia="Calibri" w:cs="Arial"/>
                <w:szCs w:val="20"/>
                <w:lang w:eastAsia="en-AU"/>
              </w:rPr>
              <w:t>6 243 728</w:t>
            </w:r>
          </w:p>
        </w:tc>
        <w:tc>
          <w:tcPr>
            <w:tcW w:w="1701" w:type="dxa"/>
            <w:shd w:val="clear" w:color="auto" w:fill="F2F2F2" w:themeFill="background1" w:themeFillShade="F2"/>
          </w:tcPr>
          <w:p w:rsidR="009911AC" w:rsidRPr="002B3AC3" w:rsidRDefault="009911AC" w:rsidP="00C92B17">
            <w:pPr>
              <w:keepNext/>
              <w:spacing w:after="0"/>
              <w:jc w:val="right"/>
              <w:rPr>
                <w:rFonts w:cs="Arial"/>
                <w:szCs w:val="20"/>
              </w:rPr>
            </w:pPr>
            <w:r w:rsidRPr="002B3AC3">
              <w:rPr>
                <w:rFonts w:cs="Arial"/>
                <w:szCs w:val="20"/>
              </w:rPr>
              <w:t>9 428 175</w:t>
            </w:r>
          </w:p>
        </w:tc>
        <w:tc>
          <w:tcPr>
            <w:tcW w:w="1417" w:type="dxa"/>
            <w:shd w:val="clear" w:color="auto" w:fill="F2F2F2" w:themeFill="background1" w:themeFillShade="F2"/>
          </w:tcPr>
          <w:p w:rsidR="009911AC" w:rsidRPr="002B3AC3" w:rsidRDefault="009911AC" w:rsidP="00C92B17">
            <w:pPr>
              <w:keepNext/>
              <w:spacing w:after="0"/>
              <w:jc w:val="right"/>
              <w:rPr>
                <w:rFonts w:cs="Arial"/>
                <w:szCs w:val="20"/>
              </w:rPr>
            </w:pPr>
            <w:r>
              <w:rPr>
                <w:rFonts w:cs="Arial"/>
                <w:szCs w:val="20"/>
              </w:rPr>
              <w:t>51%</w:t>
            </w:r>
          </w:p>
        </w:tc>
      </w:tr>
    </w:tbl>
    <w:p w:rsidR="00D638E8" w:rsidRPr="009911AC" w:rsidRDefault="009911AC" w:rsidP="009911AC">
      <w:pPr>
        <w:spacing w:after="200" w:line="276" w:lineRule="auto"/>
        <w:rPr>
          <w:rFonts w:asciiTheme="minorHAnsi" w:hAnsiTheme="minorHAnsi"/>
          <w:szCs w:val="20"/>
        </w:rPr>
      </w:pPr>
      <w:r>
        <w:rPr>
          <w:rFonts w:asciiTheme="minorHAnsi" w:hAnsiTheme="minorHAnsi"/>
          <w:szCs w:val="20"/>
        </w:rPr>
        <w:t>*Source: LTRCM spreadsheet 2015-16</w:t>
      </w:r>
    </w:p>
    <w:p w:rsidR="00D2031C" w:rsidRDefault="00D2031C" w:rsidP="00BE761F">
      <w:pPr>
        <w:pStyle w:val="HeadingLevel2"/>
      </w:pPr>
      <w:bookmarkStart w:id="11" w:name="_Toc483563146"/>
      <w:r>
        <w:t>Price compliance reporting</w:t>
      </w:r>
      <w:bookmarkEnd w:id="11"/>
    </w:p>
    <w:p w:rsidR="00D2031C" w:rsidRDefault="00D2031C" w:rsidP="00D2031C">
      <w:pPr>
        <w:rPr>
          <w:lang w:val="en-GB"/>
        </w:rPr>
      </w:pPr>
      <w:r>
        <w:t>On 31 October 2016, NBN Co provided the ACCC with a price compliance report and a price compliance spreadsheet, pursuant to clause 1F.3(a) of the SAU for the period from 1 July 2015 to 30 June 2016. NBN Co also submitted an independent assurance report by PwC to complement NBN Co’s price compliance report and supporting information in its supplementary submission.</w:t>
      </w:r>
      <w:r w:rsidRPr="00766C45">
        <w:t xml:space="preserve"> </w:t>
      </w:r>
      <w:r>
        <w:t>The</w:t>
      </w:r>
      <w:r w:rsidRPr="00D75748">
        <w:t xml:space="preserve"> </w:t>
      </w:r>
      <w:r>
        <w:t xml:space="preserve">price compliance report </w:t>
      </w:r>
      <w:r w:rsidR="00C92B17">
        <w:t>included the</w:t>
      </w:r>
      <w:r>
        <w:t xml:space="preserve"> CFO</w:t>
      </w:r>
      <w:r w:rsidR="00C92B17">
        <w:t>’s</w:t>
      </w:r>
      <w:r>
        <w:t xml:space="preserve"> certification that the pricing of NBN Offers and Other Charges from 1 July 2015 to 30 June 2016, satisfied the relevant requirements in Schedule 1C of the SAU.</w:t>
      </w:r>
      <w:r w:rsidRPr="00766C45">
        <w:rPr>
          <w:lang w:val="en-GB"/>
        </w:rPr>
        <w:t xml:space="preserve"> </w:t>
      </w:r>
    </w:p>
    <w:p w:rsidR="00D2031C" w:rsidRPr="00766C45" w:rsidRDefault="00D2031C" w:rsidP="00D2031C">
      <w:r>
        <w:rPr>
          <w:lang w:val="en-GB"/>
        </w:rPr>
        <w:t xml:space="preserve">In addition, </w:t>
      </w:r>
      <w:r>
        <w:t xml:space="preserve">NBN Co </w:t>
      </w:r>
      <w:r w:rsidRPr="002C05AC">
        <w:t xml:space="preserve">lodged an independent assurance report by PwC </w:t>
      </w:r>
      <w:r>
        <w:t>on</w:t>
      </w:r>
      <w:r w:rsidRPr="002C05AC">
        <w:t xml:space="preserve"> </w:t>
      </w:r>
      <w:r>
        <w:t>NBN Co’s internal</w:t>
      </w:r>
      <w:r w:rsidRPr="002C05AC">
        <w:t xml:space="preserve"> controls </w:t>
      </w:r>
      <w:r>
        <w:t>in relation</w:t>
      </w:r>
      <w:r w:rsidRPr="002C05AC">
        <w:t xml:space="preserve"> to price compliance.</w:t>
      </w:r>
      <w:r w:rsidR="00C92B17">
        <w:t xml:space="preserve"> The ACCC</w:t>
      </w:r>
      <w:r w:rsidR="00175B55">
        <w:t xml:space="preserve"> noted that </w:t>
      </w:r>
      <w:r w:rsidR="000F7CE8">
        <w:t xml:space="preserve">PwC’s limited assurance conclusion was unqualified in nature and complements NBN Co’s CFO certification. </w:t>
      </w:r>
    </w:p>
    <w:p w:rsidR="00D2031C" w:rsidRDefault="00D2031C" w:rsidP="00D2031C">
      <w:pPr>
        <w:spacing w:after="200" w:line="276" w:lineRule="auto"/>
        <w:rPr>
          <w:rFonts w:asciiTheme="minorHAnsi" w:hAnsiTheme="minorHAnsi"/>
          <w:szCs w:val="20"/>
        </w:rPr>
      </w:pPr>
      <w:r>
        <w:rPr>
          <w:rFonts w:asciiTheme="minorHAnsi" w:hAnsiTheme="minorHAnsi"/>
          <w:szCs w:val="20"/>
        </w:rPr>
        <w:br w:type="page"/>
      </w:r>
    </w:p>
    <w:p w:rsidR="00325BBB" w:rsidRDefault="00325BBB" w:rsidP="00325BBB">
      <w:pPr>
        <w:pStyle w:val="HeadingLevel1"/>
      </w:pPr>
      <w:bookmarkStart w:id="12" w:name="_Toc483563147"/>
      <w:r>
        <w:lastRenderedPageBreak/>
        <w:t>ACCC’s assessment of NBN Co’s LTRCM proposal</w:t>
      </w:r>
      <w:bookmarkEnd w:id="12"/>
      <w:r>
        <w:t xml:space="preserve"> </w:t>
      </w:r>
    </w:p>
    <w:p w:rsidR="006C2629" w:rsidRDefault="006C2629" w:rsidP="006C2629">
      <w:r>
        <w:t>The ACCC has assessed NBN Co’s LTRCM proposal, having regard to the relevant provisions of NBN Co’s SAU. The following section provides an overview of the ACCC’s assessment.</w:t>
      </w:r>
    </w:p>
    <w:p w:rsidR="00C92B17" w:rsidRDefault="006C2629" w:rsidP="004922FF">
      <w:r>
        <w:t xml:space="preserve">On </w:t>
      </w:r>
      <w:r w:rsidR="004922FF">
        <w:t>28 April 2017</w:t>
      </w:r>
      <w:r>
        <w:t xml:space="preserve">, the ACCC released </w:t>
      </w:r>
      <w:r w:rsidRPr="00C67BAB">
        <w:rPr>
          <w:i/>
        </w:rPr>
        <w:t>NBN Co’s Special Access Undertaking Long Term Revenue Constraint Methodology</w:t>
      </w:r>
      <w:r w:rsidR="004922FF">
        <w:rPr>
          <w:i/>
        </w:rPr>
        <w:t xml:space="preserve"> 2015-16</w:t>
      </w:r>
      <w:r w:rsidRPr="00C67BAB">
        <w:rPr>
          <w:i/>
        </w:rPr>
        <w:t>: Draft Determinati</w:t>
      </w:r>
      <w:r w:rsidR="004922FF">
        <w:rPr>
          <w:i/>
        </w:rPr>
        <w:t>on and Price Compliance Report 2015-16</w:t>
      </w:r>
      <w:r>
        <w:t xml:space="preserve"> (draft determination)</w:t>
      </w:r>
      <w:r w:rsidR="004922FF" w:rsidRPr="004922FF">
        <w:t xml:space="preserve"> </w:t>
      </w:r>
      <w:r w:rsidR="004922FF">
        <w:t>for public consultation for a period of four weeks</w:t>
      </w:r>
      <w:r>
        <w:t>.</w:t>
      </w:r>
      <w:r w:rsidR="004922FF">
        <w:t xml:space="preserve"> </w:t>
      </w:r>
      <w:r>
        <w:t>In making its draft determination, the ACCC considered the regulatory information submitted by NBN C</w:t>
      </w:r>
      <w:r w:rsidR="004922FF">
        <w:t>o under Schedule 1F of the SAU</w:t>
      </w:r>
      <w:r w:rsidR="00175B55">
        <w:t xml:space="preserve"> and additional information provided by NBN Co. </w:t>
      </w:r>
      <w:r w:rsidR="004922FF">
        <w:t xml:space="preserve"> </w:t>
      </w:r>
    </w:p>
    <w:p w:rsidR="006C2629" w:rsidRDefault="006C2629" w:rsidP="001675C0">
      <w:pPr>
        <w:pStyle w:val="HeadingLevel2"/>
        <w:numPr>
          <w:ilvl w:val="1"/>
          <w:numId w:val="43"/>
        </w:numPr>
      </w:pPr>
      <w:bookmarkStart w:id="13" w:name="_Toc483563148"/>
      <w:r>
        <w:t>LTRCM 20</w:t>
      </w:r>
      <w:r w:rsidR="00BE5A08">
        <w:t>15-16</w:t>
      </w:r>
      <w:r>
        <w:t xml:space="preserve"> determination</w:t>
      </w:r>
      <w:bookmarkEnd w:id="13"/>
    </w:p>
    <w:p w:rsidR="00806013" w:rsidRDefault="006C2629" w:rsidP="00404092">
      <w:pPr>
        <w:spacing w:after="120"/>
      </w:pPr>
      <w:r>
        <w:t xml:space="preserve">The ACCC has completed its assessment of NBN Co’s </w:t>
      </w:r>
      <w:r w:rsidR="004922FF">
        <w:t xml:space="preserve">2015-16 </w:t>
      </w:r>
      <w:r>
        <w:t xml:space="preserve">LTRCM </w:t>
      </w:r>
      <w:proofErr w:type="gramStart"/>
      <w:r>
        <w:t>propo</w:t>
      </w:r>
      <w:r w:rsidR="004922FF">
        <w:t>sal</w:t>
      </w:r>
      <w:proofErr w:type="gramEnd"/>
      <w:r w:rsidR="004922FF">
        <w:t xml:space="preserve"> submitted on 31 October 2016</w:t>
      </w:r>
      <w:r>
        <w:t xml:space="preserve"> and has decided to accept NBN Co’s proposed valu</w:t>
      </w:r>
      <w:r w:rsidR="00806013">
        <w:t xml:space="preserve">es for the ABBRR, RAB and ICRA. </w:t>
      </w:r>
    </w:p>
    <w:p w:rsidR="008D421A" w:rsidRDefault="006C2629" w:rsidP="00404092">
      <w:pPr>
        <w:spacing w:after="120"/>
      </w:pPr>
      <w:r>
        <w:t>This decision is consistent with the ACCC’s draft determination to accept NBN Co’s proposed values (and inputs to those values) for the ABBRR, RAB and ICRA. The ACCC’s draft determination concluded t</w:t>
      </w:r>
      <w:r w:rsidR="004338CE">
        <w:t xml:space="preserve">hat: </w:t>
      </w:r>
    </w:p>
    <w:p w:rsidR="001B216B" w:rsidRDefault="006C2629" w:rsidP="00490FDD">
      <w:pPr>
        <w:pStyle w:val="Bulletb"/>
      </w:pPr>
      <w:r>
        <w:t>NBN Co had incurred capital and operating expenditure in accordance with the rel</w:t>
      </w:r>
      <w:r w:rsidR="001B216B">
        <w:t xml:space="preserve">evant provisions of the SAU and </w:t>
      </w:r>
    </w:p>
    <w:p w:rsidR="006C2629" w:rsidRDefault="006C2629" w:rsidP="00490FDD">
      <w:pPr>
        <w:pStyle w:val="Bulletb"/>
      </w:pPr>
      <w:r>
        <w:t>NBN Co’s proposed LTRCM values had been calculated in accordance with Schedules 1D and 1E of the SAU.</w:t>
      </w:r>
    </w:p>
    <w:p w:rsidR="006C2629" w:rsidRDefault="006C2629" w:rsidP="006C2629">
      <w:pPr>
        <w:pStyle w:val="Bulletb"/>
        <w:numPr>
          <w:ilvl w:val="0"/>
          <w:numId w:val="0"/>
        </w:numPr>
      </w:pPr>
      <w:r>
        <w:t>Further details of the ACCC’s assessment are set out below.</w:t>
      </w:r>
    </w:p>
    <w:p w:rsidR="006C2629" w:rsidRDefault="006C2629" w:rsidP="00BE761F">
      <w:pPr>
        <w:pStyle w:val="HeadingLevel3"/>
      </w:pPr>
      <w:r>
        <w:t>ACCC assessment of NBN Co’s expenditure compliance</w:t>
      </w:r>
      <w:r w:rsidR="001B216B">
        <w:t xml:space="preserve"> </w:t>
      </w:r>
    </w:p>
    <w:p w:rsidR="006C2629" w:rsidRDefault="006C2629" w:rsidP="006C2629">
      <w:pPr>
        <w:widowControl w:val="0"/>
        <w:spacing w:before="120" w:after="120"/>
      </w:pPr>
      <w:r>
        <w:t xml:space="preserve">The SAU requires NBN Co to ensure that its expenditure complies with the relevant prudency conditions. NBN Co provided its expenditure compliance report signed by </w:t>
      </w:r>
      <w:r w:rsidR="00BB7BD0">
        <w:t>its</w:t>
      </w:r>
      <w:r>
        <w:t xml:space="preserve"> </w:t>
      </w:r>
      <w:proofErr w:type="gramStart"/>
      <w:r>
        <w:t>CFO,</w:t>
      </w:r>
      <w:proofErr w:type="gramEnd"/>
      <w:r>
        <w:t xml:space="preserve"> the PwC limited assurance reports (which </w:t>
      </w:r>
      <w:r w:rsidRPr="007A2081">
        <w:t>considered the design of controls applicable to capital expenditure and operating expenditure prudency</w:t>
      </w:r>
      <w:r>
        <w:t xml:space="preserve">) and a supporting submission to assist the ACCC in its determination.   </w:t>
      </w:r>
    </w:p>
    <w:p w:rsidR="006C2629" w:rsidRDefault="006C2629" w:rsidP="006C2629">
      <w:pPr>
        <w:widowControl w:val="0"/>
        <w:spacing w:before="120" w:after="120"/>
        <w:rPr>
          <w:szCs w:val="20"/>
        </w:rPr>
      </w:pPr>
      <w:r>
        <w:rPr>
          <w:szCs w:val="20"/>
        </w:rPr>
        <w:t>In forming its draft view on expenditure compliance, the ACCC considered whether:</w:t>
      </w:r>
    </w:p>
    <w:p w:rsidR="006C2629" w:rsidRDefault="006C2629" w:rsidP="006C2629">
      <w:pPr>
        <w:pStyle w:val="Bulleta"/>
        <w:spacing w:after="120"/>
        <w:ind w:left="714" w:hanging="357"/>
      </w:pPr>
      <w:r>
        <w:t>NBN Co ha</w:t>
      </w:r>
      <w:r w:rsidR="00D43DD2">
        <w:t>d</w:t>
      </w:r>
      <w:r>
        <w:t xml:space="preserve"> developed adequate procurement rules </w:t>
      </w:r>
    </w:p>
    <w:p w:rsidR="006C2629" w:rsidRDefault="006C2629" w:rsidP="006C2629">
      <w:pPr>
        <w:pStyle w:val="Bulleta"/>
        <w:spacing w:after="120"/>
        <w:ind w:left="714" w:hanging="357"/>
      </w:pPr>
      <w:r>
        <w:t xml:space="preserve">there </w:t>
      </w:r>
      <w:r w:rsidR="00D43DD2">
        <w:t xml:space="preserve">were </w:t>
      </w:r>
      <w:r>
        <w:t>processes and controls in place to support compliance with the prudency conditions in the SAU, and</w:t>
      </w:r>
    </w:p>
    <w:p w:rsidR="006C2629" w:rsidRPr="007109BC" w:rsidRDefault="006C2629" w:rsidP="006C2629">
      <w:pPr>
        <w:pStyle w:val="Bulleta"/>
        <w:spacing w:after="120"/>
        <w:ind w:left="714" w:hanging="357"/>
      </w:pPr>
      <w:proofErr w:type="gramStart"/>
      <w:r>
        <w:t>these</w:t>
      </w:r>
      <w:proofErr w:type="gramEnd"/>
      <w:r>
        <w:t xml:space="preserve"> processes and controls </w:t>
      </w:r>
      <w:r w:rsidR="00D43DD2">
        <w:t xml:space="preserve">were </w:t>
      </w:r>
      <w:r>
        <w:t>operating effectively.</w:t>
      </w:r>
      <w:r w:rsidR="00D43DD2">
        <w:t xml:space="preserve"> </w:t>
      </w:r>
    </w:p>
    <w:p w:rsidR="006C2629" w:rsidRDefault="006C2629" w:rsidP="006C2629">
      <w:pPr>
        <w:rPr>
          <w:szCs w:val="20"/>
        </w:rPr>
      </w:pPr>
      <w:r>
        <w:rPr>
          <w:szCs w:val="20"/>
        </w:rPr>
        <w:t xml:space="preserve">To assess the adequacy of NBN Co’s procurement rules, the ACCC </w:t>
      </w:r>
      <w:r w:rsidR="00D43DD2">
        <w:rPr>
          <w:szCs w:val="20"/>
        </w:rPr>
        <w:t>examined</w:t>
      </w:r>
      <w:r>
        <w:rPr>
          <w:szCs w:val="20"/>
        </w:rPr>
        <w:t xml:space="preserve"> NBN Co’s Procurement Manual and Buying Guide </w:t>
      </w:r>
      <w:r w:rsidR="00D43DD2">
        <w:rPr>
          <w:szCs w:val="20"/>
        </w:rPr>
        <w:t xml:space="preserve">to ensure it </w:t>
      </w:r>
      <w:r>
        <w:rPr>
          <w:szCs w:val="20"/>
        </w:rPr>
        <w:t>complie</w:t>
      </w:r>
      <w:r w:rsidR="00D43DD2">
        <w:rPr>
          <w:szCs w:val="20"/>
        </w:rPr>
        <w:t>d</w:t>
      </w:r>
      <w:r>
        <w:rPr>
          <w:szCs w:val="20"/>
        </w:rPr>
        <w:t xml:space="preserve"> with the re</w:t>
      </w:r>
      <w:r w:rsidR="000662C9">
        <w:rPr>
          <w:szCs w:val="20"/>
        </w:rPr>
        <w:t>levant requirements in the SAU.</w:t>
      </w:r>
      <w:r>
        <w:rPr>
          <w:szCs w:val="20"/>
        </w:rPr>
        <w:t xml:space="preserve"> The ACCC also considered NBN Co’s procu</w:t>
      </w:r>
      <w:r w:rsidR="000662C9">
        <w:rPr>
          <w:szCs w:val="20"/>
        </w:rPr>
        <w:t>rement rules compliance report. The ACCC’s final decision on</w:t>
      </w:r>
      <w:r>
        <w:rPr>
          <w:szCs w:val="20"/>
        </w:rPr>
        <w:t xml:space="preserve"> </w:t>
      </w:r>
      <w:r w:rsidR="000662C9">
        <w:rPr>
          <w:szCs w:val="20"/>
        </w:rPr>
        <w:t xml:space="preserve">NBN Co’s compliance with the procurement rules is discussed further below. </w:t>
      </w:r>
    </w:p>
    <w:p w:rsidR="006C2629" w:rsidRDefault="006C2629" w:rsidP="006C2629">
      <w:pPr>
        <w:rPr>
          <w:szCs w:val="20"/>
        </w:rPr>
      </w:pPr>
      <w:r>
        <w:rPr>
          <w:szCs w:val="20"/>
        </w:rPr>
        <w:t xml:space="preserve">To determine whether there </w:t>
      </w:r>
      <w:r w:rsidR="00D43DD2">
        <w:rPr>
          <w:szCs w:val="20"/>
        </w:rPr>
        <w:t>we</w:t>
      </w:r>
      <w:r w:rsidR="00BB7BD0">
        <w:rPr>
          <w:szCs w:val="20"/>
        </w:rPr>
        <w:t xml:space="preserve">re </w:t>
      </w:r>
      <w:r>
        <w:rPr>
          <w:szCs w:val="20"/>
        </w:rPr>
        <w:t xml:space="preserve">processes and controls in place to encourage compliance with the prudency conditions in the SAU, the ACCC relied on PwC’s independent assurance report regarding the design of controls applicable to capital expenditure and operating expenditure. As PwC provided an unqualified opinion, the ACCC </w:t>
      </w:r>
      <w:r w:rsidR="00BB7BD0">
        <w:rPr>
          <w:szCs w:val="20"/>
        </w:rPr>
        <w:t xml:space="preserve">was </w:t>
      </w:r>
      <w:r>
        <w:rPr>
          <w:szCs w:val="20"/>
        </w:rPr>
        <w:t>satisfied that NBN Co has processes and procedures in place that support compliance with the prudency conditions in the SAU.</w:t>
      </w:r>
      <w:r w:rsidR="00A06598">
        <w:rPr>
          <w:szCs w:val="20"/>
        </w:rPr>
        <w:t xml:space="preserve"> </w:t>
      </w:r>
      <w:r>
        <w:rPr>
          <w:szCs w:val="20"/>
        </w:rPr>
        <w:t xml:space="preserve">In assessing whether NBN Co had complied with these processes and procedures, the ACCC considered the additional information provided by NBN Co in its supporting submission regarding its internal audit work. </w:t>
      </w:r>
    </w:p>
    <w:p w:rsidR="00A06598" w:rsidRPr="002F12D5" w:rsidRDefault="00A06598" w:rsidP="00A06598">
      <w:pPr>
        <w:rPr>
          <w:szCs w:val="20"/>
        </w:rPr>
      </w:pPr>
      <w:r>
        <w:rPr>
          <w:szCs w:val="20"/>
        </w:rPr>
        <w:t xml:space="preserve">In addition, as part of the 2015-16 LTRCM process, the ACCC sought further information from NBN Co in relation to its procurement process. The information sought was intended to complement NBN Co’s procurement rules compliance report and assist the ACCC in forming the LTRCM determination for 2015-16. In particular, the ACCC sought information </w:t>
      </w:r>
      <w:r w:rsidR="00A21D1D">
        <w:rPr>
          <w:szCs w:val="20"/>
        </w:rPr>
        <w:t xml:space="preserve">from </w:t>
      </w:r>
      <w:r>
        <w:rPr>
          <w:szCs w:val="20"/>
        </w:rPr>
        <w:t xml:space="preserve">NBN Co on the following: </w:t>
      </w:r>
    </w:p>
    <w:p w:rsidR="00A06598" w:rsidRPr="00ED5614" w:rsidRDefault="00A06598" w:rsidP="00A06598">
      <w:pPr>
        <w:pStyle w:val="Bulleta"/>
        <w:spacing w:after="120"/>
        <w:ind w:left="714" w:hanging="357"/>
      </w:pPr>
      <w:r w:rsidRPr="00ED5614">
        <w:rPr>
          <w:i/>
        </w:rPr>
        <w:lastRenderedPageBreak/>
        <w:t xml:space="preserve">General information on NBN Co’s procurement activities – </w:t>
      </w:r>
      <w:r w:rsidRPr="00ED5614">
        <w:t xml:space="preserve">this includes statistical information on the nature, size and scope of NBN Co’s procurements.  </w:t>
      </w:r>
    </w:p>
    <w:p w:rsidR="00A06598" w:rsidRPr="00ED5614" w:rsidRDefault="00A06598" w:rsidP="00A06598">
      <w:pPr>
        <w:pStyle w:val="Bulleta"/>
        <w:spacing w:after="120"/>
        <w:ind w:left="714" w:hanging="357"/>
      </w:pPr>
      <w:r w:rsidRPr="00ED5614">
        <w:rPr>
          <w:i/>
        </w:rPr>
        <w:t>Case studies and examples of various types of procurements</w:t>
      </w:r>
      <w:r w:rsidRPr="00ED5614">
        <w:t xml:space="preserve">. The ACCC sought examples of various case studies which related to four different types of conforming contracts considered in the prudent cost condition, as set out in the SAU (competitive tendering and procurement, only one potential supplier, arm’s length transaction and exceptional circumstances). In particular, the ACCC sought information on how the prudent cost condition is </w:t>
      </w:r>
      <w:r w:rsidR="00A21D1D">
        <w:t xml:space="preserve">being </w:t>
      </w:r>
      <w:r w:rsidRPr="00ED5614">
        <w:t xml:space="preserve">considered in procurement decisions and reflected in the procurement guidelines. </w:t>
      </w:r>
    </w:p>
    <w:p w:rsidR="00A06598" w:rsidRPr="00896599" w:rsidRDefault="00A06598" w:rsidP="00A06598">
      <w:pPr>
        <w:pStyle w:val="Bulleta"/>
        <w:spacing w:after="120"/>
        <w:ind w:left="714" w:hanging="357"/>
      </w:pPr>
      <w:r w:rsidRPr="00896599">
        <w:rPr>
          <w:i/>
        </w:rPr>
        <w:t>Specific matters relating to NBN Co’s procurement guidelines</w:t>
      </w:r>
      <w:r w:rsidRPr="00896599">
        <w:t xml:space="preserve">. The ACCC sought additional information from NBN Co specific to its procurement guidelines. </w:t>
      </w:r>
    </w:p>
    <w:p w:rsidR="00A06598" w:rsidRDefault="00A06598" w:rsidP="00A06598">
      <w:pPr>
        <w:widowControl w:val="0"/>
        <w:spacing w:after="0"/>
        <w:rPr>
          <w:szCs w:val="20"/>
        </w:rPr>
      </w:pPr>
      <w:r>
        <w:rPr>
          <w:szCs w:val="20"/>
        </w:rPr>
        <w:br/>
      </w:r>
      <w:r w:rsidRPr="00CC756C">
        <w:rPr>
          <w:szCs w:val="20"/>
        </w:rPr>
        <w:t xml:space="preserve">NBN Co provided </w:t>
      </w:r>
      <w:r w:rsidR="001675C0">
        <w:rPr>
          <w:szCs w:val="20"/>
        </w:rPr>
        <w:t xml:space="preserve">the </w:t>
      </w:r>
      <w:r w:rsidRPr="00CC756C">
        <w:rPr>
          <w:szCs w:val="20"/>
        </w:rPr>
        <w:t>additional information to the ACCC in response to the information request, including through a procurement briefing by NBN Co’s procurement team to the ACCC. Following its review of the</w:t>
      </w:r>
      <w:r w:rsidR="004923BC">
        <w:rPr>
          <w:szCs w:val="20"/>
        </w:rPr>
        <w:t xml:space="preserve"> material </w:t>
      </w:r>
      <w:r w:rsidR="00A21D1D">
        <w:rPr>
          <w:szCs w:val="20"/>
        </w:rPr>
        <w:t>from NBN Co</w:t>
      </w:r>
      <w:r w:rsidR="004923BC">
        <w:rPr>
          <w:szCs w:val="20"/>
        </w:rPr>
        <w:t xml:space="preserve">, the ACCC was </w:t>
      </w:r>
      <w:r w:rsidRPr="00CC756C">
        <w:rPr>
          <w:szCs w:val="20"/>
        </w:rPr>
        <w:t xml:space="preserve">satisfied that NBN Co has appropriate procedures and processes in place to ensure that its expenditures are in accordance with the prudency conditions set out in the SAU. </w:t>
      </w:r>
    </w:p>
    <w:p w:rsidR="00A06598" w:rsidRDefault="00A06598" w:rsidP="00A06598">
      <w:pPr>
        <w:widowControl w:val="0"/>
        <w:spacing w:after="0"/>
        <w:rPr>
          <w:szCs w:val="20"/>
        </w:rPr>
      </w:pPr>
    </w:p>
    <w:p w:rsidR="006C2629" w:rsidRDefault="006C2629" w:rsidP="00A06598">
      <w:pPr>
        <w:widowControl w:val="0"/>
        <w:spacing w:after="0"/>
      </w:pPr>
      <w:r>
        <w:t xml:space="preserve">The ACCC did not receive any submissions in relation to NBN Co’s expenditure compliance and therefore confirms its draft decision that NBN Co’s expenditure complies with the relevant prudency conditions set out in Schedule 1D of the SAU. </w:t>
      </w:r>
    </w:p>
    <w:p w:rsidR="00A06598" w:rsidRPr="00A06598" w:rsidRDefault="00A06598" w:rsidP="00A06598">
      <w:pPr>
        <w:widowControl w:val="0"/>
        <w:spacing w:after="0"/>
        <w:rPr>
          <w:szCs w:val="20"/>
        </w:rPr>
      </w:pPr>
    </w:p>
    <w:p w:rsidR="006C2629" w:rsidRPr="00AB6963" w:rsidRDefault="006C2629" w:rsidP="00BE761F">
      <w:pPr>
        <w:pStyle w:val="HeadingLevel3"/>
      </w:pPr>
      <w:r w:rsidRPr="00AB6963">
        <w:t xml:space="preserve">ACCC </w:t>
      </w:r>
      <w:r>
        <w:t>assessment of</w:t>
      </w:r>
      <w:r w:rsidRPr="00AB6963">
        <w:t xml:space="preserve"> NBN Co’s compliance with </w:t>
      </w:r>
      <w:r>
        <w:t xml:space="preserve">the </w:t>
      </w:r>
      <w:r w:rsidRPr="00AB6963">
        <w:t>procurement requirements</w:t>
      </w:r>
      <w:r w:rsidR="00BC4A4E">
        <w:t xml:space="preserve"> </w:t>
      </w:r>
    </w:p>
    <w:p w:rsidR="006C2629" w:rsidRDefault="006C2629" w:rsidP="006C2629">
      <w:r>
        <w:t xml:space="preserve">The SAU requires NBN Co to </w:t>
      </w:r>
      <w:r w:rsidR="00175B55">
        <w:t xml:space="preserve">develop and maintain </w:t>
      </w:r>
      <w:r>
        <w:t xml:space="preserve">procurement rules to establish procurement processes that, in broad terms, generate an efficient and competitive outcome and reflect good industry practice. NBN Co must also provide a copy of its procurement rules within 30 days after NBN Co makes any material changes to the procurement rules.   </w:t>
      </w:r>
    </w:p>
    <w:p w:rsidR="00265A1A" w:rsidRDefault="00D71B65" w:rsidP="006C2629">
      <w:r>
        <w:t xml:space="preserve">To </w:t>
      </w:r>
      <w:r w:rsidR="00F171E9">
        <w:t>assess</w:t>
      </w:r>
      <w:r w:rsidR="009A35FE">
        <w:t xml:space="preserve"> NBN Co’s </w:t>
      </w:r>
      <w:r w:rsidR="00175B55">
        <w:t>compliance with the procurement requirements, the ACCC considered NBN Co’s P</w:t>
      </w:r>
      <w:r w:rsidR="009A35FE">
        <w:t xml:space="preserve">rocurement </w:t>
      </w:r>
      <w:r w:rsidR="00175B55">
        <w:t>R</w:t>
      </w:r>
      <w:r w:rsidR="009A35FE">
        <w:t xml:space="preserve">ules </w:t>
      </w:r>
      <w:r w:rsidR="00175B55">
        <w:t>C</w:t>
      </w:r>
      <w:r w:rsidR="009A35FE">
        <w:t xml:space="preserve">ompliance </w:t>
      </w:r>
      <w:r w:rsidR="00175B55">
        <w:t>R</w:t>
      </w:r>
      <w:r w:rsidR="009A35FE">
        <w:t>eport</w:t>
      </w:r>
      <w:r w:rsidR="00175B55">
        <w:t xml:space="preserve"> and other</w:t>
      </w:r>
      <w:r w:rsidR="009A35FE">
        <w:t xml:space="preserve"> </w:t>
      </w:r>
      <w:r w:rsidR="00AE52A5">
        <w:t xml:space="preserve">relevant </w:t>
      </w:r>
      <w:r w:rsidR="009A35FE">
        <w:t>materials</w:t>
      </w:r>
      <w:r w:rsidR="007249F3">
        <w:t>,</w:t>
      </w:r>
      <w:r w:rsidR="009A35FE">
        <w:t xml:space="preserve"> </w:t>
      </w:r>
      <w:r w:rsidR="00AE52A5">
        <w:t xml:space="preserve">including </w:t>
      </w:r>
      <w:r w:rsidR="009A35FE">
        <w:t>the CFO’s certification</w:t>
      </w:r>
      <w:r w:rsidR="00175B55">
        <w:t xml:space="preserve">. </w:t>
      </w:r>
      <w:r w:rsidR="00074DAF">
        <w:t>The ACC</w:t>
      </w:r>
      <w:r w:rsidR="00175B55">
        <w:t xml:space="preserve">C also </w:t>
      </w:r>
      <w:r w:rsidR="00074DAF">
        <w:t>noted that t</w:t>
      </w:r>
      <w:r w:rsidR="00CC5F87">
        <w:t xml:space="preserve">he </w:t>
      </w:r>
      <w:r w:rsidR="004338CE">
        <w:t xml:space="preserve">CFO’s </w:t>
      </w:r>
      <w:r w:rsidR="00175B55">
        <w:t xml:space="preserve">certification was informed by a range of investigations particularly in respect of </w:t>
      </w:r>
      <w:r w:rsidR="00CC5F87">
        <w:t xml:space="preserve">whether NBN Co had informed the ACCC </w:t>
      </w:r>
      <w:r w:rsidR="001C0A8A">
        <w:t>of any material changes to its procurement r</w:t>
      </w:r>
      <w:r w:rsidR="00CC5F87">
        <w:t>ules within the timeframe</w:t>
      </w:r>
      <w:r w:rsidR="004338CE">
        <w:t xml:space="preserve"> as</w:t>
      </w:r>
      <w:r w:rsidR="00CC5F87">
        <w:t xml:space="preserve"> required under clause 1D.5.2 of the SAU. </w:t>
      </w:r>
      <w:r w:rsidR="00175B55">
        <w:t xml:space="preserve">The ACCC considered that NBN Co provided the </w:t>
      </w:r>
      <w:r w:rsidR="00277469">
        <w:t>ACCC with amendments to its procurement guidelines within the timeframe stipulated in the SAU</w:t>
      </w:r>
      <w:r w:rsidR="006734CB">
        <w:t xml:space="preserve">, and that the amendments met the procurement </w:t>
      </w:r>
      <w:r w:rsidR="009412C0">
        <w:t xml:space="preserve">rules </w:t>
      </w:r>
      <w:r w:rsidR="006734CB">
        <w:t>set out under clause 1D.5.1.</w:t>
      </w:r>
      <w:r w:rsidR="009412C0">
        <w:t>of the SAU</w:t>
      </w:r>
    </w:p>
    <w:p w:rsidR="005755DE" w:rsidRDefault="00796E07" w:rsidP="00CE6D00">
      <w:pPr>
        <w:spacing w:before="100" w:beforeAutospacing="1" w:after="100" w:afterAutospacing="1"/>
      </w:pPr>
      <w:r>
        <w:t>In making its draft determination, t</w:t>
      </w:r>
      <w:r w:rsidR="00CE6D00">
        <w:t>he</w:t>
      </w:r>
      <w:r w:rsidR="00862AF2">
        <w:t xml:space="preserve"> ACCC considered the documents </w:t>
      </w:r>
      <w:r>
        <w:t xml:space="preserve">and </w:t>
      </w:r>
      <w:r w:rsidR="002F12D5">
        <w:t xml:space="preserve">the additional information </w:t>
      </w:r>
      <w:r>
        <w:t xml:space="preserve">provided by NBN Co </w:t>
      </w:r>
      <w:r w:rsidR="002F12D5">
        <w:t xml:space="preserve">in relation to </w:t>
      </w:r>
      <w:r>
        <w:t xml:space="preserve">its </w:t>
      </w:r>
      <w:r w:rsidR="002F12D5">
        <w:t>procurement processes</w:t>
      </w:r>
      <w:r>
        <w:t>. The ACCC</w:t>
      </w:r>
      <w:r w:rsidR="004E086F">
        <w:t xml:space="preserve">’s </w:t>
      </w:r>
      <w:r w:rsidR="006C2629">
        <w:t>preliminary view</w:t>
      </w:r>
      <w:r w:rsidR="004E086F">
        <w:t xml:space="preserve"> was</w:t>
      </w:r>
      <w:r w:rsidR="006C2629">
        <w:t xml:space="preserve"> that the procurement rules compliance report </w:t>
      </w:r>
      <w:r w:rsidR="006734CB">
        <w:t xml:space="preserve">indicated that NBN Co has complied with </w:t>
      </w:r>
      <w:r w:rsidR="006C2629">
        <w:t xml:space="preserve">the </w:t>
      </w:r>
      <w:r w:rsidR="006734CB">
        <w:t xml:space="preserve">procurement </w:t>
      </w:r>
      <w:r w:rsidR="006C2629">
        <w:t>requirements</w:t>
      </w:r>
      <w:r w:rsidR="006734CB">
        <w:t xml:space="preserve"> in the SAU</w:t>
      </w:r>
      <w:r w:rsidR="006C2629">
        <w:t>.</w:t>
      </w:r>
      <w:r w:rsidR="006C2629" w:rsidRPr="00D75748">
        <w:t xml:space="preserve"> </w:t>
      </w:r>
      <w:r w:rsidR="006C2629">
        <w:t xml:space="preserve">The ACCC did not receive any submissions in relation to NBN Co’s compliance with the procurement requirements and therefore confirms its draft decision that </w:t>
      </w:r>
      <w:r w:rsidR="006734CB">
        <w:t xml:space="preserve">NBN Co has met </w:t>
      </w:r>
      <w:r w:rsidR="009412C0">
        <w:t>its</w:t>
      </w:r>
      <w:r w:rsidR="006734CB">
        <w:t xml:space="preserve"> procurement obligations under clauses </w:t>
      </w:r>
      <w:proofErr w:type="gramStart"/>
      <w:r w:rsidR="006734CB">
        <w:t>1F.2.3.,</w:t>
      </w:r>
      <w:proofErr w:type="gramEnd"/>
      <w:r w:rsidR="006734CB">
        <w:t xml:space="preserve"> 1D.5.1 and 1D.5.2   </w:t>
      </w:r>
      <w:r w:rsidR="006C2629">
        <w:t>of the SAU.</w:t>
      </w:r>
    </w:p>
    <w:p w:rsidR="006C2629" w:rsidRPr="00B75B4D" w:rsidRDefault="006C2629" w:rsidP="00BE761F">
      <w:pPr>
        <w:pStyle w:val="HeadingLevel3"/>
      </w:pPr>
      <w:r w:rsidRPr="00B75B4D">
        <w:t xml:space="preserve">ACCC </w:t>
      </w:r>
      <w:r>
        <w:t>assessment of</w:t>
      </w:r>
      <w:r w:rsidRPr="00B75B4D">
        <w:t xml:space="preserve"> financial information</w:t>
      </w:r>
      <w:r w:rsidR="00562F35">
        <w:t xml:space="preserve"> </w:t>
      </w:r>
    </w:p>
    <w:p w:rsidR="004C1896" w:rsidRDefault="006C2629" w:rsidP="006C2629">
      <w:r>
        <w:rPr>
          <w:szCs w:val="20"/>
        </w:rPr>
        <w:t>The ACCC is required to ascertain whether NBN Co’s proposed LTRCM values had been calculated in accordance with Schedu</w:t>
      </w:r>
      <w:r w:rsidR="000E694B">
        <w:rPr>
          <w:szCs w:val="20"/>
        </w:rPr>
        <w:t xml:space="preserve">le 1D and Schedule 1E of the SAU. </w:t>
      </w:r>
      <w:r w:rsidR="00DB0638">
        <w:t>A</w:t>
      </w:r>
      <w:r>
        <w:t>s required under the SAU, NBN Co provided the ACCC with its Actual Financial Information and Propose</w:t>
      </w:r>
      <w:r w:rsidR="00193D9B">
        <w:t>d Financial Information for 2015-16</w:t>
      </w:r>
      <w:r>
        <w:t xml:space="preserve">. </w:t>
      </w:r>
    </w:p>
    <w:p w:rsidR="006C2629" w:rsidRPr="00CB0A0F" w:rsidRDefault="006C2629" w:rsidP="006C2629">
      <w:pPr>
        <w:rPr>
          <w:vanish/>
          <w:szCs w:val="20"/>
        </w:rPr>
      </w:pPr>
      <w:r>
        <w:t xml:space="preserve">In addition, </w:t>
      </w:r>
      <w:r w:rsidRPr="00914576">
        <w:t>NBN Co provided the ACCC with an LTRCM</w:t>
      </w:r>
      <w:r>
        <w:t xml:space="preserve"> spreadsheet</w:t>
      </w:r>
      <w:r w:rsidRPr="00914576">
        <w:t xml:space="preserve"> which set out in detail the step-by-step calculations of </w:t>
      </w:r>
      <w:r>
        <w:t xml:space="preserve">its </w:t>
      </w:r>
      <w:r w:rsidRPr="00914576">
        <w:t>proposed RAB, ABBRR and ICRA values</w:t>
      </w:r>
      <w:r>
        <w:t>. NBN Co also engaged PwC to conduct an audit of its financial information and</w:t>
      </w:r>
      <w:r w:rsidRPr="00914576">
        <w:t xml:space="preserve"> to </w:t>
      </w:r>
      <w:r w:rsidR="00F70209">
        <w:t>ensure</w:t>
      </w:r>
      <w:r w:rsidR="00F70209" w:rsidRPr="00914576">
        <w:t xml:space="preserve"> </w:t>
      </w:r>
      <w:r w:rsidRPr="00914576">
        <w:t xml:space="preserve">that the input values in the spreadsheet were correctly extracted from the relevant financial statements and that the LTRCM calculations were undertaken in accordance with the SAU formulas. </w:t>
      </w:r>
    </w:p>
    <w:p w:rsidR="00517725" w:rsidRDefault="006C2629" w:rsidP="006C2629">
      <w:r>
        <w:rPr>
          <w:szCs w:val="20"/>
        </w:rPr>
        <w:lastRenderedPageBreak/>
        <w:t xml:space="preserve">In making its draft decision, the ACCC </w:t>
      </w:r>
      <w:r w:rsidR="005869C8">
        <w:rPr>
          <w:szCs w:val="20"/>
        </w:rPr>
        <w:t xml:space="preserve">reviewed </w:t>
      </w:r>
      <w:r>
        <w:rPr>
          <w:szCs w:val="20"/>
        </w:rPr>
        <w:t xml:space="preserve">the calculations NBN Co submitted in its LTRCM spreadsheet and </w:t>
      </w:r>
      <w:r w:rsidR="005869C8">
        <w:rPr>
          <w:szCs w:val="20"/>
        </w:rPr>
        <w:t xml:space="preserve">confirmed </w:t>
      </w:r>
      <w:r>
        <w:rPr>
          <w:szCs w:val="20"/>
        </w:rPr>
        <w:t xml:space="preserve">that the formulas used in the spreadsheet were as set out in Schedule 1E of the SAU. The ACCC’s draft decision was </w:t>
      </w:r>
      <w:r>
        <w:t xml:space="preserve">to accept </w:t>
      </w:r>
      <w:r w:rsidR="00CB0A0F">
        <w:t>NBN Co’s LTRCM proposal for 2015-16</w:t>
      </w:r>
      <w:r>
        <w:t xml:space="preserve"> without modification.</w:t>
      </w:r>
      <w:r w:rsidRPr="00D75748">
        <w:t xml:space="preserve"> </w:t>
      </w:r>
      <w:r>
        <w:t>The ACCC did not receive any submissions regarding NBN Co’s financial information</w:t>
      </w:r>
      <w:r w:rsidR="00517725">
        <w:t>.</w:t>
      </w:r>
    </w:p>
    <w:p w:rsidR="006C2629" w:rsidRDefault="00EC5A18" w:rsidP="006C2629">
      <w:pPr>
        <w:rPr>
          <w:szCs w:val="20"/>
        </w:rPr>
      </w:pPr>
      <w:r>
        <w:t xml:space="preserve">For the reasons outlined above and set out in more detail in the draft determination published in April 2017, the </w:t>
      </w:r>
      <w:r w:rsidR="00517725">
        <w:t xml:space="preserve">ACCC </w:t>
      </w:r>
      <w:r w:rsidR="005869C8">
        <w:t>m</w:t>
      </w:r>
      <w:r w:rsidR="00517725">
        <w:t>aintains</w:t>
      </w:r>
      <w:r w:rsidR="004923BC">
        <w:t xml:space="preserve"> the </w:t>
      </w:r>
      <w:r w:rsidR="006C2629">
        <w:t>view that NBN Co’s proposed values for the ABBRR, RAB and ICRA should be accepted without modification</w:t>
      </w:r>
      <w:r>
        <w:t>.</w:t>
      </w:r>
    </w:p>
    <w:p w:rsidR="006C2629" w:rsidRPr="00BF63C9" w:rsidRDefault="006C2629" w:rsidP="00BE761F">
      <w:pPr>
        <w:pStyle w:val="HeadingLevel2"/>
      </w:pPr>
      <w:bookmarkStart w:id="14" w:name="_Toc483563149"/>
      <w:r w:rsidRPr="00BF63C9">
        <w:t>Price compliance reporting</w:t>
      </w:r>
      <w:bookmarkEnd w:id="14"/>
    </w:p>
    <w:p w:rsidR="00D53BCF" w:rsidRDefault="006C2629" w:rsidP="00D53BCF">
      <w:pPr>
        <w:spacing w:after="120"/>
      </w:pPr>
      <w:r w:rsidRPr="008F44DC">
        <w:t xml:space="preserve">Under Schedule 1F of the SAU, NBN Co is required to submit certain price compliance information to the ACCC, to demonstrate that it has not exceeded the maximum regulated prices set by Schedule 1C </w:t>
      </w:r>
      <w:r>
        <w:t xml:space="preserve">(the pricing schedule) </w:t>
      </w:r>
      <w:r w:rsidRPr="008F44DC">
        <w:t>of the SAU</w:t>
      </w:r>
      <w:r>
        <w:t xml:space="preserve">. </w:t>
      </w:r>
    </w:p>
    <w:p w:rsidR="00D53BCF" w:rsidRDefault="006C2629" w:rsidP="00D53BCF">
      <w:pPr>
        <w:spacing w:after="120"/>
      </w:pPr>
      <w:r>
        <w:t>The ACCC’s draft view on price compliance w</w:t>
      </w:r>
      <w:r w:rsidR="000F54E5">
        <w:t xml:space="preserve">as that NBN Co’s prices for 2015-16 </w:t>
      </w:r>
      <w:r>
        <w:t>did not exceed the maximum regulated prices applicable at the relevant point in time</w:t>
      </w:r>
      <w:r w:rsidR="00AD051B">
        <w:t xml:space="preserve">. </w:t>
      </w:r>
      <w:r w:rsidR="004722C4">
        <w:t>In assessing whether NBN Co ha</w:t>
      </w:r>
      <w:r w:rsidR="00DB0638">
        <w:t>d</w:t>
      </w:r>
      <w:r w:rsidR="004722C4">
        <w:t xml:space="preserve"> complied with the </w:t>
      </w:r>
      <w:r w:rsidR="00D60AF6">
        <w:t>price compliance requirements</w:t>
      </w:r>
      <w:r w:rsidR="004722C4">
        <w:t>, t</w:t>
      </w:r>
      <w:r w:rsidR="00AD051B">
        <w:t>he ACCC</w:t>
      </w:r>
      <w:r w:rsidR="003118B0">
        <w:t xml:space="preserve"> </w:t>
      </w:r>
      <w:r w:rsidR="00D53BCF">
        <w:t xml:space="preserve">has had regard to </w:t>
      </w:r>
      <w:r>
        <w:t xml:space="preserve">NBN Co’s price compliance report, which </w:t>
      </w:r>
      <w:r w:rsidR="00D60AF6">
        <w:t>provided</w:t>
      </w:r>
      <w:r>
        <w:t xml:space="preserve"> assurance that NBN Co ha</w:t>
      </w:r>
      <w:r w:rsidR="00D60AF6">
        <w:t>d</w:t>
      </w:r>
      <w:r>
        <w:t xml:space="preserve"> key control procedures in place to ensure that the prices for NBN Offers and Other Charges did not exceed the applicable maximum regulatory price during the year</w:t>
      </w:r>
      <w:r w:rsidR="00D53BCF">
        <w:t>. The ACCC has also had regard to PwC’s limited assurance review of NBN Co’s price controls, which provided an independent assurance that NBN Co had procedures in place to ensure that its prices did not exceed the maximum regulated prices in the SAU. The ACCC also analysed</w:t>
      </w:r>
      <w:r>
        <w:t xml:space="preserve"> NBN Co’</w:t>
      </w:r>
      <w:r w:rsidR="00D53BCF">
        <w:t xml:space="preserve">s price compliance spreadsheet and </w:t>
      </w:r>
      <w:r>
        <w:t>did not identify any instances where the listed prices exceed</w:t>
      </w:r>
      <w:r w:rsidR="00D60AF6">
        <w:t>ed</w:t>
      </w:r>
      <w:r>
        <w:t xml:space="preserve"> the applicable maximum regulated price</w:t>
      </w:r>
      <w:r w:rsidR="00D53BCF">
        <w:t>.</w:t>
      </w:r>
    </w:p>
    <w:p w:rsidR="007165C5" w:rsidRDefault="006A5270" w:rsidP="006C2629">
      <w:r>
        <w:t xml:space="preserve">The ACCC found that there were some prices listed for the NBN Satellite Network that were higher than the maximum regulated prices initially specified in the SAU. However, the ACCC </w:t>
      </w:r>
      <w:r w:rsidR="00D60AF6">
        <w:t xml:space="preserve">was </w:t>
      </w:r>
      <w:r>
        <w:t>satisfied that NBN Co provided notification of these price changes</w:t>
      </w:r>
      <w:r w:rsidR="00632C01">
        <w:t xml:space="preserve"> to the ACCC</w:t>
      </w:r>
      <w:r w:rsidR="00632C01" w:rsidRPr="00632C01">
        <w:t xml:space="preserve"> </w:t>
      </w:r>
      <w:r w:rsidR="00632C01">
        <w:t xml:space="preserve">in May 2015 </w:t>
      </w:r>
      <w:r w:rsidR="00F057C7">
        <w:t>(</w:t>
      </w:r>
      <w:r w:rsidR="00632C01">
        <w:t>as required by the SAU</w:t>
      </w:r>
      <w:r w:rsidR="00F057C7">
        <w:t>)</w:t>
      </w:r>
      <w:r>
        <w:t xml:space="preserve"> with the </w:t>
      </w:r>
      <w:bookmarkStart w:id="15" w:name="_GoBack"/>
      <w:bookmarkEnd w:id="15"/>
      <w:r>
        <w:t xml:space="preserve">new prices </w:t>
      </w:r>
      <w:r w:rsidR="00D60AF6">
        <w:t xml:space="preserve">having come </w:t>
      </w:r>
      <w:r>
        <w:t xml:space="preserve">into effect in April 2016. </w:t>
      </w:r>
    </w:p>
    <w:p w:rsidR="006C2629" w:rsidRDefault="006C2629" w:rsidP="006C2629">
      <w:r w:rsidRPr="005F3C4B">
        <w:t xml:space="preserve">The ACCC </w:t>
      </w:r>
      <w:r w:rsidR="007165C5">
        <w:t xml:space="preserve">also </w:t>
      </w:r>
      <w:r w:rsidRPr="005F3C4B">
        <w:t>found</w:t>
      </w:r>
      <w:r w:rsidR="00EF329E">
        <w:t xml:space="preserve"> that</w:t>
      </w:r>
      <w:r w:rsidRPr="005F3C4B">
        <w:t xml:space="preserve"> some prices listed in the spreadsheet</w:t>
      </w:r>
      <w:r w:rsidR="00D60AF6">
        <w:t xml:space="preserve"> </w:t>
      </w:r>
      <w:r w:rsidRPr="005F3C4B">
        <w:t>were for new products. These new products d</w:t>
      </w:r>
      <w:r w:rsidR="00D60AF6">
        <w:t>id</w:t>
      </w:r>
      <w:r w:rsidRPr="005F3C4B">
        <w:t xml:space="preserve"> not have a price specified in the </w:t>
      </w:r>
      <w:proofErr w:type="gramStart"/>
      <w:r w:rsidRPr="005F3C4B">
        <w:t>SAU,</w:t>
      </w:r>
      <w:proofErr w:type="gramEnd"/>
      <w:r w:rsidRPr="005F3C4B">
        <w:t xml:space="preserve"> however, the ACCC recognised </w:t>
      </w:r>
      <w:r w:rsidR="001B216B">
        <w:t xml:space="preserve">NBN Co’s </w:t>
      </w:r>
      <w:r w:rsidRPr="005F3C4B">
        <w:t>ability to determine prices for new products</w:t>
      </w:r>
      <w:r>
        <w:t xml:space="preserve">. </w:t>
      </w:r>
      <w:r w:rsidR="007165C5">
        <w:t xml:space="preserve">If it considers </w:t>
      </w:r>
      <w:r w:rsidR="00D60AF6">
        <w:t xml:space="preserve">it </w:t>
      </w:r>
      <w:r w:rsidR="007165C5">
        <w:t xml:space="preserve">appropriate, the ACCC </w:t>
      </w:r>
      <w:r w:rsidR="00EF329E">
        <w:t xml:space="preserve">is able to </w:t>
      </w:r>
      <w:r w:rsidR="007165C5">
        <w:t>initiate a price review</w:t>
      </w:r>
      <w:r w:rsidR="002147C4">
        <w:t xml:space="preserve"> under subclause 1G.3.1</w:t>
      </w:r>
      <w:r w:rsidR="007165C5">
        <w:t xml:space="preserve"> to ensure that new prices </w:t>
      </w:r>
      <w:r w:rsidR="00D60AF6">
        <w:t xml:space="preserve">set </w:t>
      </w:r>
      <w:r w:rsidR="00DB0638">
        <w:t xml:space="preserve">by NBN Co </w:t>
      </w:r>
      <w:r w:rsidR="007165C5">
        <w:t xml:space="preserve">promote competition and encourage the efficient use of infrastructure. </w:t>
      </w:r>
    </w:p>
    <w:p w:rsidR="006C2629" w:rsidRDefault="006C2629" w:rsidP="006C2629">
      <w:r>
        <w:t>The ACCC did not receive any submissions in relation to NBN Co’s price compliance</w:t>
      </w:r>
      <w:r w:rsidR="00A20001">
        <w:t xml:space="preserve">. The ACCC </w:t>
      </w:r>
      <w:r w:rsidR="002147C4">
        <w:t xml:space="preserve">confirms it is satisfied </w:t>
      </w:r>
      <w:r>
        <w:t xml:space="preserve">that NBN Co’s prices for </w:t>
      </w:r>
      <w:r w:rsidR="000F54E5">
        <w:t xml:space="preserve">2015-16 </w:t>
      </w:r>
      <w:r>
        <w:t>did not exceed the maximum</w:t>
      </w:r>
      <w:r w:rsidR="00AE0361">
        <w:t xml:space="preserve"> regulated prices applicable </w:t>
      </w:r>
      <w:r>
        <w:t xml:space="preserve">in accordance with Schedule 1C of the SAU. </w:t>
      </w:r>
      <w:r w:rsidR="000F54E5">
        <w:t xml:space="preserve"> </w:t>
      </w:r>
    </w:p>
    <w:p w:rsidR="006C2629" w:rsidRPr="006C2629" w:rsidRDefault="006C2629" w:rsidP="006C2629"/>
    <w:p w:rsidR="00325BBB" w:rsidRDefault="00325BBB" w:rsidP="00325BBB">
      <w:pPr>
        <w:pStyle w:val="HeadingLevel1"/>
      </w:pPr>
      <w:bookmarkStart w:id="16" w:name="_Toc483563150"/>
      <w:r>
        <w:lastRenderedPageBreak/>
        <w:t>ACCC 2015-16 LTRCM final determination</w:t>
      </w:r>
      <w:bookmarkEnd w:id="5"/>
      <w:r>
        <w:t xml:space="preserve"> and price compliance assessment</w:t>
      </w:r>
      <w:bookmarkEnd w:id="16"/>
    </w:p>
    <w:p w:rsidR="00243B4D" w:rsidRDefault="00243B4D" w:rsidP="00325BBB">
      <w:r>
        <w:t xml:space="preserve">In accordance with clause 1E.1.2 of the SAU, the ACCC has determined the values set out in table 4.1 below for the ACCC’s LTRCM determination for 2015-16. </w:t>
      </w:r>
      <w:r w:rsidR="00C20C4B">
        <w:t xml:space="preserve"> These values have been derived from the regulatory information provided by NBN Co under Schedule 1F.</w:t>
      </w:r>
    </w:p>
    <w:p w:rsidR="00243B4D" w:rsidRDefault="00243B4D" w:rsidP="00325BBB">
      <w:r>
        <w:t xml:space="preserve">The ACCC is also satisfied that NBN Co’s prices for 2015-16 did not exceed the maximum regulated prices applicable at the relevant point in time in accordance with schedule 1C of the SAU. </w:t>
      </w:r>
    </w:p>
    <w:p w:rsidR="00325BBB" w:rsidRDefault="001C6F8F" w:rsidP="00BE761F">
      <w:pPr>
        <w:pStyle w:val="HeadingLevel8table"/>
        <w:numPr>
          <w:ilvl w:val="0"/>
          <w:numId w:val="0"/>
        </w:numPr>
      </w:pPr>
      <w:r>
        <w:t>Table 4</w:t>
      </w:r>
      <w:r w:rsidR="00325BBB">
        <w:t>.1:  2015–16 LTRCM Draft Determination</w:t>
      </w:r>
      <w:r>
        <w:rPr>
          <w:rStyle w:val="FootnoteReference"/>
        </w:rPr>
        <w:footnoteReference w:id="15"/>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Pr>
      <w:tblGrid>
        <w:gridCol w:w="6819"/>
        <w:gridCol w:w="1276"/>
      </w:tblGrid>
      <w:tr w:rsidR="00325BBB" w:rsidRPr="00020459" w:rsidTr="00A865E0">
        <w:trPr>
          <w:trHeight w:val="315"/>
        </w:trPr>
        <w:tc>
          <w:tcPr>
            <w:tcW w:w="6819" w:type="dxa"/>
            <w:shd w:val="clear" w:color="000000" w:fill="BFBFBF" w:themeFill="background1" w:themeFillShade="BF"/>
            <w:noWrap/>
            <w:vAlign w:val="center"/>
            <w:hideMark/>
          </w:tcPr>
          <w:p w:rsidR="00325BBB" w:rsidRPr="00020459" w:rsidRDefault="00325BBB" w:rsidP="00A865E0">
            <w:pPr>
              <w:keepNext/>
              <w:spacing w:after="0"/>
              <w:rPr>
                <w:rFonts w:cs="Arial"/>
                <w:b/>
                <w:bCs/>
              </w:rPr>
            </w:pPr>
            <w:r w:rsidRPr="00020459">
              <w:rPr>
                <w:rFonts w:cs="Arial"/>
                <w:b/>
                <w:bCs/>
              </w:rPr>
              <w:t>Year </w:t>
            </w:r>
          </w:p>
        </w:tc>
        <w:tc>
          <w:tcPr>
            <w:tcW w:w="1276" w:type="dxa"/>
            <w:shd w:val="clear" w:color="000000" w:fill="BFBFBF" w:themeFill="background1" w:themeFillShade="BF"/>
            <w:noWrap/>
            <w:vAlign w:val="center"/>
          </w:tcPr>
          <w:p w:rsidR="00325BBB" w:rsidRPr="00020459" w:rsidRDefault="00325BBB" w:rsidP="00A865E0">
            <w:pPr>
              <w:keepNext/>
              <w:spacing w:after="0"/>
              <w:jc w:val="right"/>
              <w:rPr>
                <w:rFonts w:cs="Arial"/>
                <w:b/>
                <w:bCs/>
              </w:rPr>
            </w:pPr>
            <w:r>
              <w:rPr>
                <w:rFonts w:cs="Arial"/>
                <w:b/>
                <w:bCs/>
              </w:rPr>
              <w:t>2015-16</w:t>
            </w:r>
          </w:p>
        </w:tc>
      </w:tr>
      <w:tr w:rsidR="00325BBB" w:rsidRPr="0054655E" w:rsidTr="00A865E0">
        <w:trPr>
          <w:trHeight w:val="240"/>
        </w:trPr>
        <w:tc>
          <w:tcPr>
            <w:tcW w:w="8095" w:type="dxa"/>
            <w:gridSpan w:val="2"/>
            <w:shd w:val="clear" w:color="auto" w:fill="D9D9D9" w:themeFill="background1" w:themeFillShade="D9"/>
            <w:noWrap/>
            <w:vAlign w:val="center"/>
          </w:tcPr>
          <w:p w:rsidR="00325BBB" w:rsidRPr="0054655E" w:rsidRDefault="00325BBB" w:rsidP="00A865E0">
            <w:pPr>
              <w:keepNext/>
              <w:spacing w:after="0"/>
              <w:jc w:val="both"/>
              <w:rPr>
                <w:rFonts w:cs="Arial"/>
                <w:b/>
                <w:bCs/>
              </w:rPr>
            </w:pPr>
            <w:r w:rsidRPr="0054655E">
              <w:rPr>
                <w:rFonts w:cs="Arial"/>
                <w:b/>
                <w:bCs/>
              </w:rPr>
              <w:t>CPI and Cumulative Inflation Factor</w:t>
            </w:r>
          </w:p>
        </w:tc>
      </w:tr>
      <w:tr w:rsidR="00325BBB" w:rsidRPr="00181B1C" w:rsidTr="00A865E0">
        <w:trPr>
          <w:trHeight w:val="240"/>
        </w:trPr>
        <w:tc>
          <w:tcPr>
            <w:tcW w:w="6819" w:type="dxa"/>
            <w:shd w:val="clear" w:color="auto" w:fill="FFFFFF" w:themeFill="background1"/>
            <w:noWrap/>
            <w:vAlign w:val="center"/>
            <w:hideMark/>
          </w:tcPr>
          <w:p w:rsidR="00325BBB" w:rsidRPr="00181B1C" w:rsidRDefault="00325BBB" w:rsidP="00A865E0">
            <w:pPr>
              <w:keepNext/>
              <w:spacing w:after="0"/>
              <w:rPr>
                <w:rFonts w:cs="Arial"/>
              </w:rPr>
            </w:pPr>
            <w:r w:rsidRPr="00181B1C">
              <w:rPr>
                <w:rFonts w:cs="Arial"/>
              </w:rPr>
              <w:t xml:space="preserve">June Quarter CPI (annual percentage change) – </w:t>
            </w:r>
          </w:p>
          <w:p w:rsidR="00325BBB" w:rsidRPr="00181B1C" w:rsidRDefault="00325BBB" w:rsidP="00A865E0">
            <w:pPr>
              <w:keepNext/>
              <w:spacing w:after="0"/>
              <w:rPr>
                <w:rFonts w:cs="Arial"/>
              </w:rPr>
            </w:pPr>
            <w:r w:rsidRPr="00181B1C">
              <w:rPr>
                <w:rFonts w:cs="Arial"/>
              </w:rPr>
              <w:t>as per Attachment C to the SAU</w:t>
            </w:r>
          </w:p>
        </w:tc>
        <w:tc>
          <w:tcPr>
            <w:tcW w:w="1276" w:type="dxa"/>
            <w:shd w:val="clear" w:color="auto" w:fill="FFFFFF" w:themeFill="background1"/>
            <w:noWrap/>
            <w:vAlign w:val="center"/>
          </w:tcPr>
          <w:p w:rsidR="00325BBB" w:rsidRPr="00181B1C" w:rsidRDefault="00325BBB" w:rsidP="00A865E0">
            <w:pPr>
              <w:keepNext/>
              <w:spacing w:after="0"/>
              <w:jc w:val="right"/>
              <w:rPr>
                <w:rFonts w:cs="Arial"/>
              </w:rPr>
            </w:pPr>
            <w:r>
              <w:rPr>
                <w:rFonts w:cs="Arial"/>
              </w:rPr>
              <w:t xml:space="preserve"> </w:t>
            </w:r>
            <w:r w:rsidRPr="00181B1C">
              <w:rPr>
                <w:rFonts w:cs="Arial"/>
              </w:rPr>
              <w:t>1.023%</w:t>
            </w:r>
          </w:p>
        </w:tc>
      </w:tr>
      <w:tr w:rsidR="00325BBB" w:rsidRPr="00181B1C" w:rsidTr="00A865E0">
        <w:trPr>
          <w:trHeight w:val="255"/>
        </w:trPr>
        <w:tc>
          <w:tcPr>
            <w:tcW w:w="6819" w:type="dxa"/>
            <w:shd w:val="clear" w:color="auto" w:fill="F2F2F2" w:themeFill="background1" w:themeFillShade="F2"/>
            <w:noWrap/>
            <w:vAlign w:val="center"/>
            <w:hideMark/>
          </w:tcPr>
          <w:p w:rsidR="00325BBB" w:rsidRPr="00181B1C" w:rsidRDefault="00325BBB" w:rsidP="00A865E0">
            <w:pPr>
              <w:keepNext/>
              <w:spacing w:after="0"/>
              <w:rPr>
                <w:rFonts w:cs="Arial"/>
              </w:rPr>
            </w:pPr>
            <w:r w:rsidRPr="00181B1C">
              <w:rPr>
                <w:rFonts w:cs="Arial"/>
              </w:rPr>
              <w:t xml:space="preserve">Cumulative Inflation Factor - as per Clauses 1E.9.4(b) and (c) </w:t>
            </w:r>
          </w:p>
        </w:tc>
        <w:tc>
          <w:tcPr>
            <w:tcW w:w="1276" w:type="dxa"/>
            <w:shd w:val="clear" w:color="auto" w:fill="F2F2F2" w:themeFill="background1" w:themeFillShade="F2"/>
            <w:noWrap/>
            <w:vAlign w:val="center"/>
          </w:tcPr>
          <w:p w:rsidR="00325BBB" w:rsidRPr="00181B1C" w:rsidRDefault="00325BBB" w:rsidP="00A865E0">
            <w:pPr>
              <w:keepNext/>
              <w:spacing w:after="0"/>
              <w:jc w:val="right"/>
              <w:rPr>
                <w:rFonts w:cs="Arial"/>
              </w:rPr>
            </w:pPr>
            <w:r w:rsidRPr="00181B1C">
              <w:rPr>
                <w:rFonts w:cs="Arial"/>
              </w:rPr>
              <w:t>1.025</w:t>
            </w:r>
          </w:p>
        </w:tc>
      </w:tr>
    </w:tbl>
    <w:p w:rsidR="00325BBB" w:rsidRPr="00181B1C" w:rsidRDefault="00325BBB" w:rsidP="00325BBB">
      <w:pPr>
        <w:spacing w:after="200" w:line="276" w:lineRule="auto"/>
      </w:pP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Pr>
      <w:tblGrid>
        <w:gridCol w:w="6819"/>
        <w:gridCol w:w="1276"/>
      </w:tblGrid>
      <w:tr w:rsidR="00325BBB" w:rsidRPr="00181B1C" w:rsidTr="00A865E0">
        <w:trPr>
          <w:trHeight w:val="315"/>
        </w:trPr>
        <w:tc>
          <w:tcPr>
            <w:tcW w:w="6819" w:type="dxa"/>
            <w:shd w:val="clear" w:color="000000" w:fill="BFBFBF" w:themeFill="background1" w:themeFillShade="BF"/>
            <w:noWrap/>
            <w:vAlign w:val="center"/>
            <w:hideMark/>
          </w:tcPr>
          <w:p w:rsidR="00325BBB" w:rsidRPr="00181B1C" w:rsidRDefault="00325BBB" w:rsidP="00A865E0">
            <w:pPr>
              <w:keepNext/>
              <w:spacing w:after="0"/>
              <w:rPr>
                <w:rFonts w:cs="Arial"/>
                <w:b/>
                <w:bCs/>
              </w:rPr>
            </w:pPr>
            <w:r w:rsidRPr="00181B1C">
              <w:rPr>
                <w:rFonts w:cs="Arial"/>
                <w:b/>
                <w:bCs/>
              </w:rPr>
              <w:t>Year </w:t>
            </w:r>
          </w:p>
        </w:tc>
        <w:tc>
          <w:tcPr>
            <w:tcW w:w="1276" w:type="dxa"/>
            <w:shd w:val="clear" w:color="000000" w:fill="BFBFBF" w:themeFill="background1" w:themeFillShade="BF"/>
            <w:noWrap/>
            <w:vAlign w:val="center"/>
          </w:tcPr>
          <w:p w:rsidR="00325BBB" w:rsidRPr="00181B1C" w:rsidRDefault="00325BBB" w:rsidP="00A865E0">
            <w:pPr>
              <w:keepNext/>
              <w:spacing w:after="0"/>
              <w:jc w:val="right"/>
              <w:rPr>
                <w:rFonts w:cs="Arial"/>
                <w:b/>
                <w:bCs/>
              </w:rPr>
            </w:pPr>
            <w:r>
              <w:rPr>
                <w:rFonts w:cs="Arial"/>
                <w:b/>
                <w:bCs/>
              </w:rPr>
              <w:t>2015-16</w:t>
            </w:r>
          </w:p>
        </w:tc>
      </w:tr>
      <w:tr w:rsidR="00325BBB" w:rsidRPr="00181B1C" w:rsidTr="00A865E0">
        <w:trPr>
          <w:trHeight w:val="255"/>
        </w:trPr>
        <w:tc>
          <w:tcPr>
            <w:tcW w:w="8095" w:type="dxa"/>
            <w:gridSpan w:val="2"/>
            <w:shd w:val="clear" w:color="auto" w:fill="D9D9D9" w:themeFill="background1" w:themeFillShade="D9"/>
            <w:noWrap/>
            <w:vAlign w:val="center"/>
          </w:tcPr>
          <w:p w:rsidR="00325BBB" w:rsidRPr="00181B1C" w:rsidRDefault="00325BBB" w:rsidP="00A865E0">
            <w:pPr>
              <w:keepNext/>
              <w:spacing w:after="0"/>
              <w:rPr>
                <w:rFonts w:cs="Arial"/>
              </w:rPr>
            </w:pPr>
            <w:r w:rsidRPr="00181B1C">
              <w:rPr>
                <w:rFonts w:cs="Arial"/>
                <w:b/>
                <w:bCs/>
              </w:rPr>
              <w:t>Rate of Return – as per Clause 1E.7.1</w:t>
            </w:r>
          </w:p>
        </w:tc>
      </w:tr>
      <w:tr w:rsidR="00325BBB" w:rsidRPr="00181B1C" w:rsidTr="00A865E0">
        <w:trPr>
          <w:trHeight w:val="255"/>
        </w:trPr>
        <w:tc>
          <w:tcPr>
            <w:tcW w:w="6819" w:type="dxa"/>
            <w:shd w:val="clear" w:color="000000" w:fill="FFFFFF"/>
            <w:noWrap/>
            <w:vAlign w:val="center"/>
            <w:hideMark/>
          </w:tcPr>
          <w:p w:rsidR="00325BBB" w:rsidRPr="00181B1C" w:rsidRDefault="00325BBB" w:rsidP="00A865E0">
            <w:pPr>
              <w:keepNext/>
              <w:spacing w:after="0"/>
              <w:rPr>
                <w:rFonts w:cs="Arial"/>
              </w:rPr>
            </w:pPr>
            <w:r w:rsidRPr="00181B1C">
              <w:rPr>
                <w:rFonts w:cs="Arial"/>
              </w:rPr>
              <w:t xml:space="preserve">Risk free rate of interest - as per Clause 1E.7.1(b) and (c) </w:t>
            </w:r>
          </w:p>
        </w:tc>
        <w:tc>
          <w:tcPr>
            <w:tcW w:w="1276" w:type="dxa"/>
            <w:shd w:val="clear" w:color="000000" w:fill="FFFFFF"/>
            <w:noWrap/>
            <w:vAlign w:val="center"/>
          </w:tcPr>
          <w:p w:rsidR="00325BBB" w:rsidRPr="00181B1C" w:rsidRDefault="00325BBB" w:rsidP="00A865E0">
            <w:pPr>
              <w:keepNext/>
              <w:spacing w:after="0"/>
              <w:jc w:val="right"/>
              <w:rPr>
                <w:rFonts w:cs="Arial"/>
              </w:rPr>
            </w:pPr>
            <w:r w:rsidRPr="00181B1C">
              <w:rPr>
                <w:rFonts w:cs="Arial"/>
              </w:rPr>
              <w:t>3.021%</w:t>
            </w:r>
          </w:p>
        </w:tc>
      </w:tr>
      <w:tr w:rsidR="00325BBB" w:rsidRPr="00181B1C" w:rsidTr="00A865E0">
        <w:trPr>
          <w:trHeight w:val="255"/>
        </w:trPr>
        <w:tc>
          <w:tcPr>
            <w:tcW w:w="6819" w:type="dxa"/>
            <w:shd w:val="clear" w:color="auto" w:fill="F2F2F2" w:themeFill="background1" w:themeFillShade="F2"/>
            <w:noWrap/>
            <w:vAlign w:val="center"/>
            <w:hideMark/>
          </w:tcPr>
          <w:p w:rsidR="00325BBB" w:rsidRPr="00181B1C" w:rsidRDefault="00325BBB" w:rsidP="00A865E0">
            <w:pPr>
              <w:keepNext/>
              <w:spacing w:after="0"/>
              <w:rPr>
                <w:rFonts w:cs="Arial"/>
              </w:rPr>
            </w:pPr>
            <w:r w:rsidRPr="00181B1C">
              <w:rPr>
                <w:rFonts w:cs="Arial"/>
              </w:rPr>
              <w:t>Nominal rate of return - as per Clause 1E.7.1(a)</w:t>
            </w:r>
          </w:p>
        </w:tc>
        <w:tc>
          <w:tcPr>
            <w:tcW w:w="1276" w:type="dxa"/>
            <w:shd w:val="clear" w:color="auto" w:fill="F2F2F2" w:themeFill="background1" w:themeFillShade="F2"/>
            <w:noWrap/>
            <w:vAlign w:val="center"/>
          </w:tcPr>
          <w:p w:rsidR="00325BBB" w:rsidRPr="00181B1C" w:rsidRDefault="00325BBB" w:rsidP="00A865E0">
            <w:pPr>
              <w:keepNext/>
              <w:spacing w:after="0"/>
              <w:jc w:val="right"/>
              <w:rPr>
                <w:rFonts w:cs="Arial"/>
              </w:rPr>
            </w:pPr>
            <w:r w:rsidRPr="00181B1C">
              <w:rPr>
                <w:rFonts w:cs="Arial"/>
              </w:rPr>
              <w:t>6.521%</w:t>
            </w:r>
          </w:p>
        </w:tc>
      </w:tr>
    </w:tbl>
    <w:p w:rsidR="00325BBB" w:rsidRPr="00181B1C" w:rsidRDefault="00325BBB" w:rsidP="00325BBB">
      <w:pPr>
        <w:spacing w:after="200" w:line="276" w:lineRule="auto"/>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Pr>
      <w:tblGrid>
        <w:gridCol w:w="6804"/>
        <w:gridCol w:w="1276"/>
      </w:tblGrid>
      <w:tr w:rsidR="00325BBB" w:rsidRPr="00181B1C" w:rsidTr="00A865E0">
        <w:trPr>
          <w:trHeight w:val="270"/>
        </w:trPr>
        <w:tc>
          <w:tcPr>
            <w:tcW w:w="6804" w:type="dxa"/>
            <w:tcBorders>
              <w:bottom w:val="single" w:sz="4" w:space="0" w:color="auto"/>
            </w:tcBorders>
            <w:shd w:val="clear" w:color="000000" w:fill="BFBFBF" w:themeFill="background1" w:themeFillShade="BF"/>
            <w:noWrap/>
            <w:vAlign w:val="center"/>
            <w:hideMark/>
          </w:tcPr>
          <w:p w:rsidR="00325BBB" w:rsidRPr="00181B1C" w:rsidRDefault="00325BBB" w:rsidP="00A865E0">
            <w:pPr>
              <w:keepNext/>
              <w:spacing w:after="0"/>
              <w:rPr>
                <w:rFonts w:cs="Arial"/>
                <w:b/>
                <w:bCs/>
              </w:rPr>
            </w:pPr>
            <w:r w:rsidRPr="00181B1C">
              <w:rPr>
                <w:rFonts w:cs="Arial"/>
                <w:b/>
                <w:bCs/>
              </w:rPr>
              <w:t>Year</w:t>
            </w:r>
          </w:p>
        </w:tc>
        <w:tc>
          <w:tcPr>
            <w:tcW w:w="1276" w:type="dxa"/>
            <w:tcBorders>
              <w:bottom w:val="single" w:sz="4" w:space="0" w:color="auto"/>
            </w:tcBorders>
            <w:shd w:val="clear" w:color="000000" w:fill="BFBFBF" w:themeFill="background1" w:themeFillShade="BF"/>
            <w:noWrap/>
            <w:vAlign w:val="center"/>
          </w:tcPr>
          <w:p w:rsidR="00325BBB" w:rsidRPr="00181B1C" w:rsidRDefault="00325BBB" w:rsidP="00A865E0">
            <w:pPr>
              <w:keepNext/>
              <w:spacing w:after="0"/>
              <w:jc w:val="right"/>
              <w:rPr>
                <w:rFonts w:cs="Arial"/>
                <w:b/>
                <w:bCs/>
              </w:rPr>
            </w:pPr>
            <w:r>
              <w:rPr>
                <w:rFonts w:cs="Arial"/>
                <w:b/>
                <w:bCs/>
              </w:rPr>
              <w:t>2015-16</w:t>
            </w:r>
          </w:p>
        </w:tc>
      </w:tr>
      <w:tr w:rsidR="00325BBB" w:rsidRPr="00181B1C" w:rsidTr="00A865E0">
        <w:trPr>
          <w:trHeight w:val="255"/>
        </w:trPr>
        <w:tc>
          <w:tcPr>
            <w:tcW w:w="8080" w:type="dxa"/>
            <w:gridSpan w:val="2"/>
            <w:shd w:val="clear" w:color="auto" w:fill="D9D9D9" w:themeFill="background1" w:themeFillShade="D9"/>
            <w:noWrap/>
            <w:vAlign w:val="center"/>
          </w:tcPr>
          <w:p w:rsidR="00325BBB" w:rsidRPr="00181B1C" w:rsidRDefault="00325BBB" w:rsidP="00A865E0">
            <w:pPr>
              <w:keepNext/>
              <w:spacing w:after="0"/>
              <w:rPr>
                <w:rFonts w:cs="Arial"/>
              </w:rPr>
            </w:pPr>
            <w:r w:rsidRPr="00181B1C">
              <w:rPr>
                <w:rFonts w:cs="Arial"/>
                <w:b/>
              </w:rPr>
              <w:t>Regulatory Asset Base ($'000 REAL) – as per Clause 1D.2.1</w:t>
            </w:r>
          </w:p>
        </w:tc>
      </w:tr>
      <w:tr w:rsidR="00325BBB" w:rsidRPr="00181B1C" w:rsidTr="00A865E0">
        <w:trPr>
          <w:trHeight w:val="255"/>
        </w:trPr>
        <w:tc>
          <w:tcPr>
            <w:tcW w:w="6804" w:type="dxa"/>
            <w:shd w:val="clear" w:color="000000" w:fill="FFFFFF"/>
            <w:noWrap/>
            <w:vAlign w:val="center"/>
            <w:hideMark/>
          </w:tcPr>
          <w:p w:rsidR="00325BBB" w:rsidRPr="00181B1C" w:rsidRDefault="00325BBB" w:rsidP="00A865E0">
            <w:pPr>
              <w:keepNext/>
              <w:spacing w:after="0"/>
              <w:rPr>
                <w:rFonts w:cs="Arial"/>
              </w:rPr>
            </w:pPr>
            <w:r w:rsidRPr="00181B1C">
              <w:rPr>
                <w:rFonts w:cs="Arial"/>
              </w:rPr>
              <w:t>Real RAB (start period) - as per Clause 1D.2.1(a) and (b)</w:t>
            </w:r>
          </w:p>
        </w:tc>
        <w:tc>
          <w:tcPr>
            <w:tcW w:w="1276" w:type="dxa"/>
            <w:shd w:val="clear" w:color="000000" w:fill="FFFFFF"/>
            <w:noWrap/>
            <w:vAlign w:val="center"/>
          </w:tcPr>
          <w:p w:rsidR="00325BBB" w:rsidRPr="00181B1C" w:rsidRDefault="00325BBB" w:rsidP="00A865E0">
            <w:pPr>
              <w:keepNext/>
              <w:spacing w:after="0"/>
              <w:jc w:val="right"/>
              <w:rPr>
                <w:rFonts w:cs="Arial"/>
              </w:rPr>
            </w:pPr>
            <w:r w:rsidRPr="00181B1C">
              <w:rPr>
                <w:rFonts w:cs="Arial"/>
                <w:bCs/>
              </w:rPr>
              <w:t>4 747 166</w:t>
            </w:r>
          </w:p>
        </w:tc>
      </w:tr>
      <w:tr w:rsidR="00325BBB" w:rsidRPr="00181B1C" w:rsidTr="00A865E0">
        <w:trPr>
          <w:trHeight w:val="255"/>
        </w:trPr>
        <w:tc>
          <w:tcPr>
            <w:tcW w:w="6804" w:type="dxa"/>
            <w:shd w:val="clear" w:color="auto" w:fill="F2F2F2" w:themeFill="background1" w:themeFillShade="F2"/>
            <w:noWrap/>
            <w:vAlign w:val="center"/>
            <w:hideMark/>
          </w:tcPr>
          <w:p w:rsidR="00325BBB" w:rsidRPr="00181B1C" w:rsidRDefault="00325BBB" w:rsidP="00A865E0">
            <w:pPr>
              <w:keepNext/>
              <w:spacing w:after="0"/>
              <w:rPr>
                <w:rFonts w:cs="Arial"/>
              </w:rPr>
            </w:pPr>
            <w:r w:rsidRPr="00181B1C">
              <w:rPr>
                <w:rFonts w:cs="Arial"/>
              </w:rPr>
              <w:t>Real capital expenditure</w:t>
            </w:r>
          </w:p>
        </w:tc>
        <w:tc>
          <w:tcPr>
            <w:tcW w:w="1276" w:type="dxa"/>
            <w:shd w:val="clear" w:color="auto" w:fill="F2F2F2" w:themeFill="background1" w:themeFillShade="F2"/>
            <w:noWrap/>
            <w:vAlign w:val="center"/>
          </w:tcPr>
          <w:p w:rsidR="00325BBB" w:rsidRPr="00181B1C" w:rsidRDefault="00325BBB" w:rsidP="00A865E0">
            <w:pPr>
              <w:keepNext/>
              <w:spacing w:after="0"/>
              <w:jc w:val="right"/>
              <w:rPr>
                <w:rFonts w:cs="Arial"/>
              </w:rPr>
            </w:pPr>
            <w:r w:rsidRPr="00181B1C">
              <w:rPr>
                <w:rFonts w:cs="Arial"/>
              </w:rPr>
              <w:t>4 410 983</w:t>
            </w:r>
          </w:p>
        </w:tc>
      </w:tr>
      <w:tr w:rsidR="00325BBB" w:rsidRPr="00181B1C" w:rsidTr="00A865E0">
        <w:trPr>
          <w:trHeight w:val="255"/>
        </w:trPr>
        <w:tc>
          <w:tcPr>
            <w:tcW w:w="6804" w:type="dxa"/>
            <w:shd w:val="clear" w:color="000000" w:fill="FFFFFF"/>
            <w:noWrap/>
            <w:vAlign w:val="center"/>
            <w:hideMark/>
          </w:tcPr>
          <w:p w:rsidR="00325BBB" w:rsidRPr="00181B1C" w:rsidRDefault="00325BBB" w:rsidP="00A865E0">
            <w:pPr>
              <w:keepNext/>
              <w:spacing w:after="0"/>
              <w:rPr>
                <w:rFonts w:cs="Arial"/>
              </w:rPr>
            </w:pPr>
            <w:r w:rsidRPr="00181B1C">
              <w:rPr>
                <w:rFonts w:cs="Arial"/>
              </w:rPr>
              <w:t>Real disposals</w:t>
            </w:r>
          </w:p>
        </w:tc>
        <w:tc>
          <w:tcPr>
            <w:tcW w:w="1276" w:type="dxa"/>
            <w:shd w:val="clear" w:color="000000" w:fill="FFFFFF"/>
            <w:noWrap/>
            <w:vAlign w:val="center"/>
          </w:tcPr>
          <w:p w:rsidR="00325BBB" w:rsidRPr="00181B1C" w:rsidRDefault="00325BBB" w:rsidP="00A865E0">
            <w:pPr>
              <w:keepNext/>
              <w:spacing w:after="0"/>
              <w:jc w:val="right"/>
              <w:rPr>
                <w:rFonts w:cs="Arial"/>
              </w:rPr>
            </w:pPr>
            <w:r w:rsidRPr="00181B1C">
              <w:rPr>
                <w:rFonts w:cs="Arial"/>
              </w:rPr>
              <w:t>-</w:t>
            </w:r>
          </w:p>
        </w:tc>
      </w:tr>
      <w:tr w:rsidR="00325BBB" w:rsidRPr="00181B1C" w:rsidTr="00A865E0">
        <w:trPr>
          <w:trHeight w:val="255"/>
        </w:trPr>
        <w:tc>
          <w:tcPr>
            <w:tcW w:w="6804" w:type="dxa"/>
            <w:shd w:val="clear" w:color="auto" w:fill="F2F2F2" w:themeFill="background1" w:themeFillShade="F2"/>
            <w:noWrap/>
            <w:vAlign w:val="center"/>
            <w:hideMark/>
          </w:tcPr>
          <w:p w:rsidR="00325BBB" w:rsidRPr="00181B1C" w:rsidRDefault="00325BBB" w:rsidP="00A865E0">
            <w:pPr>
              <w:keepNext/>
              <w:spacing w:after="0"/>
              <w:rPr>
                <w:rFonts w:cs="Arial"/>
              </w:rPr>
            </w:pPr>
            <w:r w:rsidRPr="00181B1C">
              <w:rPr>
                <w:rFonts w:cs="Arial"/>
              </w:rPr>
              <w:t>Real straight line depreciation</w:t>
            </w:r>
          </w:p>
        </w:tc>
        <w:tc>
          <w:tcPr>
            <w:tcW w:w="1276" w:type="dxa"/>
            <w:shd w:val="clear" w:color="auto" w:fill="F2F2F2" w:themeFill="background1" w:themeFillShade="F2"/>
            <w:noWrap/>
            <w:vAlign w:val="center"/>
          </w:tcPr>
          <w:p w:rsidR="00325BBB" w:rsidRPr="00181B1C" w:rsidRDefault="00325BBB" w:rsidP="00A865E0">
            <w:pPr>
              <w:keepNext/>
              <w:spacing w:after="0"/>
              <w:jc w:val="right"/>
              <w:rPr>
                <w:rFonts w:cs="Arial"/>
                <w:bCs/>
              </w:rPr>
            </w:pPr>
            <w:r w:rsidRPr="00181B1C">
              <w:rPr>
                <w:rFonts w:cs="Arial"/>
                <w:bCs/>
              </w:rPr>
              <w:t>435 769</w:t>
            </w:r>
          </w:p>
        </w:tc>
      </w:tr>
      <w:tr w:rsidR="00325BBB" w:rsidRPr="00181B1C" w:rsidTr="00A865E0">
        <w:trPr>
          <w:trHeight w:val="255"/>
        </w:trPr>
        <w:tc>
          <w:tcPr>
            <w:tcW w:w="6804" w:type="dxa"/>
            <w:shd w:val="clear" w:color="000000" w:fill="FFFFFF"/>
            <w:noWrap/>
            <w:vAlign w:val="center"/>
            <w:hideMark/>
          </w:tcPr>
          <w:p w:rsidR="00325BBB" w:rsidRPr="00181B1C" w:rsidRDefault="00325BBB" w:rsidP="00A865E0">
            <w:pPr>
              <w:keepNext/>
              <w:spacing w:after="0"/>
              <w:rPr>
                <w:rFonts w:cs="Arial"/>
              </w:rPr>
            </w:pPr>
            <w:r w:rsidRPr="00181B1C">
              <w:rPr>
                <w:rFonts w:cs="Arial"/>
              </w:rPr>
              <w:t>Real RAB (end period) - as per Clause 1D.2.1(b)</w:t>
            </w:r>
          </w:p>
        </w:tc>
        <w:tc>
          <w:tcPr>
            <w:tcW w:w="1276" w:type="dxa"/>
            <w:shd w:val="clear" w:color="000000" w:fill="FFFFFF"/>
            <w:noWrap/>
            <w:vAlign w:val="center"/>
          </w:tcPr>
          <w:p w:rsidR="00325BBB" w:rsidRPr="00181B1C" w:rsidRDefault="00325BBB" w:rsidP="00A865E0">
            <w:pPr>
              <w:keepNext/>
              <w:spacing w:after="0"/>
              <w:jc w:val="right"/>
              <w:rPr>
                <w:rFonts w:cs="Arial"/>
                <w:bCs/>
              </w:rPr>
            </w:pPr>
            <w:r w:rsidRPr="00181B1C">
              <w:rPr>
                <w:rFonts w:cs="Arial"/>
                <w:bCs/>
              </w:rPr>
              <w:t xml:space="preserve">8 722 380  </w:t>
            </w:r>
          </w:p>
        </w:tc>
      </w:tr>
    </w:tbl>
    <w:p w:rsidR="00325BBB" w:rsidRPr="00181B1C" w:rsidRDefault="00325BBB" w:rsidP="00325BBB">
      <w:pPr>
        <w:spacing w:after="200" w:line="276" w:lineRule="auto"/>
      </w:pP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4A0" w:firstRow="1" w:lastRow="0" w:firstColumn="1" w:lastColumn="0" w:noHBand="0" w:noVBand="1"/>
      </w:tblPr>
      <w:tblGrid>
        <w:gridCol w:w="15"/>
        <w:gridCol w:w="1345"/>
        <w:gridCol w:w="5459"/>
        <w:gridCol w:w="1276"/>
      </w:tblGrid>
      <w:tr w:rsidR="00325BBB" w:rsidRPr="00181B1C" w:rsidTr="00A865E0">
        <w:trPr>
          <w:gridBefore w:val="1"/>
          <w:wBefore w:w="15" w:type="dxa"/>
          <w:trHeight w:val="270"/>
        </w:trPr>
        <w:tc>
          <w:tcPr>
            <w:tcW w:w="6804" w:type="dxa"/>
            <w:gridSpan w:val="2"/>
            <w:tcBorders>
              <w:bottom w:val="single" w:sz="4" w:space="0" w:color="auto"/>
            </w:tcBorders>
            <w:shd w:val="clear" w:color="000000" w:fill="BFBFBF" w:themeFill="background1" w:themeFillShade="BF"/>
            <w:noWrap/>
            <w:vAlign w:val="center"/>
            <w:hideMark/>
          </w:tcPr>
          <w:p w:rsidR="00325BBB" w:rsidRPr="00181B1C" w:rsidRDefault="00325BBB" w:rsidP="00A865E0">
            <w:pPr>
              <w:keepNext/>
              <w:spacing w:after="0"/>
              <w:rPr>
                <w:rFonts w:cs="Arial"/>
                <w:b/>
                <w:bCs/>
              </w:rPr>
            </w:pPr>
            <w:r w:rsidRPr="00181B1C">
              <w:rPr>
                <w:rFonts w:cs="Arial"/>
                <w:b/>
                <w:bCs/>
              </w:rPr>
              <w:t>Year</w:t>
            </w:r>
          </w:p>
        </w:tc>
        <w:tc>
          <w:tcPr>
            <w:tcW w:w="1276" w:type="dxa"/>
            <w:tcBorders>
              <w:bottom w:val="single" w:sz="4" w:space="0" w:color="auto"/>
            </w:tcBorders>
            <w:shd w:val="clear" w:color="000000" w:fill="BFBFBF" w:themeFill="background1" w:themeFillShade="BF"/>
            <w:noWrap/>
            <w:vAlign w:val="center"/>
          </w:tcPr>
          <w:p w:rsidR="00325BBB" w:rsidRPr="00181B1C" w:rsidRDefault="00325BBB" w:rsidP="00A865E0">
            <w:pPr>
              <w:keepNext/>
              <w:spacing w:after="0"/>
              <w:jc w:val="right"/>
              <w:rPr>
                <w:rFonts w:cs="Arial"/>
                <w:b/>
                <w:bCs/>
              </w:rPr>
            </w:pPr>
            <w:r>
              <w:rPr>
                <w:rFonts w:cs="Arial"/>
                <w:b/>
                <w:bCs/>
              </w:rPr>
              <w:t>2015-16</w:t>
            </w:r>
          </w:p>
        </w:tc>
      </w:tr>
      <w:tr w:rsidR="00325BBB" w:rsidRPr="00181B1C" w:rsidTr="00A865E0">
        <w:trPr>
          <w:gridBefore w:val="1"/>
          <w:wBefore w:w="15" w:type="dxa"/>
          <w:trHeight w:val="255"/>
        </w:trPr>
        <w:tc>
          <w:tcPr>
            <w:tcW w:w="8080" w:type="dxa"/>
            <w:gridSpan w:val="3"/>
            <w:shd w:val="clear" w:color="auto" w:fill="D9D9D9" w:themeFill="background1" w:themeFillShade="D9"/>
            <w:noWrap/>
            <w:vAlign w:val="center"/>
          </w:tcPr>
          <w:p w:rsidR="00325BBB" w:rsidRPr="00181B1C" w:rsidRDefault="00325BBB" w:rsidP="00A865E0">
            <w:pPr>
              <w:keepNext/>
              <w:spacing w:after="0"/>
              <w:rPr>
                <w:rFonts w:cs="Arial"/>
                <w:bCs/>
              </w:rPr>
            </w:pPr>
            <w:r w:rsidRPr="00181B1C">
              <w:rPr>
                <w:rFonts w:cs="Arial"/>
                <w:b/>
              </w:rPr>
              <w:t>Regulatory Asset Base ($'000 NOMINAL) – as per Clause 1D.2.2</w:t>
            </w:r>
          </w:p>
        </w:tc>
      </w:tr>
      <w:tr w:rsidR="00325BBB" w:rsidRPr="00181B1C" w:rsidTr="00A865E0">
        <w:trPr>
          <w:gridBefore w:val="1"/>
          <w:wBefore w:w="15" w:type="dxa"/>
          <w:trHeight w:val="255"/>
        </w:trPr>
        <w:tc>
          <w:tcPr>
            <w:tcW w:w="6804" w:type="dxa"/>
            <w:gridSpan w:val="2"/>
            <w:shd w:val="clear" w:color="000000" w:fill="FFFFFF"/>
            <w:noWrap/>
            <w:vAlign w:val="center"/>
            <w:hideMark/>
          </w:tcPr>
          <w:p w:rsidR="00325BBB" w:rsidRPr="00181B1C" w:rsidRDefault="00325BBB" w:rsidP="00A865E0">
            <w:pPr>
              <w:keepNext/>
              <w:spacing w:after="0"/>
              <w:rPr>
                <w:rFonts w:cs="Arial"/>
                <w:bCs/>
              </w:rPr>
            </w:pPr>
            <w:r w:rsidRPr="00181B1C">
              <w:rPr>
                <w:rFonts w:cs="Arial"/>
                <w:bCs/>
              </w:rPr>
              <w:t>Nominal RAB (start period) - as per Clauses 1D.2.1(a) and 1D.2.2</w:t>
            </w:r>
          </w:p>
        </w:tc>
        <w:tc>
          <w:tcPr>
            <w:tcW w:w="1276" w:type="dxa"/>
            <w:shd w:val="clear" w:color="000000" w:fill="FFFFFF"/>
            <w:noWrap/>
            <w:vAlign w:val="center"/>
          </w:tcPr>
          <w:p w:rsidR="00325BBB" w:rsidRPr="00181B1C" w:rsidRDefault="00325BBB" w:rsidP="00A865E0">
            <w:pPr>
              <w:keepNext/>
              <w:spacing w:after="0"/>
              <w:jc w:val="right"/>
              <w:rPr>
                <w:rFonts w:cs="Arial"/>
                <w:bCs/>
              </w:rPr>
            </w:pPr>
            <w:r w:rsidRPr="00181B1C">
              <w:rPr>
                <w:rFonts w:cs="Arial"/>
                <w:bCs/>
              </w:rPr>
              <w:t>4 818 889</w:t>
            </w:r>
          </w:p>
        </w:tc>
      </w:tr>
      <w:tr w:rsidR="00325BBB" w:rsidRPr="00181B1C" w:rsidTr="00A865E0">
        <w:trPr>
          <w:gridBefore w:val="1"/>
          <w:wBefore w:w="15" w:type="dxa"/>
          <w:trHeight w:val="255"/>
        </w:trPr>
        <w:tc>
          <w:tcPr>
            <w:tcW w:w="6804" w:type="dxa"/>
            <w:gridSpan w:val="2"/>
            <w:shd w:val="clear" w:color="auto" w:fill="F2F2F2" w:themeFill="background1" w:themeFillShade="F2"/>
            <w:noWrap/>
            <w:vAlign w:val="center"/>
            <w:hideMark/>
          </w:tcPr>
          <w:p w:rsidR="00325BBB" w:rsidRPr="00181B1C" w:rsidRDefault="00325BBB" w:rsidP="00A865E0">
            <w:pPr>
              <w:keepNext/>
              <w:spacing w:after="0"/>
              <w:rPr>
                <w:rFonts w:cs="Arial"/>
              </w:rPr>
            </w:pPr>
            <w:r w:rsidRPr="00181B1C">
              <w:rPr>
                <w:rFonts w:cs="Arial"/>
              </w:rPr>
              <w:t>Nominal straight line depreciation (as per Clause 1E.9.1(b)</w:t>
            </w:r>
          </w:p>
        </w:tc>
        <w:tc>
          <w:tcPr>
            <w:tcW w:w="1276" w:type="dxa"/>
            <w:shd w:val="clear" w:color="auto" w:fill="F2F2F2" w:themeFill="background1" w:themeFillShade="F2"/>
            <w:noWrap/>
            <w:vAlign w:val="center"/>
          </w:tcPr>
          <w:p w:rsidR="00325BBB" w:rsidRPr="00181B1C" w:rsidRDefault="00325BBB" w:rsidP="00A865E0">
            <w:pPr>
              <w:keepNext/>
              <w:spacing w:after="0"/>
              <w:jc w:val="right"/>
              <w:rPr>
                <w:rFonts w:cs="Arial"/>
                <w:bCs/>
              </w:rPr>
            </w:pPr>
            <w:r w:rsidRPr="00181B1C">
              <w:rPr>
                <w:rFonts w:cs="Arial"/>
                <w:bCs/>
              </w:rPr>
              <w:t>446 880</w:t>
            </w:r>
          </w:p>
        </w:tc>
      </w:tr>
      <w:tr w:rsidR="00325BBB" w:rsidRPr="00181B1C" w:rsidTr="00A865E0">
        <w:trPr>
          <w:gridBefore w:val="1"/>
          <w:wBefore w:w="15" w:type="dxa"/>
          <w:trHeight w:val="255"/>
        </w:trPr>
        <w:tc>
          <w:tcPr>
            <w:tcW w:w="6804" w:type="dxa"/>
            <w:gridSpan w:val="2"/>
            <w:shd w:val="clear" w:color="000000" w:fill="FFFFFF"/>
            <w:noWrap/>
            <w:vAlign w:val="center"/>
            <w:hideMark/>
          </w:tcPr>
          <w:p w:rsidR="00325BBB" w:rsidRPr="00181B1C" w:rsidRDefault="00325BBB" w:rsidP="00A865E0">
            <w:pPr>
              <w:keepNext/>
              <w:spacing w:after="0"/>
              <w:rPr>
                <w:rFonts w:cs="Arial"/>
                <w:i/>
                <w:iCs/>
              </w:rPr>
            </w:pPr>
            <w:r w:rsidRPr="00181B1C">
              <w:rPr>
                <w:rFonts w:cs="Arial"/>
                <w:bCs/>
              </w:rPr>
              <w:t>Nominal RAB (end period) - as per Clause 1D.2.2</w:t>
            </w:r>
          </w:p>
        </w:tc>
        <w:tc>
          <w:tcPr>
            <w:tcW w:w="1276" w:type="dxa"/>
            <w:shd w:val="clear" w:color="000000" w:fill="FFFFFF"/>
            <w:noWrap/>
            <w:vAlign w:val="center"/>
          </w:tcPr>
          <w:p w:rsidR="00325BBB" w:rsidRPr="00181B1C" w:rsidRDefault="00325BBB" w:rsidP="00A865E0">
            <w:pPr>
              <w:keepNext/>
              <w:spacing w:after="0"/>
              <w:jc w:val="right"/>
              <w:rPr>
                <w:rFonts w:cs="Arial"/>
                <w:bCs/>
              </w:rPr>
            </w:pPr>
            <w:r w:rsidRPr="00181B1C">
              <w:rPr>
                <w:rFonts w:cs="Arial"/>
                <w:bCs/>
              </w:rPr>
              <w:t>8 944 763</w:t>
            </w:r>
          </w:p>
        </w:tc>
      </w:tr>
      <w:tr w:rsidR="00325BBB" w:rsidRPr="00181B1C" w:rsidTr="00A86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2"/>
          <w:wAfter w:w="6735" w:type="dxa"/>
          <w:trHeight w:val="255"/>
        </w:trPr>
        <w:tc>
          <w:tcPr>
            <w:tcW w:w="1360" w:type="dxa"/>
            <w:gridSpan w:val="2"/>
            <w:tcBorders>
              <w:top w:val="single" w:sz="4" w:space="0" w:color="auto"/>
              <w:left w:val="nil"/>
              <w:bottom w:val="nil"/>
              <w:right w:val="nil"/>
            </w:tcBorders>
            <w:shd w:val="clear" w:color="000000" w:fill="FFFFFF"/>
            <w:noWrap/>
            <w:vAlign w:val="bottom"/>
            <w:hideMark/>
          </w:tcPr>
          <w:p w:rsidR="00325BBB" w:rsidRPr="00181B1C" w:rsidRDefault="00325BBB" w:rsidP="00A865E0">
            <w:pPr>
              <w:spacing w:after="0"/>
              <w:jc w:val="center"/>
              <w:rPr>
                <w:rFonts w:eastAsia="Times New Roman" w:cs="Arial"/>
                <w:b/>
                <w:bCs/>
                <w:sz w:val="18"/>
                <w:szCs w:val="18"/>
                <w:lang w:eastAsia="en-AU"/>
              </w:rPr>
            </w:pPr>
            <w:r w:rsidRPr="00181B1C">
              <w:rPr>
                <w:rFonts w:eastAsia="Times New Roman" w:cs="Arial"/>
                <w:b/>
                <w:bCs/>
                <w:sz w:val="18"/>
                <w:szCs w:val="18"/>
                <w:lang w:eastAsia="en-AU"/>
              </w:rPr>
              <w:t> </w:t>
            </w:r>
          </w:p>
        </w:tc>
      </w:tr>
    </w:tbl>
    <w:p w:rsidR="00325BBB" w:rsidRPr="00181B1C" w:rsidRDefault="00325BBB" w:rsidP="00325BBB">
      <w:pPr>
        <w:spacing w:after="200" w:line="276" w:lineRule="auto"/>
      </w:pP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bottom w:w="48" w:type="dxa"/>
        </w:tblCellMar>
        <w:tblLook w:val="04A0" w:firstRow="1" w:lastRow="0" w:firstColumn="1" w:lastColumn="0" w:noHBand="0" w:noVBand="1"/>
      </w:tblPr>
      <w:tblGrid>
        <w:gridCol w:w="6819"/>
        <w:gridCol w:w="1276"/>
      </w:tblGrid>
      <w:tr w:rsidR="00325BBB" w:rsidRPr="00181B1C" w:rsidTr="00A865E0">
        <w:trPr>
          <w:trHeight w:val="315"/>
        </w:trPr>
        <w:tc>
          <w:tcPr>
            <w:tcW w:w="6819" w:type="dxa"/>
            <w:tcBorders>
              <w:bottom w:val="single" w:sz="4" w:space="0" w:color="auto"/>
            </w:tcBorders>
            <w:shd w:val="clear" w:color="000000" w:fill="BFBFBF" w:themeFill="background1" w:themeFillShade="BF"/>
            <w:noWrap/>
            <w:vAlign w:val="center"/>
            <w:hideMark/>
          </w:tcPr>
          <w:p w:rsidR="00325BBB" w:rsidRPr="00181B1C" w:rsidRDefault="00325BBB" w:rsidP="00A865E0">
            <w:pPr>
              <w:keepNext/>
              <w:spacing w:after="0"/>
              <w:rPr>
                <w:rFonts w:cs="Arial"/>
                <w:b/>
                <w:bCs/>
              </w:rPr>
            </w:pPr>
            <w:r w:rsidRPr="00181B1C">
              <w:rPr>
                <w:rFonts w:cs="Arial"/>
                <w:b/>
                <w:bCs/>
              </w:rPr>
              <w:lastRenderedPageBreak/>
              <w:t>Year</w:t>
            </w:r>
          </w:p>
        </w:tc>
        <w:tc>
          <w:tcPr>
            <w:tcW w:w="1276" w:type="dxa"/>
            <w:tcBorders>
              <w:bottom w:val="single" w:sz="4" w:space="0" w:color="auto"/>
            </w:tcBorders>
            <w:shd w:val="clear" w:color="000000" w:fill="BFBFBF" w:themeFill="background1" w:themeFillShade="BF"/>
            <w:noWrap/>
            <w:vAlign w:val="center"/>
          </w:tcPr>
          <w:p w:rsidR="00325BBB" w:rsidRPr="00181B1C" w:rsidRDefault="00325BBB" w:rsidP="00A865E0">
            <w:pPr>
              <w:keepNext/>
              <w:spacing w:after="0"/>
              <w:jc w:val="right"/>
              <w:rPr>
                <w:rFonts w:cs="Arial"/>
                <w:b/>
                <w:bCs/>
              </w:rPr>
            </w:pPr>
            <w:r>
              <w:rPr>
                <w:rFonts w:cs="Arial"/>
                <w:b/>
                <w:bCs/>
              </w:rPr>
              <w:t>2015-16</w:t>
            </w:r>
          </w:p>
        </w:tc>
      </w:tr>
      <w:tr w:rsidR="00325BBB" w:rsidRPr="00181B1C" w:rsidTr="00A865E0">
        <w:trPr>
          <w:trHeight w:val="255"/>
        </w:trPr>
        <w:tc>
          <w:tcPr>
            <w:tcW w:w="8095" w:type="dxa"/>
            <w:gridSpan w:val="2"/>
            <w:shd w:val="clear" w:color="auto" w:fill="D9D9D9" w:themeFill="background1" w:themeFillShade="D9"/>
            <w:noWrap/>
            <w:vAlign w:val="center"/>
          </w:tcPr>
          <w:p w:rsidR="00325BBB" w:rsidRPr="00181B1C" w:rsidRDefault="00325BBB" w:rsidP="00A865E0">
            <w:pPr>
              <w:keepNext/>
              <w:spacing w:after="0"/>
              <w:rPr>
                <w:rFonts w:cs="Arial"/>
                <w:bCs/>
              </w:rPr>
            </w:pPr>
            <w:r w:rsidRPr="00181B1C">
              <w:rPr>
                <w:rFonts w:cs="Arial"/>
                <w:b/>
              </w:rPr>
              <w:t>ABBRR ($'000 NOMINAL) - as per Clause 1E.4.1</w:t>
            </w:r>
          </w:p>
        </w:tc>
      </w:tr>
      <w:tr w:rsidR="00325BBB" w:rsidRPr="00181B1C" w:rsidTr="00A865E0">
        <w:trPr>
          <w:trHeight w:val="255"/>
        </w:trPr>
        <w:tc>
          <w:tcPr>
            <w:tcW w:w="6819" w:type="dxa"/>
            <w:shd w:val="clear" w:color="000000" w:fill="FFFFFF"/>
            <w:noWrap/>
            <w:vAlign w:val="center"/>
            <w:hideMark/>
          </w:tcPr>
          <w:p w:rsidR="00325BBB" w:rsidRPr="00181B1C" w:rsidRDefault="00325BBB" w:rsidP="00A865E0">
            <w:pPr>
              <w:keepNext/>
              <w:spacing w:after="0"/>
              <w:rPr>
                <w:rFonts w:cs="Arial"/>
                <w:bCs/>
              </w:rPr>
            </w:pPr>
            <w:r w:rsidRPr="00181B1C">
              <w:rPr>
                <w:rFonts w:cs="Arial"/>
                <w:bCs/>
              </w:rPr>
              <w:t>Return on capital</w:t>
            </w:r>
          </w:p>
        </w:tc>
        <w:tc>
          <w:tcPr>
            <w:tcW w:w="1276" w:type="dxa"/>
            <w:shd w:val="clear" w:color="000000" w:fill="FFFFFF"/>
            <w:noWrap/>
            <w:vAlign w:val="center"/>
          </w:tcPr>
          <w:p w:rsidR="00325BBB" w:rsidRPr="00181B1C" w:rsidRDefault="00325BBB" w:rsidP="00A865E0">
            <w:pPr>
              <w:keepNext/>
              <w:spacing w:after="0"/>
              <w:jc w:val="right"/>
              <w:rPr>
                <w:rFonts w:cs="Arial"/>
                <w:bCs/>
              </w:rPr>
            </w:pPr>
            <w:r w:rsidRPr="00181B1C">
              <w:rPr>
                <w:rFonts w:cs="Arial"/>
                <w:bCs/>
              </w:rPr>
              <w:t>314 255</w:t>
            </w:r>
          </w:p>
        </w:tc>
      </w:tr>
      <w:tr w:rsidR="00325BBB" w:rsidRPr="00181B1C" w:rsidTr="00A865E0">
        <w:trPr>
          <w:trHeight w:val="255"/>
        </w:trPr>
        <w:tc>
          <w:tcPr>
            <w:tcW w:w="6819" w:type="dxa"/>
            <w:shd w:val="clear" w:color="auto" w:fill="F2F2F2" w:themeFill="background1" w:themeFillShade="F2"/>
            <w:noWrap/>
            <w:vAlign w:val="center"/>
            <w:hideMark/>
          </w:tcPr>
          <w:p w:rsidR="00325BBB" w:rsidRPr="00181B1C" w:rsidRDefault="00325BBB" w:rsidP="00A865E0">
            <w:pPr>
              <w:keepNext/>
              <w:spacing w:after="0"/>
              <w:rPr>
                <w:rFonts w:cs="Arial"/>
                <w:bCs/>
              </w:rPr>
            </w:pPr>
            <w:r w:rsidRPr="00181B1C">
              <w:rPr>
                <w:rFonts w:cs="Arial"/>
                <w:bCs/>
              </w:rPr>
              <w:t>Nominal regulatory depreciation – as per clause 1E.9.1(c)</w:t>
            </w:r>
          </w:p>
        </w:tc>
        <w:tc>
          <w:tcPr>
            <w:tcW w:w="1276" w:type="dxa"/>
            <w:shd w:val="clear" w:color="auto" w:fill="F2F2F2" w:themeFill="background1" w:themeFillShade="F2"/>
            <w:noWrap/>
            <w:vAlign w:val="center"/>
          </w:tcPr>
          <w:p w:rsidR="00325BBB" w:rsidRPr="00181B1C" w:rsidRDefault="00325BBB" w:rsidP="00A865E0">
            <w:pPr>
              <w:keepNext/>
              <w:spacing w:after="0"/>
              <w:jc w:val="right"/>
              <w:rPr>
                <w:rFonts w:cs="Arial"/>
              </w:rPr>
            </w:pPr>
            <w:r w:rsidRPr="00181B1C">
              <w:rPr>
                <w:rFonts w:cs="Arial"/>
              </w:rPr>
              <w:t>397 570</w:t>
            </w:r>
          </w:p>
        </w:tc>
      </w:tr>
      <w:tr w:rsidR="00325BBB" w:rsidRPr="00181B1C" w:rsidTr="00A865E0">
        <w:trPr>
          <w:trHeight w:val="255"/>
        </w:trPr>
        <w:tc>
          <w:tcPr>
            <w:tcW w:w="6819" w:type="dxa"/>
            <w:shd w:val="clear" w:color="000000" w:fill="FFFFFF"/>
            <w:noWrap/>
            <w:vAlign w:val="center"/>
            <w:hideMark/>
          </w:tcPr>
          <w:p w:rsidR="00325BBB" w:rsidRPr="00181B1C" w:rsidRDefault="00325BBB" w:rsidP="00A865E0">
            <w:pPr>
              <w:keepNext/>
              <w:spacing w:after="0"/>
              <w:rPr>
                <w:rFonts w:cs="Arial"/>
                <w:bCs/>
              </w:rPr>
            </w:pPr>
            <w:r w:rsidRPr="00181B1C">
              <w:rPr>
                <w:rFonts w:cs="Arial"/>
                <w:bCs/>
              </w:rPr>
              <w:t>Nominal operating expenditure</w:t>
            </w:r>
          </w:p>
        </w:tc>
        <w:tc>
          <w:tcPr>
            <w:tcW w:w="1276" w:type="dxa"/>
            <w:shd w:val="clear" w:color="000000" w:fill="FFFFFF"/>
            <w:noWrap/>
            <w:vAlign w:val="center"/>
          </w:tcPr>
          <w:p w:rsidR="00325BBB" w:rsidRPr="00181B1C" w:rsidRDefault="00325BBB" w:rsidP="00A865E0">
            <w:pPr>
              <w:keepNext/>
              <w:spacing w:after="0"/>
              <w:jc w:val="right"/>
              <w:rPr>
                <w:rFonts w:cs="Arial"/>
              </w:rPr>
            </w:pPr>
            <w:r w:rsidRPr="00181B1C">
              <w:rPr>
                <w:rFonts w:cs="Arial"/>
              </w:rPr>
              <w:t>2 259 775</w:t>
            </w:r>
          </w:p>
        </w:tc>
      </w:tr>
      <w:tr w:rsidR="00325BBB" w:rsidRPr="00181B1C" w:rsidTr="00A865E0">
        <w:trPr>
          <w:trHeight w:val="255"/>
        </w:trPr>
        <w:tc>
          <w:tcPr>
            <w:tcW w:w="6819" w:type="dxa"/>
            <w:shd w:val="clear" w:color="auto" w:fill="F2F2F2" w:themeFill="background1" w:themeFillShade="F2"/>
            <w:noWrap/>
            <w:vAlign w:val="center"/>
            <w:hideMark/>
          </w:tcPr>
          <w:p w:rsidR="00325BBB" w:rsidRPr="00181B1C" w:rsidRDefault="00325BBB" w:rsidP="00A865E0">
            <w:pPr>
              <w:keepNext/>
              <w:spacing w:after="0"/>
              <w:rPr>
                <w:rFonts w:cs="Arial"/>
                <w:bCs/>
              </w:rPr>
            </w:pPr>
            <w:r w:rsidRPr="00181B1C">
              <w:rPr>
                <w:rFonts w:cs="Arial"/>
                <w:bCs/>
              </w:rPr>
              <w:t xml:space="preserve">Net tax allowance </w:t>
            </w:r>
          </w:p>
        </w:tc>
        <w:tc>
          <w:tcPr>
            <w:tcW w:w="1276" w:type="dxa"/>
            <w:shd w:val="clear" w:color="auto" w:fill="F2F2F2" w:themeFill="background1" w:themeFillShade="F2"/>
            <w:noWrap/>
            <w:vAlign w:val="center"/>
          </w:tcPr>
          <w:p w:rsidR="00325BBB" w:rsidRPr="00181B1C" w:rsidRDefault="00325BBB" w:rsidP="00A865E0">
            <w:pPr>
              <w:keepNext/>
              <w:spacing w:after="0"/>
              <w:jc w:val="right"/>
              <w:rPr>
                <w:rFonts w:cs="Arial"/>
                <w:bCs/>
                <w:iCs/>
              </w:rPr>
            </w:pPr>
            <w:r w:rsidRPr="00181B1C">
              <w:rPr>
                <w:rFonts w:cs="Arial"/>
                <w:bCs/>
                <w:iCs/>
              </w:rPr>
              <w:t>-</w:t>
            </w:r>
          </w:p>
        </w:tc>
      </w:tr>
      <w:tr w:rsidR="00325BBB" w:rsidRPr="00181B1C" w:rsidTr="00A865E0">
        <w:trPr>
          <w:trHeight w:val="255"/>
        </w:trPr>
        <w:tc>
          <w:tcPr>
            <w:tcW w:w="6819" w:type="dxa"/>
            <w:shd w:val="clear" w:color="000000" w:fill="FFFFFF"/>
            <w:noWrap/>
            <w:vAlign w:val="center"/>
            <w:hideMark/>
          </w:tcPr>
          <w:p w:rsidR="00325BBB" w:rsidRPr="00181B1C" w:rsidRDefault="00325BBB" w:rsidP="00A865E0">
            <w:pPr>
              <w:keepNext/>
              <w:spacing w:after="0"/>
              <w:rPr>
                <w:rFonts w:cs="Arial"/>
                <w:bCs/>
              </w:rPr>
            </w:pPr>
            <w:r w:rsidRPr="00181B1C">
              <w:rPr>
                <w:rFonts w:cs="Arial"/>
                <w:bCs/>
              </w:rPr>
              <w:t>Annual construction in progress allowance – as per Clause 1E.10</w:t>
            </w:r>
          </w:p>
        </w:tc>
        <w:tc>
          <w:tcPr>
            <w:tcW w:w="1276" w:type="dxa"/>
            <w:shd w:val="clear" w:color="000000" w:fill="FFFFFF"/>
            <w:noWrap/>
            <w:vAlign w:val="center"/>
          </w:tcPr>
          <w:p w:rsidR="00325BBB" w:rsidRPr="00181B1C" w:rsidRDefault="00325BBB" w:rsidP="00A865E0">
            <w:pPr>
              <w:keepNext/>
              <w:spacing w:after="0"/>
              <w:jc w:val="right"/>
              <w:rPr>
                <w:rFonts w:cs="Arial"/>
                <w:bCs/>
                <w:iCs/>
              </w:rPr>
            </w:pPr>
            <w:r w:rsidRPr="00181B1C">
              <w:rPr>
                <w:rFonts w:cs="Arial"/>
                <w:bCs/>
                <w:iCs/>
              </w:rPr>
              <w:t>227 127</w:t>
            </w:r>
          </w:p>
        </w:tc>
      </w:tr>
      <w:tr w:rsidR="00325BBB" w:rsidRPr="00181B1C" w:rsidTr="00A865E0">
        <w:trPr>
          <w:trHeight w:val="255"/>
        </w:trPr>
        <w:tc>
          <w:tcPr>
            <w:tcW w:w="6819" w:type="dxa"/>
            <w:shd w:val="clear" w:color="auto" w:fill="F2F2F2" w:themeFill="background1" w:themeFillShade="F2"/>
            <w:noWrap/>
            <w:vAlign w:val="center"/>
            <w:hideMark/>
          </w:tcPr>
          <w:p w:rsidR="00325BBB" w:rsidRPr="00181B1C" w:rsidRDefault="00325BBB" w:rsidP="00A865E0">
            <w:pPr>
              <w:keepNext/>
              <w:spacing w:after="0"/>
              <w:rPr>
                <w:rFonts w:cs="Arial"/>
                <w:bCs/>
              </w:rPr>
            </w:pPr>
            <w:r w:rsidRPr="00181B1C">
              <w:rPr>
                <w:rFonts w:cs="Arial"/>
                <w:bCs/>
              </w:rPr>
              <w:t>ABBRR</w:t>
            </w:r>
          </w:p>
        </w:tc>
        <w:tc>
          <w:tcPr>
            <w:tcW w:w="1276" w:type="dxa"/>
            <w:shd w:val="clear" w:color="auto" w:fill="F2F2F2" w:themeFill="background1" w:themeFillShade="F2"/>
            <w:noWrap/>
            <w:vAlign w:val="center"/>
          </w:tcPr>
          <w:p w:rsidR="00325BBB" w:rsidRPr="00181B1C" w:rsidRDefault="00325BBB" w:rsidP="00A865E0">
            <w:pPr>
              <w:keepNext/>
              <w:spacing w:after="0"/>
              <w:jc w:val="right"/>
              <w:rPr>
                <w:rFonts w:cs="Arial"/>
                <w:bCs/>
                <w:iCs/>
              </w:rPr>
            </w:pPr>
            <w:r w:rsidRPr="00181B1C">
              <w:rPr>
                <w:rFonts w:cs="Arial"/>
                <w:bCs/>
                <w:iCs/>
              </w:rPr>
              <w:t>3 198 728</w:t>
            </w:r>
          </w:p>
        </w:tc>
      </w:tr>
    </w:tbl>
    <w:p w:rsidR="00325BBB" w:rsidRPr="00181B1C" w:rsidRDefault="00325BBB" w:rsidP="00325BBB">
      <w:pPr>
        <w:spacing w:after="200" w:line="276" w:lineRule="auto"/>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4A0" w:firstRow="1" w:lastRow="0" w:firstColumn="1" w:lastColumn="0" w:noHBand="0" w:noVBand="1"/>
      </w:tblPr>
      <w:tblGrid>
        <w:gridCol w:w="6804"/>
        <w:gridCol w:w="1276"/>
      </w:tblGrid>
      <w:tr w:rsidR="00325BBB" w:rsidRPr="00181B1C" w:rsidTr="00A865E0">
        <w:trPr>
          <w:trHeight w:val="270"/>
        </w:trPr>
        <w:tc>
          <w:tcPr>
            <w:tcW w:w="6804" w:type="dxa"/>
            <w:tcBorders>
              <w:bottom w:val="single" w:sz="4" w:space="0" w:color="auto"/>
            </w:tcBorders>
            <w:shd w:val="clear" w:color="000000" w:fill="BFBFBF" w:themeFill="background1" w:themeFillShade="BF"/>
            <w:noWrap/>
            <w:vAlign w:val="center"/>
            <w:hideMark/>
          </w:tcPr>
          <w:p w:rsidR="00325BBB" w:rsidRPr="00181B1C" w:rsidRDefault="00325BBB" w:rsidP="00A865E0">
            <w:pPr>
              <w:keepNext/>
              <w:keepLines/>
              <w:spacing w:after="0"/>
              <w:rPr>
                <w:rFonts w:cs="Arial"/>
                <w:b/>
                <w:bCs/>
              </w:rPr>
            </w:pPr>
            <w:r w:rsidRPr="00181B1C">
              <w:rPr>
                <w:rFonts w:cs="Arial"/>
                <w:b/>
                <w:bCs/>
              </w:rPr>
              <w:t>Year</w:t>
            </w:r>
          </w:p>
        </w:tc>
        <w:tc>
          <w:tcPr>
            <w:tcW w:w="1276" w:type="dxa"/>
            <w:tcBorders>
              <w:bottom w:val="single" w:sz="4" w:space="0" w:color="auto"/>
            </w:tcBorders>
            <w:shd w:val="clear" w:color="000000" w:fill="BFBFBF" w:themeFill="background1" w:themeFillShade="BF"/>
            <w:noWrap/>
            <w:vAlign w:val="center"/>
          </w:tcPr>
          <w:p w:rsidR="00325BBB" w:rsidRPr="00181B1C" w:rsidRDefault="00325BBB" w:rsidP="00A865E0">
            <w:pPr>
              <w:keepNext/>
              <w:keepLines/>
              <w:spacing w:after="0"/>
              <w:jc w:val="right"/>
              <w:rPr>
                <w:rFonts w:cs="Arial"/>
                <w:b/>
                <w:bCs/>
              </w:rPr>
            </w:pPr>
            <w:r>
              <w:rPr>
                <w:rFonts w:cs="Arial"/>
                <w:b/>
                <w:bCs/>
              </w:rPr>
              <w:t>2015-16</w:t>
            </w:r>
          </w:p>
        </w:tc>
      </w:tr>
      <w:tr w:rsidR="00325BBB" w:rsidRPr="00181B1C" w:rsidTr="00A865E0">
        <w:trPr>
          <w:trHeight w:val="255"/>
        </w:trPr>
        <w:tc>
          <w:tcPr>
            <w:tcW w:w="6804" w:type="dxa"/>
            <w:shd w:val="clear" w:color="auto" w:fill="D9D9D9" w:themeFill="background1" w:themeFillShade="D9"/>
            <w:noWrap/>
            <w:vAlign w:val="center"/>
          </w:tcPr>
          <w:p w:rsidR="00325BBB" w:rsidRPr="00181B1C" w:rsidRDefault="00325BBB" w:rsidP="00A865E0">
            <w:pPr>
              <w:keepNext/>
              <w:keepLines/>
              <w:spacing w:after="0"/>
              <w:rPr>
                <w:rFonts w:cs="Arial"/>
                <w:bCs/>
              </w:rPr>
            </w:pPr>
            <w:r w:rsidRPr="00181B1C">
              <w:rPr>
                <w:rFonts w:cs="Arial"/>
                <w:b/>
              </w:rPr>
              <w:t>Taxation calculations ($'000 NOMINAL) - as per Clause 1E.9.3</w:t>
            </w:r>
          </w:p>
        </w:tc>
        <w:tc>
          <w:tcPr>
            <w:tcW w:w="1276" w:type="dxa"/>
            <w:shd w:val="clear" w:color="auto" w:fill="D9D9D9" w:themeFill="background1" w:themeFillShade="D9"/>
            <w:noWrap/>
            <w:vAlign w:val="center"/>
          </w:tcPr>
          <w:p w:rsidR="00325BBB" w:rsidRPr="00181B1C" w:rsidRDefault="00325BBB" w:rsidP="00A865E0">
            <w:pPr>
              <w:keepNext/>
              <w:keepLines/>
              <w:spacing w:after="0"/>
              <w:jc w:val="center"/>
              <w:rPr>
                <w:rFonts w:cs="Arial"/>
              </w:rPr>
            </w:pPr>
          </w:p>
        </w:tc>
      </w:tr>
      <w:tr w:rsidR="00325BBB" w:rsidRPr="00181B1C" w:rsidTr="00A865E0">
        <w:trPr>
          <w:trHeight w:val="255"/>
        </w:trPr>
        <w:tc>
          <w:tcPr>
            <w:tcW w:w="6804" w:type="dxa"/>
            <w:shd w:val="clear" w:color="000000" w:fill="FFFFFF"/>
            <w:noWrap/>
            <w:vAlign w:val="center"/>
            <w:hideMark/>
          </w:tcPr>
          <w:p w:rsidR="00325BBB" w:rsidRPr="00181B1C" w:rsidRDefault="00325BBB" w:rsidP="00A865E0">
            <w:pPr>
              <w:keepNext/>
              <w:keepLines/>
              <w:spacing w:after="0"/>
              <w:rPr>
                <w:rFonts w:cs="Arial"/>
                <w:bCs/>
              </w:rPr>
            </w:pPr>
            <w:r w:rsidRPr="00181B1C">
              <w:rPr>
                <w:rFonts w:cs="Arial"/>
                <w:bCs/>
              </w:rPr>
              <w:t>Nominal revenue</w:t>
            </w:r>
          </w:p>
        </w:tc>
        <w:tc>
          <w:tcPr>
            <w:tcW w:w="1276" w:type="dxa"/>
            <w:shd w:val="clear" w:color="000000" w:fill="FFFFFF"/>
            <w:noWrap/>
            <w:vAlign w:val="center"/>
          </w:tcPr>
          <w:p w:rsidR="00325BBB" w:rsidRPr="00181B1C" w:rsidRDefault="00325BBB" w:rsidP="00A865E0">
            <w:pPr>
              <w:keepNext/>
              <w:keepLines/>
              <w:spacing w:after="0"/>
              <w:jc w:val="right"/>
              <w:rPr>
                <w:rFonts w:cs="Arial"/>
              </w:rPr>
            </w:pPr>
            <w:r w:rsidRPr="00181B1C">
              <w:rPr>
                <w:rFonts w:cs="Arial"/>
              </w:rPr>
              <w:t>421 455</w:t>
            </w:r>
          </w:p>
        </w:tc>
      </w:tr>
      <w:tr w:rsidR="00325BBB" w:rsidRPr="00181B1C" w:rsidTr="00A865E0">
        <w:trPr>
          <w:trHeight w:val="255"/>
        </w:trPr>
        <w:tc>
          <w:tcPr>
            <w:tcW w:w="6804" w:type="dxa"/>
            <w:shd w:val="clear" w:color="auto" w:fill="F2F2F2" w:themeFill="background1" w:themeFillShade="F2"/>
            <w:noWrap/>
            <w:vAlign w:val="center"/>
            <w:hideMark/>
          </w:tcPr>
          <w:p w:rsidR="00325BBB" w:rsidRPr="00181B1C" w:rsidRDefault="00325BBB" w:rsidP="00A865E0">
            <w:pPr>
              <w:keepNext/>
              <w:keepLines/>
              <w:spacing w:after="0"/>
              <w:rPr>
                <w:rFonts w:cs="Arial"/>
              </w:rPr>
            </w:pPr>
            <w:r w:rsidRPr="00181B1C">
              <w:rPr>
                <w:rFonts w:cs="Arial"/>
                <w:i/>
              </w:rPr>
              <w:t>Add</w:t>
            </w:r>
            <w:r w:rsidRPr="00181B1C">
              <w:rPr>
                <w:rFonts w:cs="Arial"/>
              </w:rPr>
              <w:t xml:space="preserve"> value of assets received for nil consideration</w:t>
            </w:r>
          </w:p>
        </w:tc>
        <w:tc>
          <w:tcPr>
            <w:tcW w:w="1276" w:type="dxa"/>
            <w:shd w:val="clear" w:color="auto" w:fill="F2F2F2" w:themeFill="background1" w:themeFillShade="F2"/>
            <w:noWrap/>
            <w:vAlign w:val="center"/>
          </w:tcPr>
          <w:p w:rsidR="00325BBB" w:rsidRPr="00181B1C" w:rsidRDefault="00325BBB" w:rsidP="00A865E0">
            <w:pPr>
              <w:keepNext/>
              <w:keepLines/>
              <w:spacing w:after="0"/>
              <w:jc w:val="right"/>
              <w:rPr>
                <w:rFonts w:cs="Arial"/>
              </w:rPr>
            </w:pPr>
            <w:r w:rsidRPr="00181B1C">
              <w:rPr>
                <w:rFonts w:cs="Arial"/>
              </w:rPr>
              <w:t>97 633</w:t>
            </w:r>
          </w:p>
        </w:tc>
      </w:tr>
      <w:tr w:rsidR="00325BBB" w:rsidRPr="00181B1C" w:rsidTr="00A865E0">
        <w:trPr>
          <w:trHeight w:val="255"/>
        </w:trPr>
        <w:tc>
          <w:tcPr>
            <w:tcW w:w="6804" w:type="dxa"/>
            <w:shd w:val="clear" w:color="000000" w:fill="FFFFFF"/>
            <w:noWrap/>
            <w:vAlign w:val="center"/>
            <w:hideMark/>
          </w:tcPr>
          <w:p w:rsidR="00325BBB" w:rsidRPr="00181B1C" w:rsidRDefault="00325BBB" w:rsidP="00A865E0">
            <w:pPr>
              <w:keepNext/>
              <w:keepLines/>
              <w:spacing w:after="0"/>
              <w:rPr>
                <w:rFonts w:cs="Arial"/>
              </w:rPr>
            </w:pPr>
            <w:r w:rsidRPr="00181B1C">
              <w:rPr>
                <w:rFonts w:cs="Arial"/>
                <w:i/>
              </w:rPr>
              <w:t>Less</w:t>
            </w:r>
            <w:r w:rsidRPr="00181B1C">
              <w:rPr>
                <w:rFonts w:cs="Arial"/>
              </w:rPr>
              <w:t xml:space="preserve"> nominal operating expenditure</w:t>
            </w:r>
          </w:p>
        </w:tc>
        <w:tc>
          <w:tcPr>
            <w:tcW w:w="1276" w:type="dxa"/>
            <w:shd w:val="clear" w:color="000000" w:fill="FFFFFF"/>
            <w:noWrap/>
            <w:vAlign w:val="center"/>
          </w:tcPr>
          <w:p w:rsidR="00325BBB" w:rsidRPr="00181B1C" w:rsidRDefault="00325BBB" w:rsidP="00A865E0">
            <w:pPr>
              <w:keepNext/>
              <w:keepLines/>
              <w:spacing w:after="0"/>
              <w:jc w:val="right"/>
              <w:rPr>
                <w:rFonts w:cs="Arial"/>
              </w:rPr>
            </w:pPr>
            <w:r w:rsidRPr="00181B1C">
              <w:rPr>
                <w:rFonts w:cs="Arial"/>
              </w:rPr>
              <w:t>(2 259 775)</w:t>
            </w:r>
          </w:p>
        </w:tc>
      </w:tr>
      <w:tr w:rsidR="00325BBB" w:rsidRPr="00181B1C" w:rsidTr="00A865E0">
        <w:trPr>
          <w:trHeight w:val="255"/>
        </w:trPr>
        <w:tc>
          <w:tcPr>
            <w:tcW w:w="6804" w:type="dxa"/>
            <w:shd w:val="clear" w:color="auto" w:fill="F2F2F2" w:themeFill="background1" w:themeFillShade="F2"/>
            <w:noWrap/>
            <w:vAlign w:val="center"/>
            <w:hideMark/>
          </w:tcPr>
          <w:p w:rsidR="00325BBB" w:rsidRPr="00181B1C" w:rsidRDefault="00325BBB" w:rsidP="00A865E0">
            <w:pPr>
              <w:keepNext/>
              <w:keepLines/>
              <w:spacing w:after="0"/>
              <w:rPr>
                <w:rFonts w:cs="Arial"/>
              </w:rPr>
            </w:pPr>
            <w:r w:rsidRPr="00181B1C">
              <w:rPr>
                <w:rFonts w:cs="Arial"/>
                <w:i/>
              </w:rPr>
              <w:t>Less</w:t>
            </w:r>
            <w:r w:rsidRPr="00181B1C">
              <w:rPr>
                <w:rFonts w:cs="Arial"/>
              </w:rPr>
              <w:t xml:space="preserve"> nominal tax depreciation</w:t>
            </w:r>
          </w:p>
        </w:tc>
        <w:tc>
          <w:tcPr>
            <w:tcW w:w="1276" w:type="dxa"/>
            <w:shd w:val="clear" w:color="auto" w:fill="F2F2F2" w:themeFill="background1" w:themeFillShade="F2"/>
            <w:noWrap/>
            <w:vAlign w:val="center"/>
          </w:tcPr>
          <w:p w:rsidR="00325BBB" w:rsidRPr="00181B1C" w:rsidRDefault="00325BBB" w:rsidP="00A865E0">
            <w:pPr>
              <w:keepNext/>
              <w:keepLines/>
              <w:spacing w:after="0"/>
              <w:jc w:val="right"/>
              <w:rPr>
                <w:rFonts w:cs="Arial"/>
              </w:rPr>
            </w:pPr>
            <w:r w:rsidRPr="00181B1C">
              <w:rPr>
                <w:rFonts w:cs="Arial"/>
              </w:rPr>
              <w:t>(433 314)</w:t>
            </w:r>
          </w:p>
        </w:tc>
      </w:tr>
      <w:tr w:rsidR="00325BBB" w:rsidRPr="00181B1C" w:rsidTr="00A865E0">
        <w:trPr>
          <w:trHeight w:val="255"/>
        </w:trPr>
        <w:tc>
          <w:tcPr>
            <w:tcW w:w="6804" w:type="dxa"/>
            <w:shd w:val="clear" w:color="000000" w:fill="FFFFFF"/>
            <w:noWrap/>
            <w:vAlign w:val="center"/>
            <w:hideMark/>
          </w:tcPr>
          <w:p w:rsidR="00325BBB" w:rsidRPr="00181B1C" w:rsidRDefault="00325BBB" w:rsidP="00A865E0">
            <w:pPr>
              <w:keepNext/>
              <w:keepLines/>
              <w:spacing w:after="0"/>
              <w:rPr>
                <w:rFonts w:cs="Arial"/>
              </w:rPr>
            </w:pPr>
            <w:r w:rsidRPr="00181B1C">
              <w:rPr>
                <w:rFonts w:cs="Arial"/>
                <w:i/>
              </w:rPr>
              <w:t>Less</w:t>
            </w:r>
            <w:r w:rsidRPr="00181B1C">
              <w:rPr>
                <w:rFonts w:cs="Arial"/>
              </w:rPr>
              <w:t xml:space="preserve"> interest expense</w:t>
            </w:r>
          </w:p>
        </w:tc>
        <w:tc>
          <w:tcPr>
            <w:tcW w:w="1276" w:type="dxa"/>
            <w:shd w:val="clear" w:color="000000" w:fill="FFFFFF"/>
            <w:noWrap/>
            <w:vAlign w:val="center"/>
          </w:tcPr>
          <w:p w:rsidR="00325BBB" w:rsidRPr="00181B1C" w:rsidRDefault="00325BBB" w:rsidP="00A865E0">
            <w:pPr>
              <w:keepNext/>
              <w:keepLines/>
              <w:spacing w:after="0"/>
              <w:jc w:val="right"/>
              <w:rPr>
                <w:rFonts w:cs="Arial"/>
              </w:rPr>
            </w:pPr>
            <w:r w:rsidRPr="00181B1C">
              <w:rPr>
                <w:rFonts w:cs="Arial"/>
              </w:rPr>
              <w:t>(247)</w:t>
            </w:r>
          </w:p>
        </w:tc>
      </w:tr>
      <w:tr w:rsidR="00325BBB" w:rsidRPr="00181B1C" w:rsidTr="00A865E0">
        <w:trPr>
          <w:trHeight w:val="255"/>
        </w:trPr>
        <w:tc>
          <w:tcPr>
            <w:tcW w:w="6804" w:type="dxa"/>
            <w:shd w:val="clear" w:color="auto" w:fill="F2F2F2" w:themeFill="background1" w:themeFillShade="F2"/>
            <w:noWrap/>
            <w:vAlign w:val="center"/>
            <w:hideMark/>
          </w:tcPr>
          <w:p w:rsidR="00325BBB" w:rsidRPr="00181B1C" w:rsidRDefault="00325BBB" w:rsidP="00A865E0">
            <w:pPr>
              <w:keepNext/>
              <w:keepLines/>
              <w:spacing w:after="0"/>
              <w:rPr>
                <w:rFonts w:cs="Arial"/>
                <w:bCs/>
              </w:rPr>
            </w:pPr>
            <w:r w:rsidRPr="00181B1C">
              <w:rPr>
                <w:rFonts w:cs="Arial"/>
                <w:bCs/>
              </w:rPr>
              <w:t>Taxable profit – as per Clause 1E.9.3</w:t>
            </w:r>
          </w:p>
        </w:tc>
        <w:tc>
          <w:tcPr>
            <w:tcW w:w="1276" w:type="dxa"/>
            <w:shd w:val="clear" w:color="auto" w:fill="F2F2F2" w:themeFill="background1" w:themeFillShade="F2"/>
            <w:noWrap/>
            <w:vAlign w:val="center"/>
          </w:tcPr>
          <w:p w:rsidR="00325BBB" w:rsidRPr="00181B1C" w:rsidRDefault="00325BBB" w:rsidP="00A865E0">
            <w:pPr>
              <w:keepNext/>
              <w:keepLines/>
              <w:spacing w:after="0"/>
              <w:jc w:val="right"/>
              <w:rPr>
                <w:rFonts w:cs="Arial"/>
                <w:bCs/>
                <w:iCs/>
              </w:rPr>
            </w:pPr>
            <w:r w:rsidRPr="00181B1C">
              <w:rPr>
                <w:rFonts w:cs="Arial"/>
                <w:bCs/>
                <w:iCs/>
              </w:rPr>
              <w:t>(2 184 249)</w:t>
            </w:r>
          </w:p>
        </w:tc>
      </w:tr>
      <w:tr w:rsidR="00325BBB" w:rsidRPr="00181B1C" w:rsidTr="00A865E0">
        <w:trPr>
          <w:trHeight w:val="255"/>
        </w:trPr>
        <w:tc>
          <w:tcPr>
            <w:tcW w:w="6804" w:type="dxa"/>
            <w:shd w:val="clear" w:color="000000" w:fill="FFFFFF"/>
            <w:noWrap/>
            <w:vAlign w:val="center"/>
            <w:hideMark/>
          </w:tcPr>
          <w:p w:rsidR="00325BBB" w:rsidRPr="00181B1C" w:rsidRDefault="00325BBB" w:rsidP="00A865E0">
            <w:pPr>
              <w:keepNext/>
              <w:keepLines/>
              <w:spacing w:after="0"/>
              <w:rPr>
                <w:rFonts w:cs="Arial"/>
              </w:rPr>
            </w:pPr>
            <w:r w:rsidRPr="00181B1C">
              <w:rPr>
                <w:rFonts w:cs="Arial"/>
                <w:bCs/>
              </w:rPr>
              <w:t>Tax loss carried forward (</w:t>
            </w:r>
            <w:r w:rsidRPr="00181B1C">
              <w:rPr>
                <w:rFonts w:cs="Arial"/>
              </w:rPr>
              <w:t xml:space="preserve">Start period) </w:t>
            </w:r>
            <w:r w:rsidRPr="00181B1C">
              <w:rPr>
                <w:rFonts w:cs="Arial"/>
                <w:bCs/>
              </w:rPr>
              <w:t>– as per Clause 1E.9.3</w:t>
            </w:r>
          </w:p>
        </w:tc>
        <w:tc>
          <w:tcPr>
            <w:tcW w:w="1276" w:type="dxa"/>
            <w:shd w:val="clear" w:color="000000" w:fill="FFFFFF"/>
            <w:noWrap/>
            <w:vAlign w:val="center"/>
          </w:tcPr>
          <w:p w:rsidR="00325BBB" w:rsidRPr="00181B1C" w:rsidRDefault="00325BBB" w:rsidP="00A865E0">
            <w:pPr>
              <w:keepNext/>
              <w:keepLines/>
              <w:spacing w:after="0"/>
              <w:jc w:val="right"/>
              <w:rPr>
                <w:rFonts w:cs="Arial"/>
                <w:bCs/>
                <w:iCs/>
              </w:rPr>
            </w:pPr>
            <w:r w:rsidRPr="00181B1C">
              <w:rPr>
                <w:rFonts w:cs="Arial"/>
                <w:bCs/>
                <w:iCs/>
              </w:rPr>
              <w:t>(4 760 207)</w:t>
            </w:r>
          </w:p>
        </w:tc>
      </w:tr>
      <w:tr w:rsidR="00325BBB" w:rsidRPr="00181B1C" w:rsidTr="00A865E0">
        <w:trPr>
          <w:trHeight w:val="255"/>
        </w:trPr>
        <w:tc>
          <w:tcPr>
            <w:tcW w:w="6804" w:type="dxa"/>
            <w:shd w:val="clear" w:color="auto" w:fill="F2F2F2" w:themeFill="background1" w:themeFillShade="F2"/>
            <w:noWrap/>
            <w:vAlign w:val="center"/>
            <w:hideMark/>
          </w:tcPr>
          <w:p w:rsidR="00325BBB" w:rsidRPr="00181B1C" w:rsidRDefault="00325BBB" w:rsidP="00A865E0">
            <w:pPr>
              <w:keepNext/>
              <w:keepLines/>
              <w:spacing w:after="0"/>
              <w:rPr>
                <w:rFonts w:cs="Arial"/>
              </w:rPr>
            </w:pPr>
            <w:r w:rsidRPr="00181B1C">
              <w:rPr>
                <w:rFonts w:cs="Arial"/>
                <w:bCs/>
              </w:rPr>
              <w:t>Tax loss carried forward (</w:t>
            </w:r>
            <w:r w:rsidRPr="00181B1C">
              <w:rPr>
                <w:rFonts w:cs="Arial"/>
              </w:rPr>
              <w:t>End period)</w:t>
            </w:r>
            <w:r w:rsidRPr="00181B1C">
              <w:rPr>
                <w:rFonts w:cs="Arial"/>
                <w:bCs/>
              </w:rPr>
              <w:t xml:space="preserve"> – as per Clause 1E.9.3</w:t>
            </w:r>
          </w:p>
        </w:tc>
        <w:tc>
          <w:tcPr>
            <w:tcW w:w="1276" w:type="dxa"/>
            <w:shd w:val="clear" w:color="auto" w:fill="F2F2F2" w:themeFill="background1" w:themeFillShade="F2"/>
            <w:noWrap/>
            <w:vAlign w:val="center"/>
          </w:tcPr>
          <w:p w:rsidR="00325BBB" w:rsidRPr="00181B1C" w:rsidRDefault="00325BBB" w:rsidP="00A865E0">
            <w:pPr>
              <w:keepNext/>
              <w:keepLines/>
              <w:spacing w:after="0"/>
              <w:jc w:val="right"/>
              <w:rPr>
                <w:rFonts w:cs="Arial"/>
                <w:bCs/>
                <w:iCs/>
              </w:rPr>
            </w:pPr>
            <w:r w:rsidRPr="00181B1C">
              <w:rPr>
                <w:rFonts w:cs="Arial"/>
                <w:bCs/>
                <w:iCs/>
              </w:rPr>
              <w:t>(6 944 456)</w:t>
            </w:r>
          </w:p>
        </w:tc>
      </w:tr>
      <w:tr w:rsidR="00325BBB" w:rsidRPr="00181B1C" w:rsidTr="00A865E0">
        <w:trPr>
          <w:trHeight w:val="255"/>
        </w:trPr>
        <w:tc>
          <w:tcPr>
            <w:tcW w:w="6804" w:type="dxa"/>
            <w:shd w:val="clear" w:color="000000" w:fill="FFFFFF"/>
            <w:noWrap/>
            <w:vAlign w:val="center"/>
            <w:hideMark/>
          </w:tcPr>
          <w:p w:rsidR="00325BBB" w:rsidRPr="00181B1C" w:rsidRDefault="00325BBB" w:rsidP="00A865E0">
            <w:pPr>
              <w:keepNext/>
              <w:keepLines/>
              <w:spacing w:after="0"/>
              <w:rPr>
                <w:rFonts w:cs="Arial"/>
                <w:bCs/>
              </w:rPr>
            </w:pPr>
            <w:r w:rsidRPr="00181B1C">
              <w:rPr>
                <w:rFonts w:cs="Arial"/>
                <w:bCs/>
              </w:rPr>
              <w:t>Net tax allowance – as per Clause 1E.9.3</w:t>
            </w:r>
          </w:p>
        </w:tc>
        <w:tc>
          <w:tcPr>
            <w:tcW w:w="1276" w:type="dxa"/>
            <w:shd w:val="clear" w:color="000000" w:fill="FFFFFF"/>
            <w:noWrap/>
            <w:vAlign w:val="center"/>
          </w:tcPr>
          <w:p w:rsidR="00325BBB" w:rsidRPr="00181B1C" w:rsidRDefault="00325BBB" w:rsidP="00A865E0">
            <w:pPr>
              <w:keepNext/>
              <w:keepLines/>
              <w:spacing w:after="0"/>
              <w:jc w:val="right"/>
              <w:rPr>
                <w:rFonts w:cs="Arial"/>
              </w:rPr>
            </w:pPr>
            <w:r w:rsidRPr="00181B1C">
              <w:rPr>
                <w:rFonts w:cs="Arial"/>
              </w:rPr>
              <w:t>-</w:t>
            </w:r>
          </w:p>
        </w:tc>
      </w:tr>
    </w:tbl>
    <w:p w:rsidR="00325BBB" w:rsidRPr="00181B1C" w:rsidRDefault="00325BBB" w:rsidP="00325BBB">
      <w:pPr>
        <w:spacing w:after="200" w:line="276" w:lineRule="auto"/>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45" w:type="dxa"/>
        </w:tblCellMar>
        <w:tblLook w:val="04A0" w:firstRow="1" w:lastRow="0" w:firstColumn="1" w:lastColumn="0" w:noHBand="0" w:noVBand="1"/>
      </w:tblPr>
      <w:tblGrid>
        <w:gridCol w:w="6804"/>
        <w:gridCol w:w="1276"/>
      </w:tblGrid>
      <w:tr w:rsidR="00325BBB" w:rsidRPr="00181B1C" w:rsidTr="00A865E0">
        <w:trPr>
          <w:trHeight w:val="270"/>
        </w:trPr>
        <w:tc>
          <w:tcPr>
            <w:tcW w:w="6804" w:type="dxa"/>
            <w:tcBorders>
              <w:bottom w:val="single" w:sz="4" w:space="0" w:color="auto"/>
            </w:tcBorders>
            <w:shd w:val="clear" w:color="000000" w:fill="BFBFBF" w:themeFill="background1" w:themeFillShade="BF"/>
            <w:noWrap/>
            <w:vAlign w:val="center"/>
            <w:hideMark/>
          </w:tcPr>
          <w:p w:rsidR="00325BBB" w:rsidRPr="00181B1C" w:rsidRDefault="00325BBB" w:rsidP="00A865E0">
            <w:pPr>
              <w:keepNext/>
              <w:spacing w:after="0"/>
              <w:rPr>
                <w:rFonts w:cs="Arial"/>
                <w:b/>
                <w:bCs/>
              </w:rPr>
            </w:pPr>
            <w:r w:rsidRPr="00181B1C">
              <w:rPr>
                <w:rFonts w:cs="Arial"/>
                <w:b/>
                <w:bCs/>
              </w:rPr>
              <w:t>Year</w:t>
            </w:r>
          </w:p>
        </w:tc>
        <w:tc>
          <w:tcPr>
            <w:tcW w:w="1276" w:type="dxa"/>
            <w:tcBorders>
              <w:bottom w:val="single" w:sz="4" w:space="0" w:color="auto"/>
            </w:tcBorders>
            <w:shd w:val="clear" w:color="000000" w:fill="BFBFBF" w:themeFill="background1" w:themeFillShade="BF"/>
            <w:noWrap/>
            <w:vAlign w:val="center"/>
          </w:tcPr>
          <w:p w:rsidR="00325BBB" w:rsidRPr="00181B1C" w:rsidRDefault="00325BBB" w:rsidP="00A865E0">
            <w:pPr>
              <w:keepNext/>
              <w:spacing w:after="0"/>
              <w:jc w:val="right"/>
              <w:rPr>
                <w:rFonts w:cs="Arial"/>
                <w:b/>
                <w:bCs/>
              </w:rPr>
            </w:pPr>
            <w:r>
              <w:rPr>
                <w:rFonts w:cs="Arial"/>
                <w:b/>
                <w:bCs/>
              </w:rPr>
              <w:t>2015-16</w:t>
            </w:r>
          </w:p>
        </w:tc>
      </w:tr>
      <w:tr w:rsidR="00325BBB" w:rsidRPr="00181B1C" w:rsidTr="00A865E0">
        <w:trPr>
          <w:trHeight w:val="270"/>
        </w:trPr>
        <w:tc>
          <w:tcPr>
            <w:tcW w:w="6804" w:type="dxa"/>
            <w:shd w:val="clear" w:color="auto" w:fill="D9D9D9" w:themeFill="background1" w:themeFillShade="D9"/>
            <w:noWrap/>
            <w:vAlign w:val="center"/>
          </w:tcPr>
          <w:p w:rsidR="00325BBB" w:rsidRPr="00181B1C" w:rsidRDefault="00325BBB" w:rsidP="00A865E0">
            <w:pPr>
              <w:keepNext/>
              <w:keepLines/>
              <w:spacing w:after="0"/>
              <w:rPr>
                <w:rFonts w:cs="Arial"/>
              </w:rPr>
            </w:pPr>
            <w:r w:rsidRPr="00181B1C">
              <w:rPr>
                <w:rFonts w:cs="Arial"/>
                <w:b/>
              </w:rPr>
              <w:t>ICRA and CFRA ($'000 NOMINAL) – as per Clause 1E.5</w:t>
            </w:r>
          </w:p>
        </w:tc>
        <w:tc>
          <w:tcPr>
            <w:tcW w:w="1276" w:type="dxa"/>
            <w:shd w:val="clear" w:color="auto" w:fill="D9D9D9" w:themeFill="background1" w:themeFillShade="D9"/>
            <w:noWrap/>
            <w:vAlign w:val="center"/>
          </w:tcPr>
          <w:p w:rsidR="00325BBB" w:rsidRPr="00181B1C" w:rsidRDefault="00325BBB" w:rsidP="00A865E0">
            <w:pPr>
              <w:keepNext/>
              <w:keepLines/>
              <w:spacing w:after="0"/>
              <w:jc w:val="center"/>
              <w:rPr>
                <w:rFonts w:cs="Arial"/>
              </w:rPr>
            </w:pPr>
          </w:p>
        </w:tc>
      </w:tr>
      <w:tr w:rsidR="00325BBB" w:rsidRPr="00181B1C" w:rsidTr="00A865E0">
        <w:trPr>
          <w:trHeight w:val="270"/>
        </w:trPr>
        <w:tc>
          <w:tcPr>
            <w:tcW w:w="6804" w:type="dxa"/>
            <w:shd w:val="clear" w:color="000000" w:fill="FFFFFF"/>
            <w:noWrap/>
            <w:vAlign w:val="center"/>
            <w:hideMark/>
          </w:tcPr>
          <w:p w:rsidR="00325BBB" w:rsidRPr="00181B1C" w:rsidRDefault="00325BBB" w:rsidP="00A865E0">
            <w:pPr>
              <w:keepNext/>
              <w:keepLines/>
              <w:spacing w:after="0"/>
              <w:rPr>
                <w:rFonts w:cs="Arial"/>
              </w:rPr>
            </w:pPr>
            <w:r w:rsidRPr="00181B1C">
              <w:rPr>
                <w:rFonts w:cs="Arial"/>
              </w:rPr>
              <w:t>ICRA (start period) – as per Clause 1E.5.2</w:t>
            </w:r>
          </w:p>
        </w:tc>
        <w:tc>
          <w:tcPr>
            <w:tcW w:w="1276" w:type="dxa"/>
            <w:shd w:val="clear" w:color="000000" w:fill="FFFFFF"/>
            <w:noWrap/>
            <w:vAlign w:val="center"/>
          </w:tcPr>
          <w:p w:rsidR="00325BBB" w:rsidRPr="00181B1C" w:rsidRDefault="00325BBB" w:rsidP="00A865E0">
            <w:pPr>
              <w:keepNext/>
              <w:keepLines/>
              <w:spacing w:after="0"/>
              <w:jc w:val="right"/>
              <w:rPr>
                <w:rFonts w:cs="Arial"/>
              </w:rPr>
            </w:pPr>
            <w:r w:rsidRPr="00181B1C">
              <w:rPr>
                <w:rFonts w:cs="Arial"/>
              </w:rPr>
              <w:t>6 243 728</w:t>
            </w:r>
          </w:p>
        </w:tc>
      </w:tr>
      <w:tr w:rsidR="00325BBB" w:rsidRPr="00181B1C" w:rsidTr="00A865E0">
        <w:trPr>
          <w:trHeight w:val="270"/>
        </w:trPr>
        <w:tc>
          <w:tcPr>
            <w:tcW w:w="6804" w:type="dxa"/>
            <w:shd w:val="clear" w:color="auto" w:fill="F2F2F2" w:themeFill="background1" w:themeFillShade="F2"/>
            <w:noWrap/>
            <w:vAlign w:val="center"/>
            <w:hideMark/>
          </w:tcPr>
          <w:p w:rsidR="00325BBB" w:rsidRPr="00181B1C" w:rsidRDefault="00325BBB" w:rsidP="00A865E0">
            <w:pPr>
              <w:keepNext/>
              <w:keepLines/>
              <w:spacing w:after="0"/>
              <w:rPr>
                <w:rFonts w:cs="Arial"/>
              </w:rPr>
            </w:pPr>
            <w:r w:rsidRPr="00181B1C">
              <w:rPr>
                <w:rFonts w:cs="Arial"/>
              </w:rPr>
              <w:t>Unrecovered cost -as per Clause 1E.5.1</w:t>
            </w:r>
          </w:p>
        </w:tc>
        <w:tc>
          <w:tcPr>
            <w:tcW w:w="1276" w:type="dxa"/>
            <w:shd w:val="clear" w:color="auto" w:fill="F2F2F2" w:themeFill="background1" w:themeFillShade="F2"/>
            <w:noWrap/>
            <w:vAlign w:val="center"/>
          </w:tcPr>
          <w:p w:rsidR="00325BBB" w:rsidRPr="00181B1C" w:rsidRDefault="00325BBB" w:rsidP="00A865E0">
            <w:pPr>
              <w:keepNext/>
              <w:keepLines/>
              <w:spacing w:after="0"/>
              <w:jc w:val="right"/>
              <w:rPr>
                <w:rFonts w:cs="Arial"/>
              </w:rPr>
            </w:pPr>
            <w:r w:rsidRPr="00181B1C">
              <w:rPr>
                <w:rFonts w:cs="Arial"/>
              </w:rPr>
              <w:t>2 777 273</w:t>
            </w:r>
          </w:p>
        </w:tc>
      </w:tr>
      <w:tr w:rsidR="00325BBB" w:rsidRPr="00181B1C" w:rsidTr="00A865E0">
        <w:trPr>
          <w:trHeight w:val="270"/>
        </w:trPr>
        <w:tc>
          <w:tcPr>
            <w:tcW w:w="6804" w:type="dxa"/>
            <w:shd w:val="clear" w:color="000000" w:fill="FFFFFF"/>
            <w:noWrap/>
            <w:vAlign w:val="center"/>
            <w:hideMark/>
          </w:tcPr>
          <w:p w:rsidR="00325BBB" w:rsidRPr="00181B1C" w:rsidRDefault="00325BBB" w:rsidP="00A865E0">
            <w:pPr>
              <w:keepNext/>
              <w:keepLines/>
              <w:spacing w:after="0"/>
              <w:rPr>
                <w:rFonts w:cs="Arial"/>
              </w:rPr>
            </w:pPr>
            <w:r w:rsidRPr="00181B1C">
              <w:rPr>
                <w:rFonts w:cs="Arial"/>
              </w:rPr>
              <w:t>ICRA (end period) – as per Clause 1E.5.2</w:t>
            </w:r>
          </w:p>
        </w:tc>
        <w:tc>
          <w:tcPr>
            <w:tcW w:w="1276" w:type="dxa"/>
            <w:shd w:val="clear" w:color="000000" w:fill="FFFFFF"/>
            <w:noWrap/>
            <w:vAlign w:val="center"/>
          </w:tcPr>
          <w:p w:rsidR="00325BBB" w:rsidRPr="00181B1C" w:rsidRDefault="00325BBB" w:rsidP="00A865E0">
            <w:pPr>
              <w:keepNext/>
              <w:keepLines/>
              <w:spacing w:after="0"/>
              <w:jc w:val="right"/>
              <w:rPr>
                <w:rFonts w:cs="Arial"/>
              </w:rPr>
            </w:pPr>
            <w:r w:rsidRPr="00181B1C">
              <w:rPr>
                <w:rFonts w:cs="Arial"/>
              </w:rPr>
              <w:t>9 428175</w:t>
            </w:r>
          </w:p>
        </w:tc>
      </w:tr>
      <w:tr w:rsidR="00325BBB" w:rsidRPr="00181B1C" w:rsidTr="00A865E0">
        <w:trPr>
          <w:trHeight w:val="255"/>
        </w:trPr>
        <w:tc>
          <w:tcPr>
            <w:tcW w:w="6804" w:type="dxa"/>
            <w:shd w:val="clear" w:color="auto" w:fill="F2F2F2" w:themeFill="background1" w:themeFillShade="F2"/>
            <w:noWrap/>
            <w:vAlign w:val="center"/>
            <w:hideMark/>
          </w:tcPr>
          <w:p w:rsidR="00325BBB" w:rsidRPr="00181B1C" w:rsidRDefault="00325BBB" w:rsidP="00A865E0">
            <w:pPr>
              <w:keepNext/>
              <w:keepLines/>
              <w:spacing w:after="0"/>
              <w:rPr>
                <w:rFonts w:cs="Arial"/>
              </w:rPr>
            </w:pPr>
            <w:r w:rsidRPr="00181B1C">
              <w:rPr>
                <w:rFonts w:cs="Arial"/>
              </w:rPr>
              <w:t>Carry forward revenue adjustment – as per Clause 1E.5.3</w:t>
            </w:r>
          </w:p>
        </w:tc>
        <w:tc>
          <w:tcPr>
            <w:tcW w:w="1276" w:type="dxa"/>
            <w:shd w:val="clear" w:color="auto" w:fill="F2F2F2" w:themeFill="background1" w:themeFillShade="F2"/>
            <w:noWrap/>
            <w:vAlign w:val="center"/>
          </w:tcPr>
          <w:p w:rsidR="00325BBB" w:rsidRPr="00181B1C" w:rsidRDefault="00325BBB" w:rsidP="00A865E0">
            <w:pPr>
              <w:keepNext/>
              <w:keepLines/>
              <w:spacing w:after="0"/>
              <w:jc w:val="right"/>
              <w:rPr>
                <w:rFonts w:cs="Arial"/>
              </w:rPr>
            </w:pPr>
            <w:r w:rsidRPr="00181B1C">
              <w:rPr>
                <w:rFonts w:cs="Arial"/>
              </w:rPr>
              <w:t>n/a</w:t>
            </w:r>
          </w:p>
        </w:tc>
      </w:tr>
    </w:tbl>
    <w:p w:rsidR="00325BBB" w:rsidRDefault="00325BBB" w:rsidP="00325BBB"/>
    <w:p w:rsidR="00325BBB" w:rsidRDefault="00325BBB" w:rsidP="00325BBB"/>
    <w:p w:rsidR="00325BBB" w:rsidRDefault="00325BBB" w:rsidP="00325BBB"/>
    <w:p w:rsidR="00325BBB" w:rsidRDefault="00325BBB" w:rsidP="00325BBB"/>
    <w:p w:rsidR="00325BBB" w:rsidRDefault="00325BBB" w:rsidP="00325BBB"/>
    <w:p w:rsidR="00325BBB" w:rsidRPr="00325BBB" w:rsidRDefault="00325BBB">
      <w:pPr>
        <w:rPr>
          <w:b/>
        </w:rPr>
      </w:pPr>
    </w:p>
    <w:p w:rsidR="00325BBB" w:rsidRDefault="00325BBB"/>
    <w:sectPr w:rsidR="00325BBB" w:rsidSect="00691616">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E80" w:rsidRDefault="00A04E80" w:rsidP="004B4412">
      <w:r>
        <w:separator/>
      </w:r>
    </w:p>
  </w:endnote>
  <w:endnote w:type="continuationSeparator" w:id="0">
    <w:p w:rsidR="00A04E80" w:rsidRDefault="00A04E80"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80" w:rsidRDefault="00A04E80" w:rsidP="00A865E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6859"/>
      <w:docPartObj>
        <w:docPartGallery w:val="Page Numbers (Bottom of Page)"/>
        <w:docPartUnique/>
      </w:docPartObj>
    </w:sdtPr>
    <w:sdtEndPr>
      <w:rPr>
        <w:noProof/>
      </w:rPr>
    </w:sdtEndPr>
    <w:sdtContent>
      <w:p w:rsidR="00A04E80" w:rsidRDefault="00A04E80">
        <w:pPr>
          <w:pStyle w:val="Footer"/>
          <w:jc w:val="center"/>
        </w:pPr>
        <w:r>
          <w:fldChar w:fldCharType="begin"/>
        </w:r>
        <w:r>
          <w:instrText xml:space="preserve"> PAGE   \* MERGEFORMAT </w:instrText>
        </w:r>
        <w:r>
          <w:fldChar w:fldCharType="separate"/>
        </w:r>
        <w:r w:rsidR="00A000A3">
          <w:rPr>
            <w:noProof/>
          </w:rPr>
          <w:t>11</w:t>
        </w:r>
        <w:r>
          <w:rPr>
            <w:noProof/>
          </w:rPr>
          <w:fldChar w:fldCharType="end"/>
        </w:r>
      </w:p>
    </w:sdtContent>
  </w:sdt>
  <w:p w:rsidR="00A04E80" w:rsidRDefault="00A04E80" w:rsidP="00A865E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A04E80" w:rsidRDefault="00A04E80">
        <w:pPr>
          <w:pStyle w:val="Footer"/>
        </w:pPr>
        <w:r>
          <w:fldChar w:fldCharType="begin"/>
        </w:r>
        <w:r>
          <w:instrText xml:space="preserve"> PAGE   \* MERGEFORMAT </w:instrText>
        </w:r>
        <w:r>
          <w:fldChar w:fldCharType="separate"/>
        </w:r>
        <w:r>
          <w:rPr>
            <w:noProof/>
          </w:rPr>
          <w:t>1</w:t>
        </w:r>
        <w:r>
          <w:rPr>
            <w:noProof/>
          </w:rPr>
          <w:fldChar w:fldCharType="end"/>
        </w:r>
      </w:p>
    </w:sdtContent>
  </w:sdt>
  <w:p w:rsidR="00A04E80" w:rsidRDefault="00A04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E80" w:rsidRDefault="00A04E80" w:rsidP="004B4412">
      <w:r>
        <w:separator/>
      </w:r>
    </w:p>
  </w:footnote>
  <w:footnote w:type="continuationSeparator" w:id="0">
    <w:p w:rsidR="00A04E80" w:rsidRDefault="00A04E80" w:rsidP="004B4412">
      <w:r>
        <w:continuationSeparator/>
      </w:r>
    </w:p>
  </w:footnote>
  <w:footnote w:id="1">
    <w:p w:rsidR="00A04E80" w:rsidRPr="00D74667" w:rsidRDefault="00A04E80" w:rsidP="00D74667">
      <w:pPr>
        <w:pStyle w:val="NoSpacing"/>
        <w:rPr>
          <w:sz w:val="17"/>
          <w:szCs w:val="17"/>
        </w:rPr>
      </w:pPr>
      <w:r w:rsidRPr="00D74667">
        <w:rPr>
          <w:rStyle w:val="FootnoteReference"/>
          <w:sz w:val="20"/>
          <w:szCs w:val="20"/>
        </w:rPr>
        <w:footnoteRef/>
      </w:r>
      <w:r w:rsidRPr="00D74667">
        <w:rPr>
          <w:sz w:val="17"/>
          <w:szCs w:val="17"/>
        </w:rPr>
        <w:t xml:space="preserve"> </w:t>
      </w:r>
      <w:r w:rsidRPr="00D74667">
        <w:rPr>
          <w:sz w:val="17"/>
          <w:szCs w:val="17"/>
        </w:rPr>
        <w:tab/>
      </w:r>
      <w:proofErr w:type="gramStart"/>
      <w:r w:rsidRPr="00D74667">
        <w:rPr>
          <w:sz w:val="17"/>
          <w:szCs w:val="17"/>
        </w:rPr>
        <w:t>Schedule 1F of the SAU.</w:t>
      </w:r>
      <w:proofErr w:type="gramEnd"/>
    </w:p>
  </w:footnote>
  <w:footnote w:id="2">
    <w:p w:rsidR="00A04E80" w:rsidRPr="00D74667" w:rsidRDefault="00A04E80" w:rsidP="00D74667">
      <w:pPr>
        <w:pStyle w:val="NoSpacing"/>
        <w:rPr>
          <w:sz w:val="17"/>
          <w:szCs w:val="17"/>
        </w:rPr>
      </w:pPr>
      <w:r w:rsidRPr="00D74667">
        <w:rPr>
          <w:rStyle w:val="FootnoteReference"/>
          <w:sz w:val="20"/>
          <w:szCs w:val="20"/>
        </w:rPr>
        <w:footnoteRef/>
      </w:r>
      <w:r w:rsidRPr="00D74667">
        <w:rPr>
          <w:sz w:val="17"/>
          <w:szCs w:val="17"/>
        </w:rPr>
        <w:t xml:space="preserve"> </w:t>
      </w:r>
      <w:r w:rsidRPr="00D74667">
        <w:rPr>
          <w:sz w:val="17"/>
          <w:szCs w:val="17"/>
        </w:rPr>
        <w:tab/>
      </w:r>
      <w:proofErr w:type="gramStart"/>
      <w:r w:rsidRPr="00D74667">
        <w:rPr>
          <w:sz w:val="17"/>
          <w:szCs w:val="17"/>
        </w:rPr>
        <w:t>Schedule 1F.3 of the SAU.</w:t>
      </w:r>
      <w:proofErr w:type="gramEnd"/>
    </w:p>
  </w:footnote>
  <w:footnote w:id="3">
    <w:p w:rsidR="00A04E80" w:rsidRPr="00D74667" w:rsidRDefault="00A04E80" w:rsidP="00D74667">
      <w:pPr>
        <w:pStyle w:val="NoSpacing"/>
        <w:rPr>
          <w:sz w:val="17"/>
          <w:szCs w:val="17"/>
        </w:rPr>
      </w:pPr>
      <w:r w:rsidRPr="00D74667">
        <w:rPr>
          <w:rStyle w:val="FootnoteReference"/>
          <w:sz w:val="20"/>
          <w:szCs w:val="20"/>
        </w:rPr>
        <w:footnoteRef/>
      </w:r>
      <w:r w:rsidRPr="00D74667">
        <w:rPr>
          <w:sz w:val="17"/>
          <w:szCs w:val="17"/>
        </w:rPr>
        <w:t xml:space="preserve"> </w:t>
      </w:r>
      <w:r w:rsidRPr="00D74667">
        <w:rPr>
          <w:sz w:val="17"/>
          <w:szCs w:val="17"/>
        </w:rPr>
        <w:tab/>
      </w:r>
      <w:proofErr w:type="gramStart"/>
      <w:r w:rsidRPr="00D74667">
        <w:rPr>
          <w:sz w:val="17"/>
          <w:szCs w:val="17"/>
        </w:rPr>
        <w:t>Clause 1E.1.2 of the SAU.</w:t>
      </w:r>
      <w:proofErr w:type="gramEnd"/>
      <w:r w:rsidRPr="00D74667">
        <w:rPr>
          <w:sz w:val="17"/>
          <w:szCs w:val="17"/>
        </w:rPr>
        <w:t xml:space="preserve"> </w:t>
      </w:r>
    </w:p>
  </w:footnote>
  <w:footnote w:id="4">
    <w:p w:rsidR="00A04E80" w:rsidRDefault="00A04E80" w:rsidP="00D74667">
      <w:pPr>
        <w:pStyle w:val="NoSpacing"/>
      </w:pPr>
      <w:r w:rsidRPr="00D74667">
        <w:rPr>
          <w:rStyle w:val="FootnoteReference"/>
          <w:sz w:val="20"/>
          <w:szCs w:val="17"/>
        </w:rPr>
        <w:footnoteRef/>
      </w:r>
      <w:r w:rsidRPr="00D74667">
        <w:rPr>
          <w:sz w:val="20"/>
          <w:szCs w:val="17"/>
        </w:rPr>
        <w:t xml:space="preserve"> </w:t>
      </w:r>
      <w:r w:rsidRPr="00D74667">
        <w:rPr>
          <w:sz w:val="20"/>
          <w:szCs w:val="17"/>
        </w:rPr>
        <w:tab/>
      </w:r>
      <w:r w:rsidRPr="00D74667">
        <w:rPr>
          <w:sz w:val="17"/>
          <w:szCs w:val="17"/>
        </w:rPr>
        <w:t>See clause 1E.6.1 of the SAU.</w:t>
      </w:r>
    </w:p>
  </w:footnote>
  <w:footnote w:id="5">
    <w:p w:rsidR="00A04E80" w:rsidRPr="00D74667" w:rsidRDefault="00A04E80" w:rsidP="001A131D">
      <w:pPr>
        <w:pStyle w:val="NoSpacing"/>
        <w:rPr>
          <w:sz w:val="17"/>
          <w:szCs w:val="17"/>
        </w:rPr>
      </w:pPr>
      <w:r w:rsidRPr="00D74667">
        <w:rPr>
          <w:rStyle w:val="FootnoteReference"/>
          <w:sz w:val="20"/>
          <w:szCs w:val="17"/>
        </w:rPr>
        <w:footnoteRef/>
      </w:r>
      <w:r w:rsidRPr="00D74667">
        <w:rPr>
          <w:sz w:val="20"/>
          <w:szCs w:val="17"/>
        </w:rPr>
        <w:t xml:space="preserve"> </w:t>
      </w:r>
      <w:r w:rsidRPr="00D74667">
        <w:rPr>
          <w:sz w:val="17"/>
          <w:szCs w:val="17"/>
        </w:rPr>
        <w:tab/>
      </w:r>
      <w:r>
        <w:rPr>
          <w:sz w:val="17"/>
          <w:szCs w:val="17"/>
        </w:rPr>
        <w:t>C</w:t>
      </w:r>
      <w:r w:rsidRPr="00D74667">
        <w:rPr>
          <w:sz w:val="17"/>
          <w:szCs w:val="17"/>
        </w:rPr>
        <w:t xml:space="preserve">lause </w:t>
      </w:r>
      <w:proofErr w:type="gramStart"/>
      <w:r w:rsidRPr="00D74667">
        <w:rPr>
          <w:sz w:val="17"/>
          <w:szCs w:val="17"/>
        </w:rPr>
        <w:t>1D.3.2(</w:t>
      </w:r>
      <w:proofErr w:type="gramEnd"/>
      <w:r w:rsidRPr="00D74667">
        <w:rPr>
          <w:sz w:val="17"/>
          <w:szCs w:val="17"/>
        </w:rPr>
        <w:t>a)(</w:t>
      </w:r>
      <w:proofErr w:type="spellStart"/>
      <w:r w:rsidRPr="00D74667">
        <w:rPr>
          <w:sz w:val="17"/>
          <w:szCs w:val="17"/>
        </w:rPr>
        <w:t>i</w:t>
      </w:r>
      <w:proofErr w:type="spellEnd"/>
      <w:r w:rsidRPr="00D74667">
        <w:rPr>
          <w:sz w:val="17"/>
          <w:szCs w:val="17"/>
        </w:rPr>
        <w:t>)(A)</w:t>
      </w:r>
      <w:r>
        <w:rPr>
          <w:sz w:val="17"/>
          <w:szCs w:val="17"/>
        </w:rPr>
        <w:t xml:space="preserve"> of the SAU. </w:t>
      </w:r>
    </w:p>
  </w:footnote>
  <w:footnote w:id="6">
    <w:p w:rsidR="00A04E80" w:rsidRDefault="00A04E80" w:rsidP="001A131D">
      <w:pPr>
        <w:pStyle w:val="NoSpacing"/>
        <w:rPr>
          <w:sz w:val="17"/>
          <w:szCs w:val="17"/>
        </w:rPr>
      </w:pPr>
      <w:r w:rsidRPr="00D74667">
        <w:rPr>
          <w:rStyle w:val="FootnoteReference"/>
          <w:sz w:val="20"/>
          <w:szCs w:val="17"/>
        </w:rPr>
        <w:footnoteRef/>
      </w:r>
      <w:r w:rsidRPr="00D74667">
        <w:rPr>
          <w:sz w:val="20"/>
          <w:szCs w:val="17"/>
        </w:rPr>
        <w:t xml:space="preserve"> </w:t>
      </w:r>
      <w:r w:rsidRPr="00D74667">
        <w:rPr>
          <w:sz w:val="17"/>
          <w:szCs w:val="17"/>
        </w:rPr>
        <w:tab/>
        <w:t>Clause 1D.4.1(a)(</w:t>
      </w:r>
      <w:proofErr w:type="spellStart"/>
      <w:r w:rsidRPr="00D74667">
        <w:rPr>
          <w:sz w:val="17"/>
          <w:szCs w:val="17"/>
        </w:rPr>
        <w:t>i</w:t>
      </w:r>
      <w:proofErr w:type="spellEnd"/>
      <w:r w:rsidRPr="00D74667">
        <w:rPr>
          <w:sz w:val="17"/>
          <w:szCs w:val="17"/>
        </w:rPr>
        <w:t>)(B) contains additional requirements where there is a material ch</w:t>
      </w:r>
      <w:r>
        <w:rPr>
          <w:sz w:val="17"/>
          <w:szCs w:val="17"/>
        </w:rPr>
        <w:t>ange of circumstances affecting</w:t>
      </w:r>
    </w:p>
    <w:p w:rsidR="00A04E80" w:rsidRPr="00D74667" w:rsidRDefault="00A04E80" w:rsidP="001A131D">
      <w:pPr>
        <w:pStyle w:val="NoSpacing"/>
        <w:rPr>
          <w:sz w:val="17"/>
          <w:szCs w:val="17"/>
        </w:rPr>
      </w:pPr>
      <w:r>
        <w:rPr>
          <w:sz w:val="17"/>
          <w:szCs w:val="17"/>
        </w:rPr>
        <w:tab/>
      </w:r>
      <w:proofErr w:type="gramStart"/>
      <w:r w:rsidRPr="00D74667">
        <w:rPr>
          <w:sz w:val="17"/>
          <w:szCs w:val="17"/>
        </w:rPr>
        <w:t>the</w:t>
      </w:r>
      <w:proofErr w:type="gramEnd"/>
      <w:r w:rsidRPr="00D74667">
        <w:rPr>
          <w:sz w:val="17"/>
          <w:szCs w:val="17"/>
        </w:rPr>
        <w:t xml:space="preserve"> Conforming Contract.</w:t>
      </w:r>
    </w:p>
  </w:footnote>
  <w:footnote w:id="7">
    <w:p w:rsidR="00A04E80" w:rsidRPr="00D74667" w:rsidRDefault="00A04E80" w:rsidP="001A131D">
      <w:pPr>
        <w:pStyle w:val="NoSpacing"/>
        <w:rPr>
          <w:sz w:val="17"/>
          <w:szCs w:val="17"/>
        </w:rPr>
      </w:pPr>
      <w:r w:rsidRPr="00D74667">
        <w:rPr>
          <w:rStyle w:val="FootnoteReference"/>
          <w:sz w:val="20"/>
          <w:szCs w:val="17"/>
        </w:rPr>
        <w:footnoteRef/>
      </w:r>
      <w:r w:rsidRPr="00D74667">
        <w:rPr>
          <w:sz w:val="20"/>
          <w:szCs w:val="17"/>
        </w:rPr>
        <w:t xml:space="preserve"> </w:t>
      </w:r>
      <w:r w:rsidRPr="00D74667">
        <w:rPr>
          <w:sz w:val="17"/>
          <w:szCs w:val="17"/>
        </w:rPr>
        <w:tab/>
      </w:r>
      <w:r>
        <w:rPr>
          <w:sz w:val="17"/>
          <w:szCs w:val="17"/>
        </w:rPr>
        <w:t>C</w:t>
      </w:r>
      <w:r w:rsidRPr="00D74667">
        <w:rPr>
          <w:sz w:val="17"/>
          <w:szCs w:val="17"/>
        </w:rPr>
        <w:t xml:space="preserve">lause </w:t>
      </w:r>
      <w:proofErr w:type="gramStart"/>
      <w:r w:rsidRPr="00D74667">
        <w:rPr>
          <w:sz w:val="17"/>
          <w:szCs w:val="17"/>
        </w:rPr>
        <w:t>1D.3.2(</w:t>
      </w:r>
      <w:proofErr w:type="gramEnd"/>
      <w:r w:rsidRPr="00D74667">
        <w:rPr>
          <w:sz w:val="17"/>
          <w:szCs w:val="17"/>
        </w:rPr>
        <w:t>a)(</w:t>
      </w:r>
      <w:proofErr w:type="spellStart"/>
      <w:r w:rsidRPr="00D74667">
        <w:rPr>
          <w:sz w:val="17"/>
          <w:szCs w:val="17"/>
        </w:rPr>
        <w:t>i</w:t>
      </w:r>
      <w:proofErr w:type="spellEnd"/>
      <w:r w:rsidRPr="00D74667">
        <w:rPr>
          <w:sz w:val="17"/>
          <w:szCs w:val="17"/>
        </w:rPr>
        <w:t xml:space="preserve">)(B) </w:t>
      </w:r>
      <w:r>
        <w:rPr>
          <w:sz w:val="17"/>
          <w:szCs w:val="17"/>
        </w:rPr>
        <w:t>of the SAU.</w:t>
      </w:r>
    </w:p>
  </w:footnote>
  <w:footnote w:id="8">
    <w:p w:rsidR="00A04E80" w:rsidRPr="00D74667" w:rsidRDefault="00A04E80" w:rsidP="001A131D">
      <w:pPr>
        <w:pStyle w:val="NoSpacing"/>
        <w:rPr>
          <w:sz w:val="17"/>
          <w:szCs w:val="17"/>
        </w:rPr>
      </w:pPr>
      <w:r w:rsidRPr="00D74667">
        <w:rPr>
          <w:rStyle w:val="FootnoteReference"/>
          <w:sz w:val="20"/>
          <w:szCs w:val="17"/>
        </w:rPr>
        <w:footnoteRef/>
      </w:r>
      <w:r w:rsidRPr="00D74667">
        <w:rPr>
          <w:sz w:val="17"/>
          <w:szCs w:val="17"/>
        </w:rPr>
        <w:t xml:space="preserve"> </w:t>
      </w:r>
      <w:r w:rsidRPr="00D74667">
        <w:rPr>
          <w:sz w:val="17"/>
          <w:szCs w:val="17"/>
        </w:rPr>
        <w:tab/>
        <w:t xml:space="preserve">The document describes the design of NBN Co’s network and network components. Capital expenditure must be in </w:t>
      </w:r>
      <w:r w:rsidRPr="00D74667">
        <w:rPr>
          <w:sz w:val="17"/>
          <w:szCs w:val="17"/>
        </w:rPr>
        <w:tab/>
        <w:t xml:space="preserve">accordance with the Network Design Rules in order to be included in the Regulated Asset Base, in addition to </w:t>
      </w:r>
      <w:r>
        <w:rPr>
          <w:sz w:val="17"/>
          <w:szCs w:val="17"/>
        </w:rPr>
        <w:tab/>
      </w:r>
      <w:r w:rsidRPr="00D74667">
        <w:rPr>
          <w:sz w:val="17"/>
          <w:szCs w:val="17"/>
        </w:rPr>
        <w:t>meeting the ‘Prudent Cost’ condition. The Network Design Rules were updated on 30 June 2015.</w:t>
      </w:r>
    </w:p>
  </w:footnote>
  <w:footnote w:id="9">
    <w:p w:rsidR="00A04E80" w:rsidRPr="00D74667" w:rsidRDefault="00A04E80" w:rsidP="001A131D">
      <w:pPr>
        <w:pStyle w:val="NoSpacing"/>
        <w:rPr>
          <w:sz w:val="17"/>
          <w:szCs w:val="17"/>
        </w:rPr>
      </w:pPr>
      <w:r w:rsidRPr="00D74667">
        <w:rPr>
          <w:rStyle w:val="FootnoteReference"/>
          <w:sz w:val="20"/>
          <w:szCs w:val="17"/>
        </w:rPr>
        <w:footnoteRef/>
      </w:r>
      <w:r w:rsidRPr="00D74667">
        <w:rPr>
          <w:sz w:val="20"/>
          <w:szCs w:val="17"/>
        </w:rPr>
        <w:t xml:space="preserve"> </w:t>
      </w:r>
      <w:r w:rsidRPr="00D74667">
        <w:rPr>
          <w:sz w:val="17"/>
          <w:szCs w:val="17"/>
        </w:rPr>
        <w:tab/>
      </w:r>
      <w:proofErr w:type="gramStart"/>
      <w:r w:rsidRPr="00D74667">
        <w:rPr>
          <w:sz w:val="17"/>
          <w:szCs w:val="17"/>
        </w:rPr>
        <w:t>Clause 1D.6 of the SAU.</w:t>
      </w:r>
      <w:proofErr w:type="gramEnd"/>
    </w:p>
  </w:footnote>
  <w:footnote w:id="10">
    <w:p w:rsidR="00A04E80" w:rsidRPr="00D74667" w:rsidRDefault="00A04E80" w:rsidP="001A131D">
      <w:pPr>
        <w:pStyle w:val="NoSpacing"/>
        <w:rPr>
          <w:sz w:val="17"/>
          <w:szCs w:val="17"/>
        </w:rPr>
      </w:pPr>
      <w:r w:rsidRPr="00D74667">
        <w:rPr>
          <w:rStyle w:val="FootnoteReference"/>
          <w:sz w:val="20"/>
          <w:szCs w:val="17"/>
        </w:rPr>
        <w:footnoteRef/>
      </w:r>
      <w:r w:rsidRPr="00D74667">
        <w:rPr>
          <w:sz w:val="17"/>
          <w:szCs w:val="17"/>
        </w:rPr>
        <w:t xml:space="preserve"> </w:t>
      </w:r>
      <w:r w:rsidRPr="00D74667">
        <w:rPr>
          <w:sz w:val="17"/>
          <w:szCs w:val="17"/>
        </w:rPr>
        <w:tab/>
        <w:t>Schedule 1D of the SAU.</w:t>
      </w:r>
    </w:p>
  </w:footnote>
  <w:footnote w:id="11">
    <w:p w:rsidR="00A04E80" w:rsidRPr="00D74667" w:rsidRDefault="00A04E80" w:rsidP="001A131D">
      <w:pPr>
        <w:pStyle w:val="NoSpacing"/>
        <w:rPr>
          <w:sz w:val="17"/>
          <w:szCs w:val="17"/>
        </w:rPr>
      </w:pPr>
      <w:r w:rsidRPr="00D74667">
        <w:rPr>
          <w:rStyle w:val="FootnoteReference"/>
          <w:sz w:val="20"/>
          <w:szCs w:val="17"/>
        </w:rPr>
        <w:footnoteRef/>
      </w:r>
      <w:r w:rsidRPr="00D74667">
        <w:rPr>
          <w:sz w:val="17"/>
          <w:szCs w:val="17"/>
        </w:rPr>
        <w:t xml:space="preserve"> </w:t>
      </w:r>
      <w:r w:rsidRPr="00D74667">
        <w:rPr>
          <w:sz w:val="17"/>
          <w:szCs w:val="17"/>
        </w:rPr>
        <w:tab/>
      </w:r>
      <w:r>
        <w:rPr>
          <w:sz w:val="17"/>
          <w:szCs w:val="17"/>
        </w:rPr>
        <w:t>C</w:t>
      </w:r>
      <w:r w:rsidRPr="00D74667">
        <w:rPr>
          <w:sz w:val="17"/>
          <w:szCs w:val="17"/>
        </w:rPr>
        <w:t xml:space="preserve">lauses </w:t>
      </w:r>
      <w:proofErr w:type="gramStart"/>
      <w:r w:rsidRPr="00D74667">
        <w:rPr>
          <w:sz w:val="17"/>
          <w:szCs w:val="17"/>
        </w:rPr>
        <w:t>1E.8.2(</w:t>
      </w:r>
      <w:proofErr w:type="gramEnd"/>
      <w:r w:rsidRPr="00D74667">
        <w:rPr>
          <w:sz w:val="17"/>
          <w:szCs w:val="17"/>
        </w:rPr>
        <w:t>a)(</w:t>
      </w:r>
      <w:proofErr w:type="spellStart"/>
      <w:r w:rsidRPr="00D74667">
        <w:rPr>
          <w:sz w:val="17"/>
          <w:szCs w:val="17"/>
        </w:rPr>
        <w:t>i</w:t>
      </w:r>
      <w:proofErr w:type="spellEnd"/>
      <w:r w:rsidRPr="00D74667">
        <w:rPr>
          <w:sz w:val="17"/>
          <w:szCs w:val="17"/>
        </w:rPr>
        <w:t>) and</w:t>
      </w:r>
      <w:r>
        <w:rPr>
          <w:sz w:val="17"/>
          <w:szCs w:val="17"/>
        </w:rPr>
        <w:t xml:space="preserve"> 1E.8.3</w:t>
      </w:r>
      <w:r w:rsidRPr="00D74667">
        <w:rPr>
          <w:sz w:val="17"/>
          <w:szCs w:val="17"/>
        </w:rPr>
        <w:t xml:space="preserve"> </w:t>
      </w:r>
      <w:r>
        <w:rPr>
          <w:sz w:val="17"/>
          <w:szCs w:val="17"/>
        </w:rPr>
        <w:t xml:space="preserve">of the SAU. </w:t>
      </w:r>
    </w:p>
  </w:footnote>
  <w:footnote w:id="12">
    <w:p w:rsidR="00A04E80" w:rsidRPr="00D74667" w:rsidRDefault="00A04E80" w:rsidP="001A131D">
      <w:pPr>
        <w:pStyle w:val="NoSpacing"/>
        <w:rPr>
          <w:sz w:val="17"/>
          <w:szCs w:val="17"/>
        </w:rPr>
      </w:pPr>
      <w:r w:rsidRPr="00D74667">
        <w:rPr>
          <w:rStyle w:val="FootnoteReference"/>
          <w:sz w:val="20"/>
          <w:szCs w:val="17"/>
        </w:rPr>
        <w:footnoteRef/>
      </w:r>
      <w:r w:rsidRPr="00D74667">
        <w:rPr>
          <w:sz w:val="20"/>
          <w:szCs w:val="17"/>
        </w:rPr>
        <w:t xml:space="preserve"> </w:t>
      </w:r>
      <w:r w:rsidRPr="00D74667">
        <w:rPr>
          <w:sz w:val="17"/>
          <w:szCs w:val="17"/>
        </w:rPr>
        <w:tab/>
      </w:r>
      <w:r>
        <w:rPr>
          <w:sz w:val="17"/>
          <w:szCs w:val="17"/>
        </w:rPr>
        <w:t>C</w:t>
      </w:r>
      <w:r w:rsidRPr="00D74667">
        <w:rPr>
          <w:sz w:val="17"/>
          <w:szCs w:val="17"/>
        </w:rPr>
        <w:t>lause 1E.1.2(c</w:t>
      </w:r>
      <w:proofErr w:type="gramStart"/>
      <w:r w:rsidRPr="00D74667">
        <w:rPr>
          <w:sz w:val="17"/>
          <w:szCs w:val="17"/>
        </w:rPr>
        <w:t>)(</w:t>
      </w:r>
      <w:proofErr w:type="gramEnd"/>
      <w:r w:rsidRPr="00D74667">
        <w:rPr>
          <w:sz w:val="17"/>
          <w:szCs w:val="17"/>
        </w:rPr>
        <w:t xml:space="preserve">iv) of the SAU. </w:t>
      </w:r>
    </w:p>
  </w:footnote>
  <w:footnote w:id="13">
    <w:p w:rsidR="00A04E80" w:rsidRDefault="00A04E80" w:rsidP="00D2652B">
      <w:pPr>
        <w:pStyle w:val="FootnoteText"/>
        <w:spacing w:after="0"/>
      </w:pPr>
      <w:r w:rsidRPr="00BD4036">
        <w:rPr>
          <w:rStyle w:val="FootnoteReference"/>
          <w:sz w:val="20"/>
        </w:rPr>
        <w:footnoteRef/>
      </w:r>
      <w:r w:rsidRPr="00BD4036">
        <w:rPr>
          <w:sz w:val="20"/>
        </w:rPr>
        <w:t xml:space="preserve">   </w:t>
      </w:r>
      <w:r w:rsidR="003F556A">
        <w:t xml:space="preserve"> </w:t>
      </w:r>
      <w:r>
        <w:rPr>
          <w:sz w:val="17"/>
          <w:szCs w:val="17"/>
        </w:rPr>
        <w:t>C</w:t>
      </w:r>
      <w:r w:rsidRPr="00D74667">
        <w:rPr>
          <w:sz w:val="17"/>
          <w:szCs w:val="17"/>
        </w:rPr>
        <w:t xml:space="preserve">lauses </w:t>
      </w:r>
      <w:proofErr w:type="gramStart"/>
      <w:r w:rsidRPr="00D74667">
        <w:rPr>
          <w:sz w:val="17"/>
          <w:szCs w:val="17"/>
        </w:rPr>
        <w:t>1D.3.2(</w:t>
      </w:r>
      <w:proofErr w:type="gramEnd"/>
      <w:r w:rsidRPr="00D74667">
        <w:rPr>
          <w:sz w:val="17"/>
          <w:szCs w:val="17"/>
        </w:rPr>
        <w:t xml:space="preserve">d) and 1E8.2(c). For example, a substitute amount of capital expenditure determined by the ACCC must meet the Prudent Design Condition and must be consistent with capital expenditure that has been </w:t>
      </w:r>
      <w:r>
        <w:rPr>
          <w:sz w:val="17"/>
          <w:szCs w:val="17"/>
        </w:rPr>
        <w:tab/>
      </w:r>
      <w:r w:rsidRPr="00D74667">
        <w:rPr>
          <w:sz w:val="17"/>
          <w:szCs w:val="17"/>
        </w:rPr>
        <w:t xml:space="preserve">included in the RAB in respect of any prior financial year, having regard to the relative amounts of capital </w:t>
      </w:r>
      <w:r>
        <w:rPr>
          <w:sz w:val="17"/>
          <w:szCs w:val="17"/>
        </w:rPr>
        <w:tab/>
      </w:r>
      <w:r w:rsidRPr="00D74667">
        <w:rPr>
          <w:sz w:val="17"/>
          <w:szCs w:val="17"/>
        </w:rPr>
        <w:t xml:space="preserve">expenditure incurred in those years, the relative cost of goods and services in those year, any relevant differences in the scale and scope of the relevant assets, the NBN Co Corporate Plan and any other matter the ACCC </w:t>
      </w:r>
      <w:r>
        <w:rPr>
          <w:sz w:val="17"/>
          <w:szCs w:val="17"/>
        </w:rPr>
        <w:tab/>
      </w:r>
      <w:r w:rsidRPr="00D74667">
        <w:rPr>
          <w:sz w:val="17"/>
          <w:szCs w:val="17"/>
        </w:rPr>
        <w:t>considers relevant.</w:t>
      </w:r>
    </w:p>
  </w:footnote>
  <w:footnote w:id="14">
    <w:p w:rsidR="00A04E80" w:rsidRDefault="00A04E80" w:rsidP="00D2652B">
      <w:pPr>
        <w:pStyle w:val="FootnoteText"/>
        <w:spacing w:after="0"/>
      </w:pPr>
      <w:r w:rsidRPr="00BD4036">
        <w:rPr>
          <w:rStyle w:val="FootnoteReference"/>
          <w:sz w:val="20"/>
        </w:rPr>
        <w:footnoteRef/>
      </w:r>
      <w:r w:rsidRPr="00BD4036">
        <w:rPr>
          <w:sz w:val="20"/>
        </w:rPr>
        <w:t xml:space="preserve">   </w:t>
      </w:r>
      <w:r w:rsidR="003F556A">
        <w:t xml:space="preserve"> </w:t>
      </w:r>
      <w:proofErr w:type="gramStart"/>
      <w:r w:rsidRPr="00D74667">
        <w:rPr>
          <w:sz w:val="17"/>
          <w:szCs w:val="17"/>
        </w:rPr>
        <w:t>Schedules 1C.5 and 2B.2</w:t>
      </w:r>
      <w:r>
        <w:rPr>
          <w:sz w:val="17"/>
          <w:szCs w:val="17"/>
        </w:rPr>
        <w:t xml:space="preserve"> of the SAU.</w:t>
      </w:r>
      <w:proofErr w:type="gramEnd"/>
    </w:p>
  </w:footnote>
  <w:footnote w:id="15">
    <w:p w:rsidR="00A04E80" w:rsidRDefault="00A04E80">
      <w:pPr>
        <w:pStyle w:val="FootnoteText"/>
      </w:pPr>
      <w:r>
        <w:rPr>
          <w:rStyle w:val="FootnoteReference"/>
        </w:rPr>
        <w:footnoteRef/>
      </w:r>
      <w:r>
        <w:t xml:space="preserve"> The clause references in this table refer to the formulas in the SAU.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A6E206A"/>
    <w:multiLevelType w:val="hybridMultilevel"/>
    <w:tmpl w:val="8B9A0B9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nsid w:val="1EBA6F64"/>
    <w:multiLevelType w:val="multilevel"/>
    <w:tmpl w:val="2548A7FA"/>
    <w:lvl w:ilvl="0">
      <w:start w:val="1"/>
      <w:numFmt w:val="decimal"/>
      <w:pStyle w:val="HeadingLevel1"/>
      <w:lvlText w:val="%1"/>
      <w:lvlJc w:val="left"/>
      <w:pPr>
        <w:ind w:left="0" w:hanging="964"/>
      </w:pPr>
      <w:rPr>
        <w:rFonts w:hint="default"/>
      </w:rPr>
    </w:lvl>
    <w:lvl w:ilvl="1">
      <w:start w:val="3"/>
      <w:numFmt w:val="decimal"/>
      <w:pStyle w:val="HeadingLevel2"/>
      <w:lvlText w:val="%1.%2"/>
      <w:lvlJc w:val="left"/>
      <w:pPr>
        <w:ind w:left="0" w:hanging="964"/>
      </w:pPr>
      <w:rPr>
        <w:rFonts w:hint="default"/>
      </w:rPr>
    </w:lvl>
    <w:lvl w:ilvl="2">
      <w:start w:val="1"/>
      <w:numFmt w:val="decimal"/>
      <w:pStyle w:val="HeadingLevel3"/>
      <w:lvlText w:val="%1.%2.%3"/>
      <w:lvlJc w:val="left"/>
      <w:pPr>
        <w:ind w:left="0" w:hanging="964"/>
      </w:pPr>
      <w:rPr>
        <w:rFonts w:hint="default"/>
      </w:rPr>
    </w:lvl>
    <w:lvl w:ilvl="3">
      <w:start w:val="1"/>
      <w:numFmt w:val="decimal"/>
      <w:pStyle w:val="HeadingLevel4"/>
      <w:lvlText w:val="%1.%2.%3.%4"/>
      <w:lvlJc w:val="left"/>
      <w:pPr>
        <w:ind w:left="0" w:hanging="964"/>
      </w:pPr>
      <w:rPr>
        <w:rFonts w:hint="default"/>
      </w:rPr>
    </w:lvl>
    <w:lvl w:ilvl="4">
      <w:start w:val="2"/>
      <w:numFmt w:val="none"/>
      <w:pStyle w:val="HeadingLevel5"/>
      <w:lvlText w:val=""/>
      <w:lvlJc w:val="left"/>
      <w:pPr>
        <w:ind w:left="0" w:hanging="964"/>
      </w:pPr>
      <w:rPr>
        <w:rFonts w:hint="default"/>
      </w:rPr>
    </w:lvl>
    <w:lvl w:ilvl="5">
      <w:start w:val="4"/>
      <w:numFmt w:val="none"/>
      <w:pStyle w:val="HeadingLevel6"/>
      <w:lvlText w:val=""/>
      <w:lvlJc w:val="left"/>
      <w:pPr>
        <w:ind w:left="0" w:hanging="964"/>
      </w:pPr>
      <w:rPr>
        <w:rFonts w:hint="default"/>
      </w:rPr>
    </w:lvl>
    <w:lvl w:ilvl="6">
      <w:start w:val="1"/>
      <w:numFmt w:val="decimal"/>
      <w:pStyle w:val="HeadingLevel7figure"/>
      <w:lvlText w:val="Figure %1.%7"/>
      <w:lvlJc w:val="left"/>
      <w:pPr>
        <w:ind w:left="0" w:firstLine="0"/>
      </w:pPr>
      <w:rPr>
        <w:rFonts w:hint="default"/>
      </w:rPr>
    </w:lvl>
    <w:lvl w:ilvl="7">
      <w:start w:val="3"/>
      <w:numFmt w:val="decimal"/>
      <w:pStyle w:val="HeadingLevel8table"/>
      <w:lvlText w:val="Table %1.%8"/>
      <w:lvlJc w:val="left"/>
      <w:pPr>
        <w:ind w:left="0" w:firstLine="0"/>
      </w:pPr>
      <w:rPr>
        <w:rFonts w:hint="default"/>
      </w:rPr>
    </w:lvl>
    <w:lvl w:ilvl="8">
      <w:start w:val="1"/>
      <w:numFmt w:val="none"/>
      <w:lvlText w:val=""/>
      <w:lvlJc w:val="left"/>
      <w:pPr>
        <w:ind w:left="0" w:hanging="964"/>
      </w:pPr>
      <w:rPr>
        <w:rFonts w:hint="default"/>
      </w:rPr>
    </w:lvl>
  </w:abstractNum>
  <w:abstractNum w:abstractNumId="15">
    <w:nsid w:val="27B333CB"/>
    <w:multiLevelType w:val="multilevel"/>
    <w:tmpl w:val="31448F3E"/>
    <w:lvl w:ilvl="0">
      <w:start w:val="1"/>
      <w:numFmt w:val="bullet"/>
      <w:lvlText w:val=""/>
      <w:lvlJc w:val="left"/>
      <w:pPr>
        <w:ind w:left="397" w:hanging="397"/>
      </w:pPr>
      <w:rPr>
        <w:rFonts w:ascii="Symbol" w:hAnsi="Symbol" w:hint="default"/>
        <w:color w:val="auto"/>
        <w:sz w:val="24"/>
      </w:rPr>
    </w:lvl>
    <w:lvl w:ilvl="1">
      <w:start w:val="1"/>
      <w:numFmt w:val="bullet"/>
      <w:pStyle w:val="Bulletb"/>
      <w:lvlText w:val=""/>
      <w:lvlJc w:val="left"/>
      <w:pPr>
        <w:ind w:left="794" w:hanging="397"/>
      </w:pPr>
      <w:rPr>
        <w:rFonts w:ascii="Symbol" w:hAnsi="Symbol" w:hint="default"/>
        <w:color w:val="auto"/>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7">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8">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0">
    <w:nsid w:val="442E520C"/>
    <w:multiLevelType w:val="hybridMultilevel"/>
    <w:tmpl w:val="C97C4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BEA1061"/>
    <w:multiLevelType w:val="hybridMultilevel"/>
    <w:tmpl w:val="216EF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4">
    <w:nsid w:val="60D05109"/>
    <w:multiLevelType w:val="hybridMultilevel"/>
    <w:tmpl w:val="DC962A18"/>
    <w:lvl w:ilvl="0" w:tplc="DCDC95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8">
    <w:nsid w:val="6C9C7619"/>
    <w:multiLevelType w:val="hybridMultilevel"/>
    <w:tmpl w:val="FD401BAA"/>
    <w:lvl w:ilvl="0" w:tplc="9FE4904E">
      <w:start w:val="1"/>
      <w:numFmt w:val="bullet"/>
      <w:pStyle w:val="Bulleta"/>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1">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2">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3">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3"/>
  </w:num>
  <w:num w:numId="3">
    <w:abstractNumId w:val="7"/>
  </w:num>
  <w:num w:numId="4">
    <w:abstractNumId w:val="6"/>
  </w:num>
  <w:num w:numId="5">
    <w:abstractNumId w:val="5"/>
  </w:num>
  <w:num w:numId="6">
    <w:abstractNumId w:val="4"/>
  </w:num>
  <w:num w:numId="7">
    <w:abstractNumId w:val="1"/>
  </w:num>
  <w:num w:numId="8">
    <w:abstractNumId w:val="0"/>
  </w:num>
  <w:num w:numId="9">
    <w:abstractNumId w:val="27"/>
  </w:num>
  <w:num w:numId="10">
    <w:abstractNumId w:val="18"/>
  </w:num>
  <w:num w:numId="11">
    <w:abstractNumId w:val="9"/>
  </w:num>
  <w:num w:numId="12">
    <w:abstractNumId w:val="13"/>
  </w:num>
  <w:num w:numId="13">
    <w:abstractNumId w:val="17"/>
  </w:num>
  <w:num w:numId="14">
    <w:abstractNumId w:val="2"/>
  </w:num>
  <w:num w:numId="15">
    <w:abstractNumId w:val="29"/>
  </w:num>
  <w:num w:numId="16">
    <w:abstractNumId w:val="32"/>
  </w:num>
  <w:num w:numId="17">
    <w:abstractNumId w:val="31"/>
  </w:num>
  <w:num w:numId="18">
    <w:abstractNumId w:val="23"/>
  </w:num>
  <w:num w:numId="19">
    <w:abstractNumId w:val="16"/>
  </w:num>
  <w:num w:numId="20">
    <w:abstractNumId w:val="19"/>
  </w:num>
  <w:num w:numId="21">
    <w:abstractNumId w:val="30"/>
  </w:num>
  <w:num w:numId="22">
    <w:abstractNumId w:val="25"/>
  </w:num>
  <w:num w:numId="23">
    <w:abstractNumId w:val="8"/>
  </w:num>
  <w:num w:numId="24">
    <w:abstractNumId w:val="3"/>
  </w:num>
  <w:num w:numId="25">
    <w:abstractNumId w:val="21"/>
  </w:num>
  <w:num w:numId="26">
    <w:abstractNumId w:val="11"/>
  </w:num>
  <w:num w:numId="27">
    <w:abstractNumId w:val="26"/>
  </w:num>
  <w:num w:numId="28">
    <w:abstractNumId w:val="14"/>
  </w:num>
  <w:num w:numId="29">
    <w:abstractNumId w:val="1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4"/>
    </w:lvlOverride>
    <w:lvlOverride w:ilvl="6">
      <w:startOverride w:val="1"/>
    </w:lvlOverride>
    <w:lvlOverride w:ilvl="7">
      <w:startOverride w:val="3"/>
    </w:lvlOverride>
    <w:lvlOverride w:ilvl="8">
      <w:startOverride w:val="1"/>
    </w:lvlOverride>
  </w:num>
  <w:num w:numId="31">
    <w:abstractNumId w:val="14"/>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4"/>
    </w:lvlOverride>
    <w:lvlOverride w:ilvl="6">
      <w:startOverride w:val="1"/>
    </w:lvlOverride>
    <w:lvlOverride w:ilvl="7">
      <w:startOverride w:val="3"/>
    </w:lvlOverride>
    <w:lvlOverride w:ilvl="8">
      <w:startOverride w:val="1"/>
    </w:lvlOverride>
  </w:num>
  <w:num w:numId="32">
    <w:abstractNumId w:val="28"/>
  </w:num>
  <w:num w:numId="33">
    <w:abstractNumId w:val="22"/>
  </w:num>
  <w:num w:numId="34">
    <w:abstractNumId w:val="14"/>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4"/>
    </w:lvlOverride>
    <w:lvlOverride w:ilvl="6">
      <w:startOverride w:val="1"/>
    </w:lvlOverride>
    <w:lvlOverride w:ilvl="7">
      <w:startOverride w:val="3"/>
    </w:lvlOverride>
    <w:lvlOverride w:ilvl="8">
      <w:startOverride w:val="1"/>
    </w:lvlOverride>
  </w:num>
  <w:num w:numId="35">
    <w:abstractNumId w:val="20"/>
  </w:num>
  <w:num w:numId="36">
    <w:abstractNumId w:val="14"/>
  </w:num>
  <w:num w:numId="37">
    <w:abstractNumId w:val="14"/>
    <w:lvlOverride w:ilvl="0">
      <w:startOverride w:val="1"/>
    </w:lvlOverride>
    <w:lvlOverride w:ilvl="1">
      <w:startOverride w:val="1"/>
    </w:lvlOverride>
  </w:num>
  <w:num w:numId="38">
    <w:abstractNumId w:val="14"/>
  </w:num>
  <w:num w:numId="39">
    <w:abstractNumId w:val="14"/>
    <w:lvlOverride w:ilvl="0">
      <w:startOverride w:val="1"/>
    </w:lvlOverride>
    <w:lvlOverride w:ilvl="1">
      <w:startOverride w:val="1"/>
    </w:lvlOverride>
  </w:num>
  <w:num w:numId="40">
    <w:abstractNumId w:val="1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4"/>
    </w:lvlOverride>
    <w:lvlOverride w:ilvl="6">
      <w:startOverride w:val="1"/>
    </w:lvlOverride>
    <w:lvlOverride w:ilvl="7">
      <w:startOverride w:val="3"/>
    </w:lvlOverride>
    <w:lvlOverride w:ilvl="8">
      <w:startOverride w:val="1"/>
    </w:lvlOverride>
  </w:num>
  <w:num w:numId="42">
    <w:abstractNumId w:val="24"/>
  </w:num>
  <w:num w:numId="43">
    <w:abstractNumId w:val="14"/>
    <w:lvlOverride w:ilvl="0">
      <w:startOverride w:val="3"/>
    </w:lvlOverride>
    <w:lvlOverride w:ilvl="1">
      <w:startOverride w:val="1"/>
    </w:lvlOverride>
  </w:num>
  <w:num w:numId="44">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6928\D17 65332  NPC-draft - Attachment A - LTRCM 2015-16 final determination - 17 May 2017.DOCX"/>
  </w:docVars>
  <w:rsids>
    <w:rsidRoot w:val="00325BBB"/>
    <w:rsid w:val="00003900"/>
    <w:rsid w:val="0002115F"/>
    <w:rsid w:val="00021202"/>
    <w:rsid w:val="000225C4"/>
    <w:rsid w:val="000310B3"/>
    <w:rsid w:val="0003578C"/>
    <w:rsid w:val="000433DE"/>
    <w:rsid w:val="00062019"/>
    <w:rsid w:val="00063247"/>
    <w:rsid w:val="0006381E"/>
    <w:rsid w:val="000662C9"/>
    <w:rsid w:val="00070F9F"/>
    <w:rsid w:val="0007137B"/>
    <w:rsid w:val="00074DAF"/>
    <w:rsid w:val="00085663"/>
    <w:rsid w:val="00085EBF"/>
    <w:rsid w:val="000D122C"/>
    <w:rsid w:val="000D58E1"/>
    <w:rsid w:val="000E1819"/>
    <w:rsid w:val="000E694B"/>
    <w:rsid w:val="000E6C72"/>
    <w:rsid w:val="000F2368"/>
    <w:rsid w:val="000F54E5"/>
    <w:rsid w:val="000F7CE8"/>
    <w:rsid w:val="00116EB2"/>
    <w:rsid w:val="00124609"/>
    <w:rsid w:val="00153F83"/>
    <w:rsid w:val="001573E4"/>
    <w:rsid w:val="00160756"/>
    <w:rsid w:val="00166DF6"/>
    <w:rsid w:val="001675C0"/>
    <w:rsid w:val="0017232E"/>
    <w:rsid w:val="00174102"/>
    <w:rsid w:val="00175B55"/>
    <w:rsid w:val="00180157"/>
    <w:rsid w:val="00181223"/>
    <w:rsid w:val="00186F77"/>
    <w:rsid w:val="001926A4"/>
    <w:rsid w:val="00193D9B"/>
    <w:rsid w:val="001A131D"/>
    <w:rsid w:val="001A3A19"/>
    <w:rsid w:val="001B216B"/>
    <w:rsid w:val="001B246B"/>
    <w:rsid w:val="001B45A0"/>
    <w:rsid w:val="001C0A8A"/>
    <w:rsid w:val="001C18EE"/>
    <w:rsid w:val="001C3C1C"/>
    <w:rsid w:val="001C6F8F"/>
    <w:rsid w:val="001D055E"/>
    <w:rsid w:val="001D13AB"/>
    <w:rsid w:val="001E795D"/>
    <w:rsid w:val="001F492E"/>
    <w:rsid w:val="001F6DA3"/>
    <w:rsid w:val="0020027D"/>
    <w:rsid w:val="00212737"/>
    <w:rsid w:val="002147C4"/>
    <w:rsid w:val="00215D5A"/>
    <w:rsid w:val="00224DB9"/>
    <w:rsid w:val="00230A7A"/>
    <w:rsid w:val="00243B4D"/>
    <w:rsid w:val="00244AC7"/>
    <w:rsid w:val="00251745"/>
    <w:rsid w:val="00263AC0"/>
    <w:rsid w:val="00265A1A"/>
    <w:rsid w:val="0026772D"/>
    <w:rsid w:val="00277469"/>
    <w:rsid w:val="00285D93"/>
    <w:rsid w:val="00286874"/>
    <w:rsid w:val="00296B65"/>
    <w:rsid w:val="002A2478"/>
    <w:rsid w:val="002A6102"/>
    <w:rsid w:val="002A7DEF"/>
    <w:rsid w:val="002D389F"/>
    <w:rsid w:val="002F12D5"/>
    <w:rsid w:val="002F5037"/>
    <w:rsid w:val="002F7986"/>
    <w:rsid w:val="00300C76"/>
    <w:rsid w:val="00303C4A"/>
    <w:rsid w:val="00307F6D"/>
    <w:rsid w:val="003118B0"/>
    <w:rsid w:val="00314986"/>
    <w:rsid w:val="00316934"/>
    <w:rsid w:val="003177A2"/>
    <w:rsid w:val="00325BBB"/>
    <w:rsid w:val="003271B5"/>
    <w:rsid w:val="003301BA"/>
    <w:rsid w:val="00330CA0"/>
    <w:rsid w:val="00331264"/>
    <w:rsid w:val="00334C8D"/>
    <w:rsid w:val="00340655"/>
    <w:rsid w:val="003459E6"/>
    <w:rsid w:val="00346B11"/>
    <w:rsid w:val="003518B3"/>
    <w:rsid w:val="00360F26"/>
    <w:rsid w:val="00362A4C"/>
    <w:rsid w:val="00371641"/>
    <w:rsid w:val="00373A3C"/>
    <w:rsid w:val="003846F1"/>
    <w:rsid w:val="003A0DA2"/>
    <w:rsid w:val="003A673F"/>
    <w:rsid w:val="003B5A70"/>
    <w:rsid w:val="003C0C6D"/>
    <w:rsid w:val="003E6540"/>
    <w:rsid w:val="003F556A"/>
    <w:rsid w:val="00404092"/>
    <w:rsid w:val="00416AA4"/>
    <w:rsid w:val="00422C53"/>
    <w:rsid w:val="004338CE"/>
    <w:rsid w:val="00446E5E"/>
    <w:rsid w:val="00454EF8"/>
    <w:rsid w:val="00465357"/>
    <w:rsid w:val="00465DB9"/>
    <w:rsid w:val="004722C4"/>
    <w:rsid w:val="0047312B"/>
    <w:rsid w:val="00475135"/>
    <w:rsid w:val="00475DDE"/>
    <w:rsid w:val="00480B4B"/>
    <w:rsid w:val="00483109"/>
    <w:rsid w:val="00485DC4"/>
    <w:rsid w:val="00490FDD"/>
    <w:rsid w:val="004922FF"/>
    <w:rsid w:val="004923BC"/>
    <w:rsid w:val="004A6999"/>
    <w:rsid w:val="004A6CEC"/>
    <w:rsid w:val="004B4412"/>
    <w:rsid w:val="004C1896"/>
    <w:rsid w:val="004C348C"/>
    <w:rsid w:val="004D55BA"/>
    <w:rsid w:val="004E086F"/>
    <w:rsid w:val="004E1716"/>
    <w:rsid w:val="005038DB"/>
    <w:rsid w:val="00507490"/>
    <w:rsid w:val="005126AA"/>
    <w:rsid w:val="00517725"/>
    <w:rsid w:val="0052379B"/>
    <w:rsid w:val="00530128"/>
    <w:rsid w:val="00532467"/>
    <w:rsid w:val="005404E8"/>
    <w:rsid w:val="00547BA2"/>
    <w:rsid w:val="00547CCF"/>
    <w:rsid w:val="00562F35"/>
    <w:rsid w:val="00564A4D"/>
    <w:rsid w:val="00571B35"/>
    <w:rsid w:val="00571C9F"/>
    <w:rsid w:val="005755DE"/>
    <w:rsid w:val="00577A09"/>
    <w:rsid w:val="00580B78"/>
    <w:rsid w:val="00584D8F"/>
    <w:rsid w:val="005869C8"/>
    <w:rsid w:val="00596D42"/>
    <w:rsid w:val="005A404D"/>
    <w:rsid w:val="005B1E3C"/>
    <w:rsid w:val="005C24AC"/>
    <w:rsid w:val="005C26CC"/>
    <w:rsid w:val="005D6C61"/>
    <w:rsid w:val="005E4CFA"/>
    <w:rsid w:val="005E6C0E"/>
    <w:rsid w:val="0060680A"/>
    <w:rsid w:val="00615C6B"/>
    <w:rsid w:val="00624C40"/>
    <w:rsid w:val="00632C01"/>
    <w:rsid w:val="00632D6D"/>
    <w:rsid w:val="00642C3E"/>
    <w:rsid w:val="00646025"/>
    <w:rsid w:val="00663DAD"/>
    <w:rsid w:val="006734CB"/>
    <w:rsid w:val="00676679"/>
    <w:rsid w:val="00691616"/>
    <w:rsid w:val="006A5270"/>
    <w:rsid w:val="006B4CF9"/>
    <w:rsid w:val="006B7AC8"/>
    <w:rsid w:val="006C21CE"/>
    <w:rsid w:val="006C2629"/>
    <w:rsid w:val="006D550F"/>
    <w:rsid w:val="006D5B79"/>
    <w:rsid w:val="006D77F3"/>
    <w:rsid w:val="006E351C"/>
    <w:rsid w:val="00701CAB"/>
    <w:rsid w:val="007029CC"/>
    <w:rsid w:val="00707563"/>
    <w:rsid w:val="007165C5"/>
    <w:rsid w:val="0072348C"/>
    <w:rsid w:val="007249F3"/>
    <w:rsid w:val="00724A37"/>
    <w:rsid w:val="007303C3"/>
    <w:rsid w:val="00743223"/>
    <w:rsid w:val="00746E01"/>
    <w:rsid w:val="00753B71"/>
    <w:rsid w:val="00763E5D"/>
    <w:rsid w:val="00765E8C"/>
    <w:rsid w:val="00766980"/>
    <w:rsid w:val="00767740"/>
    <w:rsid w:val="00777EE6"/>
    <w:rsid w:val="00782EEA"/>
    <w:rsid w:val="00796E07"/>
    <w:rsid w:val="007B2C72"/>
    <w:rsid w:val="007B2DD7"/>
    <w:rsid w:val="007C1C53"/>
    <w:rsid w:val="007C7ADE"/>
    <w:rsid w:val="007E26A9"/>
    <w:rsid w:val="007E4904"/>
    <w:rsid w:val="007E4CB5"/>
    <w:rsid w:val="007F066B"/>
    <w:rsid w:val="008033C4"/>
    <w:rsid w:val="00806013"/>
    <w:rsid w:val="00806C88"/>
    <w:rsid w:val="0081034E"/>
    <w:rsid w:val="008344F6"/>
    <w:rsid w:val="0083510F"/>
    <w:rsid w:val="00842B5C"/>
    <w:rsid w:val="00851209"/>
    <w:rsid w:val="0085721D"/>
    <w:rsid w:val="00862AF2"/>
    <w:rsid w:val="0088007E"/>
    <w:rsid w:val="008837AC"/>
    <w:rsid w:val="008945B4"/>
    <w:rsid w:val="008A587D"/>
    <w:rsid w:val="008B1C8A"/>
    <w:rsid w:val="008C5486"/>
    <w:rsid w:val="008D421A"/>
    <w:rsid w:val="008D4809"/>
    <w:rsid w:val="008E7031"/>
    <w:rsid w:val="00922C95"/>
    <w:rsid w:val="009233EE"/>
    <w:rsid w:val="009412C0"/>
    <w:rsid w:val="00943AF9"/>
    <w:rsid w:val="009661DE"/>
    <w:rsid w:val="00974DF4"/>
    <w:rsid w:val="009856B7"/>
    <w:rsid w:val="0098602B"/>
    <w:rsid w:val="009911AC"/>
    <w:rsid w:val="00991B3B"/>
    <w:rsid w:val="009962BA"/>
    <w:rsid w:val="009A09CE"/>
    <w:rsid w:val="009A35FE"/>
    <w:rsid w:val="009B74B0"/>
    <w:rsid w:val="009D4414"/>
    <w:rsid w:val="009D6B46"/>
    <w:rsid w:val="009F4940"/>
    <w:rsid w:val="00A000A3"/>
    <w:rsid w:val="00A04E80"/>
    <w:rsid w:val="00A06598"/>
    <w:rsid w:val="00A1665B"/>
    <w:rsid w:val="00A20001"/>
    <w:rsid w:val="00A21D1D"/>
    <w:rsid w:val="00A4478A"/>
    <w:rsid w:val="00A44852"/>
    <w:rsid w:val="00A52D14"/>
    <w:rsid w:val="00A57D04"/>
    <w:rsid w:val="00A60A26"/>
    <w:rsid w:val="00A61598"/>
    <w:rsid w:val="00A84F46"/>
    <w:rsid w:val="00A865E0"/>
    <w:rsid w:val="00A871F4"/>
    <w:rsid w:val="00AB51B6"/>
    <w:rsid w:val="00AB5D5F"/>
    <w:rsid w:val="00AC1B2C"/>
    <w:rsid w:val="00AC3264"/>
    <w:rsid w:val="00AC6F01"/>
    <w:rsid w:val="00AD051B"/>
    <w:rsid w:val="00AD11C2"/>
    <w:rsid w:val="00AE0361"/>
    <w:rsid w:val="00AE0FE2"/>
    <w:rsid w:val="00AE1BF1"/>
    <w:rsid w:val="00AE52A5"/>
    <w:rsid w:val="00AF0DD2"/>
    <w:rsid w:val="00B10314"/>
    <w:rsid w:val="00B13048"/>
    <w:rsid w:val="00B15998"/>
    <w:rsid w:val="00B1716D"/>
    <w:rsid w:val="00B17A1D"/>
    <w:rsid w:val="00B207A0"/>
    <w:rsid w:val="00B21040"/>
    <w:rsid w:val="00B33CD4"/>
    <w:rsid w:val="00B5183F"/>
    <w:rsid w:val="00B56E03"/>
    <w:rsid w:val="00B60F5D"/>
    <w:rsid w:val="00B67E91"/>
    <w:rsid w:val="00B73B3D"/>
    <w:rsid w:val="00B8080B"/>
    <w:rsid w:val="00B82C7D"/>
    <w:rsid w:val="00B87C39"/>
    <w:rsid w:val="00BA0FB6"/>
    <w:rsid w:val="00BA4665"/>
    <w:rsid w:val="00BB2E79"/>
    <w:rsid w:val="00BB2FB2"/>
    <w:rsid w:val="00BB3304"/>
    <w:rsid w:val="00BB7BD0"/>
    <w:rsid w:val="00BC4A4E"/>
    <w:rsid w:val="00BC71DC"/>
    <w:rsid w:val="00BD299B"/>
    <w:rsid w:val="00BD3446"/>
    <w:rsid w:val="00BD4036"/>
    <w:rsid w:val="00BE1F1B"/>
    <w:rsid w:val="00BE47B5"/>
    <w:rsid w:val="00BE4C99"/>
    <w:rsid w:val="00BE5A08"/>
    <w:rsid w:val="00BE761F"/>
    <w:rsid w:val="00BF2E57"/>
    <w:rsid w:val="00BF63C9"/>
    <w:rsid w:val="00C058AB"/>
    <w:rsid w:val="00C06739"/>
    <w:rsid w:val="00C16C1C"/>
    <w:rsid w:val="00C20C4B"/>
    <w:rsid w:val="00C235A3"/>
    <w:rsid w:val="00C4604B"/>
    <w:rsid w:val="00C538A9"/>
    <w:rsid w:val="00C53B5A"/>
    <w:rsid w:val="00C54F5A"/>
    <w:rsid w:val="00C755AD"/>
    <w:rsid w:val="00C86679"/>
    <w:rsid w:val="00C92B17"/>
    <w:rsid w:val="00CA0880"/>
    <w:rsid w:val="00CA3F45"/>
    <w:rsid w:val="00CB0A0F"/>
    <w:rsid w:val="00CB3660"/>
    <w:rsid w:val="00CB666B"/>
    <w:rsid w:val="00CC5F87"/>
    <w:rsid w:val="00CE6D00"/>
    <w:rsid w:val="00CF799E"/>
    <w:rsid w:val="00D01CF0"/>
    <w:rsid w:val="00D0442A"/>
    <w:rsid w:val="00D2031C"/>
    <w:rsid w:val="00D203E1"/>
    <w:rsid w:val="00D217A2"/>
    <w:rsid w:val="00D2652B"/>
    <w:rsid w:val="00D43DD2"/>
    <w:rsid w:val="00D53BCF"/>
    <w:rsid w:val="00D544B8"/>
    <w:rsid w:val="00D60AF6"/>
    <w:rsid w:val="00D61388"/>
    <w:rsid w:val="00D61A54"/>
    <w:rsid w:val="00D638E8"/>
    <w:rsid w:val="00D64DEA"/>
    <w:rsid w:val="00D672BB"/>
    <w:rsid w:val="00D71B65"/>
    <w:rsid w:val="00D72D22"/>
    <w:rsid w:val="00D7335D"/>
    <w:rsid w:val="00D74667"/>
    <w:rsid w:val="00D80893"/>
    <w:rsid w:val="00D84DBB"/>
    <w:rsid w:val="00D90192"/>
    <w:rsid w:val="00D92CF1"/>
    <w:rsid w:val="00D92D38"/>
    <w:rsid w:val="00D950F5"/>
    <w:rsid w:val="00D97A11"/>
    <w:rsid w:val="00DB0638"/>
    <w:rsid w:val="00DB0F93"/>
    <w:rsid w:val="00DC542F"/>
    <w:rsid w:val="00DC7981"/>
    <w:rsid w:val="00DD29BD"/>
    <w:rsid w:val="00DE0060"/>
    <w:rsid w:val="00DE4EFA"/>
    <w:rsid w:val="00DE5520"/>
    <w:rsid w:val="00E04818"/>
    <w:rsid w:val="00E06442"/>
    <w:rsid w:val="00E06E04"/>
    <w:rsid w:val="00E23993"/>
    <w:rsid w:val="00E25B8C"/>
    <w:rsid w:val="00E4674F"/>
    <w:rsid w:val="00E54953"/>
    <w:rsid w:val="00E65C85"/>
    <w:rsid w:val="00E65F47"/>
    <w:rsid w:val="00E66199"/>
    <w:rsid w:val="00E755EC"/>
    <w:rsid w:val="00E7624D"/>
    <w:rsid w:val="00E83833"/>
    <w:rsid w:val="00E97E44"/>
    <w:rsid w:val="00EA3D42"/>
    <w:rsid w:val="00EA6B1B"/>
    <w:rsid w:val="00EC5A18"/>
    <w:rsid w:val="00EE28F3"/>
    <w:rsid w:val="00EF329E"/>
    <w:rsid w:val="00EF5110"/>
    <w:rsid w:val="00F057C7"/>
    <w:rsid w:val="00F14D02"/>
    <w:rsid w:val="00F15882"/>
    <w:rsid w:val="00F171E9"/>
    <w:rsid w:val="00F20BD3"/>
    <w:rsid w:val="00F33CBE"/>
    <w:rsid w:val="00F3671E"/>
    <w:rsid w:val="00F373A5"/>
    <w:rsid w:val="00F47559"/>
    <w:rsid w:val="00F60BE4"/>
    <w:rsid w:val="00F61B84"/>
    <w:rsid w:val="00F64C7B"/>
    <w:rsid w:val="00F676DD"/>
    <w:rsid w:val="00F70209"/>
    <w:rsid w:val="00F75A26"/>
    <w:rsid w:val="00F83FAD"/>
    <w:rsid w:val="00F91DC6"/>
    <w:rsid w:val="00F952A0"/>
    <w:rsid w:val="00FA3C7F"/>
    <w:rsid w:val="00FB52D7"/>
    <w:rsid w:val="00FB74E2"/>
    <w:rsid w:val="00FD5614"/>
    <w:rsid w:val="00FE0BE1"/>
    <w:rsid w:val="00FE1DE9"/>
    <w:rsid w:val="00FE39C2"/>
    <w:rsid w:val="00FE64AE"/>
    <w:rsid w:val="00FF4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325BBB"/>
    <w:pPr>
      <w:spacing w:before="0" w:after="240"/>
    </w:pPr>
    <w:rPr>
      <w:rFonts w:ascii="Arial" w:hAnsi="Arial"/>
      <w:sz w:val="20"/>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rsid w:val="00C53B5A"/>
    <w:pPr>
      <w:spacing w:before="60" w:after="60"/>
    </w:pPr>
    <w:rPr>
      <w:rFonts w:ascii="Arial" w:hAnsi="Arial"/>
      <w:sz w:val="20"/>
    </w:rPr>
    <w:tblPr>
      <w:tblInd w:w="0" w:type="dxa"/>
      <w:tblBorders>
        <w:top w:val="single" w:sz="4" w:space="0" w:color="BFBFBF" w:themeColor="background1" w:themeShade="BF"/>
        <w:bottom w:val="single" w:sz="4" w:space="0" w:color="BFBFBF" w:themeColor="background1" w:themeShade="BF"/>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Ind w:w="0" w:type="dxa"/>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CellMar>
        <w:top w:w="0" w:type="dxa"/>
        <w:left w:w="108" w:type="dxa"/>
        <w:bottom w:w="0" w:type="dxa"/>
        <w:right w:w="108" w:type="dxa"/>
      </w:tblCellMar>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Ind w:w="0" w:type="dxa"/>
      <w:tblBorders>
        <w:top w:val="single" w:sz="8" w:space="0" w:color="51626F" w:themeColor="accent1"/>
        <w:bottom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Ind w:w="0" w:type="dxa"/>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CellMar>
        <w:top w:w="0" w:type="dxa"/>
        <w:left w:w="108" w:type="dxa"/>
        <w:bottom w:w="0" w:type="dxa"/>
        <w:right w:w="108" w:type="dxa"/>
      </w:tblCellMar>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Ind w:w="0" w:type="dxa"/>
      <w:tblBorders>
        <w:top w:val="single" w:sz="8" w:space="0" w:color="0098C3" w:themeColor="accent3"/>
        <w:bottom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Ind w:w="0" w:type="dxa"/>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Ind w:w="0" w:type="dxa"/>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Ind w:w="0" w:type="dxa"/>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Ind w:w="0" w:type="dxa"/>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Ind w:w="0" w:type="dxa"/>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Ind w:w="0" w:type="dxa"/>
      <w:tblBorders>
        <w:top w:val="single" w:sz="8" w:space="0" w:color="B71202" w:themeColor="accent5"/>
        <w:bottom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iPriority w:val="2"/>
    <w:qFormat/>
    <w:rsid w:val="003A673F"/>
    <w:pPr>
      <w:tabs>
        <w:tab w:val="left" w:pos="340"/>
      </w:tabs>
      <w:spacing w:before="60"/>
      <w:ind w:left="340" w:hanging="340"/>
    </w:pPr>
    <w:rPr>
      <w:sz w:val="16"/>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uiPriority w:val="2"/>
    <w:rsid w:val="003A673F"/>
    <w:rPr>
      <w:rFonts w:ascii="Arial" w:hAnsi="Arial"/>
      <w:sz w:val="16"/>
      <w:szCs w:val="20"/>
    </w:rPr>
  </w:style>
  <w:style w:type="character" w:styleId="FootnoteReference">
    <w:name w:val="footnote reference"/>
    <w:aliases w:val="(NECG) Footnote Reference,(NECG) Footnote Reference1,(NECG) Footnote Reference2,o,Style 3,Style 12,fr,Appel note de bas de p,Style 124,Appel n,Style 6 + 12 pt,Footnote Reference 1,(NECG) Footnote Reference3,(NECG) Footnote Reference4"/>
    <w:basedOn w:val="DefaultParagraphFont"/>
    <w:uiPriority w:val="99"/>
    <w:unhideWhenUsed/>
    <w:qFormat/>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Ind w:w="0" w:type="dxa"/>
      <w:tblBorders>
        <w:top w:val="single" w:sz="8" w:space="0" w:color="A0CFEB" w:themeColor="accent4"/>
        <w:bottom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Ind w:w="0" w:type="dxa"/>
      <w:tblBorders>
        <w:top w:val="single" w:sz="8" w:space="0" w:color="DC5034" w:themeColor="accent6"/>
        <w:bottom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Ind w:w="0" w:type="dxa"/>
      <w:tblBorders>
        <w:top w:val="single" w:sz="4" w:space="0" w:color="D5D6D2" w:themeColor="background2"/>
        <w:bottom w:val="single" w:sz="4" w:space="0" w:color="D5D6D2" w:themeColor="background2"/>
        <w:insideH w:val="single" w:sz="4" w:space="0" w:color="D5D6D2" w:themeColor="background2"/>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Ind w:w="0" w:type="dxa"/>
      <w:tblBorders>
        <w:insideV w:val="single" w:sz="4" w:space="0" w:color="D5D6D2" w:themeColor="background2"/>
      </w:tblBorders>
      <w:tblCellMar>
        <w:top w:w="0" w:type="dxa"/>
        <w:left w:w="108" w:type="dxa"/>
        <w:bottom w:w="0" w:type="dxa"/>
        <w:right w:w="108" w:type="dxa"/>
      </w:tblCellMar>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HeadingLevel1">
    <w:name w:val="Heading Level 1"/>
    <w:next w:val="Normal"/>
    <w:autoRedefine/>
    <w:uiPriority w:val="1"/>
    <w:unhideWhenUsed/>
    <w:qFormat/>
    <w:locked/>
    <w:rsid w:val="00325BBB"/>
    <w:pPr>
      <w:pageBreakBefore/>
      <w:numPr>
        <w:numId w:val="28"/>
      </w:numPr>
      <w:spacing w:before="360" w:after="360"/>
      <w:outlineLvl w:val="0"/>
    </w:pPr>
    <w:rPr>
      <w:rFonts w:ascii="Arial" w:eastAsiaTheme="majorEastAsia" w:hAnsi="Arial" w:cstheme="majorBidi"/>
      <w:b/>
      <w:bCs/>
      <w:color w:val="002060"/>
      <w:sz w:val="36"/>
      <w:szCs w:val="28"/>
    </w:rPr>
  </w:style>
  <w:style w:type="paragraph" w:customStyle="1" w:styleId="HeadingLevel2">
    <w:name w:val="Heading Level 2"/>
    <w:basedOn w:val="HeadingLevel1"/>
    <w:next w:val="Normal"/>
    <w:autoRedefine/>
    <w:uiPriority w:val="1"/>
    <w:unhideWhenUsed/>
    <w:qFormat/>
    <w:locked/>
    <w:rsid w:val="00BE761F"/>
    <w:pPr>
      <w:keepNext/>
      <w:pageBreakBefore w:val="0"/>
      <w:numPr>
        <w:ilvl w:val="1"/>
      </w:numPr>
      <w:spacing w:before="240" w:after="240"/>
      <w:outlineLvl w:val="1"/>
    </w:pPr>
    <w:rPr>
      <w:bCs w:val="0"/>
      <w:sz w:val="32"/>
    </w:rPr>
  </w:style>
  <w:style w:type="paragraph" w:customStyle="1" w:styleId="HeadingLevel3">
    <w:name w:val="Heading Level 3"/>
    <w:basedOn w:val="HeadingLevel2"/>
    <w:next w:val="Normal"/>
    <w:autoRedefine/>
    <w:uiPriority w:val="1"/>
    <w:unhideWhenUsed/>
    <w:qFormat/>
    <w:locked/>
    <w:rsid w:val="001B216B"/>
    <w:pPr>
      <w:numPr>
        <w:ilvl w:val="2"/>
      </w:numPr>
      <w:spacing w:before="0"/>
      <w:outlineLvl w:val="2"/>
    </w:pPr>
    <w:rPr>
      <w:bCs/>
      <w:sz w:val="28"/>
    </w:rPr>
  </w:style>
  <w:style w:type="paragraph" w:customStyle="1" w:styleId="ACCCreporttitle1">
    <w:name w:val="ACCC report title 1"/>
    <w:autoRedefine/>
    <w:uiPriority w:val="11"/>
    <w:semiHidden/>
    <w:locked/>
    <w:rsid w:val="00325BBB"/>
    <w:pPr>
      <w:spacing w:before="4200" w:after="480"/>
      <w:contextualSpacing/>
      <w:jc w:val="center"/>
    </w:pPr>
    <w:rPr>
      <w:rFonts w:ascii="Arial" w:eastAsia="Times New Roman" w:hAnsi="Arial" w:cs="Times New Roman"/>
      <w:b/>
      <w:bCs/>
      <w:sz w:val="32"/>
      <w:szCs w:val="32"/>
      <w:lang w:eastAsia="en-AU"/>
    </w:rPr>
  </w:style>
  <w:style w:type="paragraph" w:customStyle="1" w:styleId="ACCCcopyrighttext">
    <w:name w:val="ACCC copyright text"/>
    <w:basedOn w:val="Normal"/>
    <w:autoRedefine/>
    <w:uiPriority w:val="11"/>
    <w:semiHidden/>
    <w:locked/>
    <w:rsid w:val="00325BBB"/>
    <w:pPr>
      <w:tabs>
        <w:tab w:val="left" w:pos="3402"/>
      </w:tabs>
      <w:spacing w:after="0"/>
    </w:pPr>
  </w:style>
  <w:style w:type="paragraph" w:customStyle="1" w:styleId="HeadingLevel4">
    <w:name w:val="Heading Level 4"/>
    <w:basedOn w:val="HeadingLevel3"/>
    <w:next w:val="Normal"/>
    <w:autoRedefine/>
    <w:uiPriority w:val="1"/>
    <w:unhideWhenUsed/>
    <w:qFormat/>
    <w:locked/>
    <w:rsid w:val="00325BBB"/>
    <w:pPr>
      <w:numPr>
        <w:ilvl w:val="3"/>
      </w:numPr>
      <w:outlineLvl w:val="3"/>
    </w:pPr>
    <w:rPr>
      <w:bCs w:val="0"/>
      <w:sz w:val="24"/>
    </w:rPr>
  </w:style>
  <w:style w:type="paragraph" w:customStyle="1" w:styleId="HeadingLevel8table">
    <w:name w:val="Heading Level 8 (table)"/>
    <w:basedOn w:val="HeadingLevel6"/>
    <w:next w:val="Normal"/>
    <w:autoRedefine/>
    <w:uiPriority w:val="1"/>
    <w:qFormat/>
    <w:locked/>
    <w:rsid w:val="00325BBB"/>
    <w:pPr>
      <w:numPr>
        <w:ilvl w:val="7"/>
      </w:numPr>
      <w:outlineLvl w:val="9"/>
    </w:pPr>
    <w:rPr>
      <w:b/>
      <w:bCs w:val="0"/>
      <w:i w:val="0"/>
      <w:sz w:val="20"/>
    </w:rPr>
  </w:style>
  <w:style w:type="paragraph" w:customStyle="1" w:styleId="HeadingLevel5">
    <w:name w:val="Heading Level 5"/>
    <w:basedOn w:val="HeadingLevel4"/>
    <w:next w:val="Normal"/>
    <w:uiPriority w:val="1"/>
    <w:unhideWhenUsed/>
    <w:qFormat/>
    <w:locked/>
    <w:rsid w:val="00325BBB"/>
    <w:pPr>
      <w:numPr>
        <w:ilvl w:val="4"/>
      </w:numPr>
      <w:outlineLvl w:val="4"/>
    </w:pPr>
    <w:rPr>
      <w:bCs/>
      <w:i/>
    </w:rPr>
  </w:style>
  <w:style w:type="paragraph" w:customStyle="1" w:styleId="HeadingLevel6">
    <w:name w:val="Heading Level 6"/>
    <w:basedOn w:val="HeadingLevel5"/>
    <w:next w:val="Normal"/>
    <w:uiPriority w:val="1"/>
    <w:unhideWhenUsed/>
    <w:qFormat/>
    <w:locked/>
    <w:rsid w:val="00325BBB"/>
    <w:pPr>
      <w:numPr>
        <w:ilvl w:val="5"/>
      </w:numPr>
      <w:outlineLvl w:val="5"/>
    </w:pPr>
    <w:rPr>
      <w:b w:val="0"/>
    </w:rPr>
  </w:style>
  <w:style w:type="paragraph" w:customStyle="1" w:styleId="HeadingLevel7figure">
    <w:name w:val="Heading Level 7 (figure)"/>
    <w:basedOn w:val="HeadingLevel8table"/>
    <w:next w:val="Normal"/>
    <w:uiPriority w:val="1"/>
    <w:qFormat/>
    <w:locked/>
    <w:rsid w:val="00325BBB"/>
    <w:pPr>
      <w:numPr>
        <w:ilvl w:val="6"/>
      </w:numPr>
    </w:pPr>
  </w:style>
  <w:style w:type="paragraph" w:customStyle="1" w:styleId="Non-NumberedStyle">
    <w:name w:val="Non-Numbered Style"/>
    <w:basedOn w:val="HeadingLevel1"/>
    <w:next w:val="Normal"/>
    <w:semiHidden/>
    <w:qFormat/>
    <w:rsid w:val="00325BBB"/>
    <w:pPr>
      <w:numPr>
        <w:numId w:val="0"/>
      </w:numPr>
      <w:outlineLvl w:val="9"/>
    </w:pPr>
  </w:style>
  <w:style w:type="paragraph" w:customStyle="1" w:styleId="Bulletb">
    <w:name w:val="Bullet b"/>
    <w:basedOn w:val="Normal"/>
    <w:autoRedefine/>
    <w:uiPriority w:val="3"/>
    <w:unhideWhenUsed/>
    <w:qFormat/>
    <w:locked/>
    <w:rsid w:val="00300C76"/>
    <w:pPr>
      <w:numPr>
        <w:ilvl w:val="1"/>
        <w:numId w:val="29"/>
      </w:numPr>
      <w:spacing w:before="120" w:after="120"/>
    </w:pPr>
  </w:style>
  <w:style w:type="paragraph" w:customStyle="1" w:styleId="Bulleta">
    <w:name w:val="Bullet a"/>
    <w:basedOn w:val="Normal"/>
    <w:autoRedefine/>
    <w:uiPriority w:val="3"/>
    <w:unhideWhenUsed/>
    <w:qFormat/>
    <w:locked/>
    <w:rsid w:val="006C2629"/>
    <w:pPr>
      <w:numPr>
        <w:numId w:val="32"/>
      </w:numPr>
      <w:spacing w:before="120"/>
    </w:pPr>
  </w:style>
  <w:style w:type="paragraph" w:customStyle="1" w:styleId="Default">
    <w:name w:val="Default"/>
    <w:rsid w:val="002F12D5"/>
    <w:pPr>
      <w:autoSpaceDE w:val="0"/>
      <w:autoSpaceDN w:val="0"/>
      <w:adjustRightInd w:val="0"/>
      <w:spacing w:before="0"/>
    </w:pPr>
    <w:rPr>
      <w:rFonts w:ascii="Arial" w:hAnsi="Arial" w:cs="Arial"/>
      <w:color w:val="000000"/>
      <w:sz w:val="24"/>
      <w:szCs w:val="24"/>
    </w:rPr>
  </w:style>
  <w:style w:type="character" w:styleId="CommentReference">
    <w:name w:val="annotation reference"/>
    <w:basedOn w:val="DefaultParagraphFont"/>
    <w:uiPriority w:val="99"/>
    <w:semiHidden/>
    <w:unhideWhenUsed/>
    <w:rsid w:val="006C21CE"/>
    <w:rPr>
      <w:sz w:val="16"/>
      <w:szCs w:val="16"/>
    </w:rPr>
  </w:style>
  <w:style w:type="paragraph" w:styleId="CommentText">
    <w:name w:val="annotation text"/>
    <w:basedOn w:val="Normal"/>
    <w:link w:val="CommentTextChar"/>
    <w:uiPriority w:val="99"/>
    <w:semiHidden/>
    <w:unhideWhenUsed/>
    <w:rsid w:val="006C21CE"/>
    <w:rPr>
      <w:szCs w:val="20"/>
    </w:rPr>
  </w:style>
  <w:style w:type="character" w:customStyle="1" w:styleId="CommentTextChar">
    <w:name w:val="Comment Text Char"/>
    <w:basedOn w:val="DefaultParagraphFont"/>
    <w:link w:val="CommentText"/>
    <w:uiPriority w:val="99"/>
    <w:semiHidden/>
    <w:rsid w:val="006C21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21CE"/>
    <w:rPr>
      <w:b/>
      <w:bCs/>
    </w:rPr>
  </w:style>
  <w:style w:type="character" w:customStyle="1" w:styleId="CommentSubjectChar">
    <w:name w:val="Comment Subject Char"/>
    <w:basedOn w:val="CommentTextChar"/>
    <w:link w:val="CommentSubject"/>
    <w:uiPriority w:val="99"/>
    <w:semiHidden/>
    <w:rsid w:val="006C21CE"/>
    <w:rPr>
      <w:rFonts w:ascii="Arial" w:hAnsi="Arial"/>
      <w:b/>
      <w:bCs/>
      <w:sz w:val="20"/>
      <w:szCs w:val="20"/>
    </w:rPr>
  </w:style>
  <w:style w:type="paragraph" w:customStyle="1" w:styleId="Bulletpoint-Keypoints">
    <w:name w:val="Bullet point - Key points"/>
    <w:basedOn w:val="ListBullet"/>
    <w:qFormat/>
    <w:rsid w:val="00BB2E79"/>
    <w:pPr>
      <w:numPr>
        <w:numId w:val="0"/>
      </w:numPr>
      <w:spacing w:before="240" w:after="0"/>
      <w:ind w:left="340" w:hanging="340"/>
    </w:pPr>
    <w:rPr>
      <w:rFonts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325BBB"/>
    <w:pPr>
      <w:spacing w:before="0" w:after="240"/>
    </w:pPr>
    <w:rPr>
      <w:rFonts w:ascii="Arial" w:hAnsi="Arial"/>
      <w:sz w:val="20"/>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rsid w:val="00C53B5A"/>
    <w:pPr>
      <w:spacing w:before="60" w:after="60"/>
    </w:pPr>
    <w:rPr>
      <w:rFonts w:ascii="Arial" w:hAnsi="Arial"/>
      <w:sz w:val="20"/>
    </w:rPr>
    <w:tblPr>
      <w:tblInd w:w="0" w:type="dxa"/>
      <w:tblBorders>
        <w:top w:val="single" w:sz="4" w:space="0" w:color="BFBFBF" w:themeColor="background1" w:themeShade="BF"/>
        <w:bottom w:val="single" w:sz="4" w:space="0" w:color="BFBFBF" w:themeColor="background1" w:themeShade="BF"/>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Ind w:w="0" w:type="dxa"/>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CellMar>
        <w:top w:w="0" w:type="dxa"/>
        <w:left w:w="108" w:type="dxa"/>
        <w:bottom w:w="0" w:type="dxa"/>
        <w:right w:w="108" w:type="dxa"/>
      </w:tblCellMar>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Ind w:w="0" w:type="dxa"/>
      <w:tblBorders>
        <w:top w:val="single" w:sz="8" w:space="0" w:color="51626F" w:themeColor="accent1"/>
        <w:bottom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Ind w:w="0" w:type="dxa"/>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CellMar>
        <w:top w:w="0" w:type="dxa"/>
        <w:left w:w="108" w:type="dxa"/>
        <w:bottom w:w="0" w:type="dxa"/>
        <w:right w:w="108" w:type="dxa"/>
      </w:tblCellMar>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Ind w:w="0" w:type="dxa"/>
      <w:tblBorders>
        <w:top w:val="single" w:sz="8" w:space="0" w:color="0098C3" w:themeColor="accent3"/>
        <w:bottom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Ind w:w="0" w:type="dxa"/>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Ind w:w="0" w:type="dxa"/>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Ind w:w="0" w:type="dxa"/>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Ind w:w="0" w:type="dxa"/>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Ind w:w="0" w:type="dxa"/>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Ind w:w="0" w:type="dxa"/>
      <w:tblBorders>
        <w:top w:val="single" w:sz="8" w:space="0" w:color="B71202" w:themeColor="accent5"/>
        <w:bottom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iPriority w:val="2"/>
    <w:qFormat/>
    <w:rsid w:val="003A673F"/>
    <w:pPr>
      <w:tabs>
        <w:tab w:val="left" w:pos="340"/>
      </w:tabs>
      <w:spacing w:before="60"/>
      <w:ind w:left="340" w:hanging="340"/>
    </w:pPr>
    <w:rPr>
      <w:sz w:val="16"/>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uiPriority w:val="2"/>
    <w:rsid w:val="003A673F"/>
    <w:rPr>
      <w:rFonts w:ascii="Arial" w:hAnsi="Arial"/>
      <w:sz w:val="16"/>
      <w:szCs w:val="20"/>
    </w:rPr>
  </w:style>
  <w:style w:type="character" w:styleId="FootnoteReference">
    <w:name w:val="footnote reference"/>
    <w:aliases w:val="(NECG) Footnote Reference,(NECG) Footnote Reference1,(NECG) Footnote Reference2,o,Style 3,Style 12,fr,Appel note de bas de p,Style 124,Appel n,Style 6 + 12 pt,Footnote Reference 1,(NECG) Footnote Reference3,(NECG) Footnote Reference4"/>
    <w:basedOn w:val="DefaultParagraphFont"/>
    <w:uiPriority w:val="99"/>
    <w:unhideWhenUsed/>
    <w:qFormat/>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Ind w:w="0" w:type="dxa"/>
      <w:tblBorders>
        <w:top w:val="single" w:sz="8" w:space="0" w:color="A0CFEB" w:themeColor="accent4"/>
        <w:bottom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Ind w:w="0" w:type="dxa"/>
      <w:tblBorders>
        <w:top w:val="single" w:sz="8" w:space="0" w:color="DC5034" w:themeColor="accent6"/>
        <w:bottom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Ind w:w="0" w:type="dxa"/>
      <w:tblBorders>
        <w:top w:val="single" w:sz="4" w:space="0" w:color="D5D6D2" w:themeColor="background2"/>
        <w:bottom w:val="single" w:sz="4" w:space="0" w:color="D5D6D2" w:themeColor="background2"/>
        <w:insideH w:val="single" w:sz="4" w:space="0" w:color="D5D6D2" w:themeColor="background2"/>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Ind w:w="0" w:type="dxa"/>
      <w:tblBorders>
        <w:insideV w:val="single" w:sz="4" w:space="0" w:color="D5D6D2" w:themeColor="background2"/>
      </w:tblBorders>
      <w:tblCellMar>
        <w:top w:w="0" w:type="dxa"/>
        <w:left w:w="108" w:type="dxa"/>
        <w:bottom w:w="0" w:type="dxa"/>
        <w:right w:w="108" w:type="dxa"/>
      </w:tblCellMar>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HeadingLevel1">
    <w:name w:val="Heading Level 1"/>
    <w:next w:val="Normal"/>
    <w:autoRedefine/>
    <w:uiPriority w:val="1"/>
    <w:unhideWhenUsed/>
    <w:qFormat/>
    <w:locked/>
    <w:rsid w:val="00325BBB"/>
    <w:pPr>
      <w:pageBreakBefore/>
      <w:numPr>
        <w:numId w:val="28"/>
      </w:numPr>
      <w:spacing w:before="360" w:after="360"/>
      <w:outlineLvl w:val="0"/>
    </w:pPr>
    <w:rPr>
      <w:rFonts w:ascii="Arial" w:eastAsiaTheme="majorEastAsia" w:hAnsi="Arial" w:cstheme="majorBidi"/>
      <w:b/>
      <w:bCs/>
      <w:color w:val="002060"/>
      <w:sz w:val="36"/>
      <w:szCs w:val="28"/>
    </w:rPr>
  </w:style>
  <w:style w:type="paragraph" w:customStyle="1" w:styleId="HeadingLevel2">
    <w:name w:val="Heading Level 2"/>
    <w:basedOn w:val="HeadingLevel1"/>
    <w:next w:val="Normal"/>
    <w:autoRedefine/>
    <w:uiPriority w:val="1"/>
    <w:unhideWhenUsed/>
    <w:qFormat/>
    <w:locked/>
    <w:rsid w:val="00BE761F"/>
    <w:pPr>
      <w:keepNext/>
      <w:pageBreakBefore w:val="0"/>
      <w:numPr>
        <w:ilvl w:val="1"/>
      </w:numPr>
      <w:spacing w:before="240" w:after="240"/>
      <w:outlineLvl w:val="1"/>
    </w:pPr>
    <w:rPr>
      <w:bCs w:val="0"/>
      <w:sz w:val="32"/>
    </w:rPr>
  </w:style>
  <w:style w:type="paragraph" w:customStyle="1" w:styleId="HeadingLevel3">
    <w:name w:val="Heading Level 3"/>
    <w:basedOn w:val="HeadingLevel2"/>
    <w:next w:val="Normal"/>
    <w:autoRedefine/>
    <w:uiPriority w:val="1"/>
    <w:unhideWhenUsed/>
    <w:qFormat/>
    <w:locked/>
    <w:rsid w:val="001B216B"/>
    <w:pPr>
      <w:numPr>
        <w:ilvl w:val="2"/>
      </w:numPr>
      <w:spacing w:before="0"/>
      <w:outlineLvl w:val="2"/>
    </w:pPr>
    <w:rPr>
      <w:bCs/>
      <w:sz w:val="28"/>
    </w:rPr>
  </w:style>
  <w:style w:type="paragraph" w:customStyle="1" w:styleId="ACCCreporttitle1">
    <w:name w:val="ACCC report title 1"/>
    <w:autoRedefine/>
    <w:uiPriority w:val="11"/>
    <w:semiHidden/>
    <w:locked/>
    <w:rsid w:val="00325BBB"/>
    <w:pPr>
      <w:spacing w:before="4200" w:after="480"/>
      <w:contextualSpacing/>
      <w:jc w:val="center"/>
    </w:pPr>
    <w:rPr>
      <w:rFonts w:ascii="Arial" w:eastAsia="Times New Roman" w:hAnsi="Arial" w:cs="Times New Roman"/>
      <w:b/>
      <w:bCs/>
      <w:sz w:val="32"/>
      <w:szCs w:val="32"/>
      <w:lang w:eastAsia="en-AU"/>
    </w:rPr>
  </w:style>
  <w:style w:type="paragraph" w:customStyle="1" w:styleId="ACCCcopyrighttext">
    <w:name w:val="ACCC copyright text"/>
    <w:basedOn w:val="Normal"/>
    <w:autoRedefine/>
    <w:uiPriority w:val="11"/>
    <w:semiHidden/>
    <w:locked/>
    <w:rsid w:val="00325BBB"/>
    <w:pPr>
      <w:tabs>
        <w:tab w:val="left" w:pos="3402"/>
      </w:tabs>
      <w:spacing w:after="0"/>
    </w:pPr>
  </w:style>
  <w:style w:type="paragraph" w:customStyle="1" w:styleId="HeadingLevel4">
    <w:name w:val="Heading Level 4"/>
    <w:basedOn w:val="HeadingLevel3"/>
    <w:next w:val="Normal"/>
    <w:autoRedefine/>
    <w:uiPriority w:val="1"/>
    <w:unhideWhenUsed/>
    <w:qFormat/>
    <w:locked/>
    <w:rsid w:val="00325BBB"/>
    <w:pPr>
      <w:numPr>
        <w:ilvl w:val="3"/>
      </w:numPr>
      <w:outlineLvl w:val="3"/>
    </w:pPr>
    <w:rPr>
      <w:bCs w:val="0"/>
      <w:sz w:val="24"/>
    </w:rPr>
  </w:style>
  <w:style w:type="paragraph" w:customStyle="1" w:styleId="HeadingLevel8table">
    <w:name w:val="Heading Level 8 (table)"/>
    <w:basedOn w:val="HeadingLevel6"/>
    <w:next w:val="Normal"/>
    <w:autoRedefine/>
    <w:uiPriority w:val="1"/>
    <w:qFormat/>
    <w:locked/>
    <w:rsid w:val="00325BBB"/>
    <w:pPr>
      <w:numPr>
        <w:ilvl w:val="7"/>
      </w:numPr>
      <w:outlineLvl w:val="9"/>
    </w:pPr>
    <w:rPr>
      <w:b/>
      <w:bCs w:val="0"/>
      <w:i w:val="0"/>
      <w:sz w:val="20"/>
    </w:rPr>
  </w:style>
  <w:style w:type="paragraph" w:customStyle="1" w:styleId="HeadingLevel5">
    <w:name w:val="Heading Level 5"/>
    <w:basedOn w:val="HeadingLevel4"/>
    <w:next w:val="Normal"/>
    <w:uiPriority w:val="1"/>
    <w:unhideWhenUsed/>
    <w:qFormat/>
    <w:locked/>
    <w:rsid w:val="00325BBB"/>
    <w:pPr>
      <w:numPr>
        <w:ilvl w:val="4"/>
      </w:numPr>
      <w:outlineLvl w:val="4"/>
    </w:pPr>
    <w:rPr>
      <w:bCs/>
      <w:i/>
    </w:rPr>
  </w:style>
  <w:style w:type="paragraph" w:customStyle="1" w:styleId="HeadingLevel6">
    <w:name w:val="Heading Level 6"/>
    <w:basedOn w:val="HeadingLevel5"/>
    <w:next w:val="Normal"/>
    <w:uiPriority w:val="1"/>
    <w:unhideWhenUsed/>
    <w:qFormat/>
    <w:locked/>
    <w:rsid w:val="00325BBB"/>
    <w:pPr>
      <w:numPr>
        <w:ilvl w:val="5"/>
      </w:numPr>
      <w:outlineLvl w:val="5"/>
    </w:pPr>
    <w:rPr>
      <w:b w:val="0"/>
    </w:rPr>
  </w:style>
  <w:style w:type="paragraph" w:customStyle="1" w:styleId="HeadingLevel7figure">
    <w:name w:val="Heading Level 7 (figure)"/>
    <w:basedOn w:val="HeadingLevel8table"/>
    <w:next w:val="Normal"/>
    <w:uiPriority w:val="1"/>
    <w:qFormat/>
    <w:locked/>
    <w:rsid w:val="00325BBB"/>
    <w:pPr>
      <w:numPr>
        <w:ilvl w:val="6"/>
      </w:numPr>
    </w:pPr>
  </w:style>
  <w:style w:type="paragraph" w:customStyle="1" w:styleId="Non-NumberedStyle">
    <w:name w:val="Non-Numbered Style"/>
    <w:basedOn w:val="HeadingLevel1"/>
    <w:next w:val="Normal"/>
    <w:semiHidden/>
    <w:qFormat/>
    <w:rsid w:val="00325BBB"/>
    <w:pPr>
      <w:numPr>
        <w:numId w:val="0"/>
      </w:numPr>
      <w:outlineLvl w:val="9"/>
    </w:pPr>
  </w:style>
  <w:style w:type="paragraph" w:customStyle="1" w:styleId="Bulletb">
    <w:name w:val="Bullet b"/>
    <w:basedOn w:val="Normal"/>
    <w:autoRedefine/>
    <w:uiPriority w:val="3"/>
    <w:unhideWhenUsed/>
    <w:qFormat/>
    <w:locked/>
    <w:rsid w:val="00300C76"/>
    <w:pPr>
      <w:numPr>
        <w:ilvl w:val="1"/>
        <w:numId w:val="29"/>
      </w:numPr>
      <w:spacing w:before="120" w:after="120"/>
    </w:pPr>
  </w:style>
  <w:style w:type="paragraph" w:customStyle="1" w:styleId="Bulleta">
    <w:name w:val="Bullet a"/>
    <w:basedOn w:val="Normal"/>
    <w:autoRedefine/>
    <w:uiPriority w:val="3"/>
    <w:unhideWhenUsed/>
    <w:qFormat/>
    <w:locked/>
    <w:rsid w:val="006C2629"/>
    <w:pPr>
      <w:numPr>
        <w:numId w:val="32"/>
      </w:numPr>
      <w:spacing w:before="120"/>
    </w:pPr>
  </w:style>
  <w:style w:type="paragraph" w:customStyle="1" w:styleId="Default">
    <w:name w:val="Default"/>
    <w:rsid w:val="002F12D5"/>
    <w:pPr>
      <w:autoSpaceDE w:val="0"/>
      <w:autoSpaceDN w:val="0"/>
      <w:adjustRightInd w:val="0"/>
      <w:spacing w:before="0"/>
    </w:pPr>
    <w:rPr>
      <w:rFonts w:ascii="Arial" w:hAnsi="Arial" w:cs="Arial"/>
      <w:color w:val="000000"/>
      <w:sz w:val="24"/>
      <w:szCs w:val="24"/>
    </w:rPr>
  </w:style>
  <w:style w:type="character" w:styleId="CommentReference">
    <w:name w:val="annotation reference"/>
    <w:basedOn w:val="DefaultParagraphFont"/>
    <w:uiPriority w:val="99"/>
    <w:semiHidden/>
    <w:unhideWhenUsed/>
    <w:rsid w:val="006C21CE"/>
    <w:rPr>
      <w:sz w:val="16"/>
      <w:szCs w:val="16"/>
    </w:rPr>
  </w:style>
  <w:style w:type="paragraph" w:styleId="CommentText">
    <w:name w:val="annotation text"/>
    <w:basedOn w:val="Normal"/>
    <w:link w:val="CommentTextChar"/>
    <w:uiPriority w:val="99"/>
    <w:semiHidden/>
    <w:unhideWhenUsed/>
    <w:rsid w:val="006C21CE"/>
    <w:rPr>
      <w:szCs w:val="20"/>
    </w:rPr>
  </w:style>
  <w:style w:type="character" w:customStyle="1" w:styleId="CommentTextChar">
    <w:name w:val="Comment Text Char"/>
    <w:basedOn w:val="DefaultParagraphFont"/>
    <w:link w:val="CommentText"/>
    <w:uiPriority w:val="99"/>
    <w:semiHidden/>
    <w:rsid w:val="006C21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21CE"/>
    <w:rPr>
      <w:b/>
      <w:bCs/>
    </w:rPr>
  </w:style>
  <w:style w:type="character" w:customStyle="1" w:styleId="CommentSubjectChar">
    <w:name w:val="Comment Subject Char"/>
    <w:basedOn w:val="CommentTextChar"/>
    <w:link w:val="CommentSubject"/>
    <w:uiPriority w:val="99"/>
    <w:semiHidden/>
    <w:rsid w:val="006C21CE"/>
    <w:rPr>
      <w:rFonts w:ascii="Arial" w:hAnsi="Arial"/>
      <w:b/>
      <w:bCs/>
      <w:sz w:val="20"/>
      <w:szCs w:val="20"/>
    </w:rPr>
  </w:style>
  <w:style w:type="paragraph" w:customStyle="1" w:styleId="Bulletpoint-Keypoints">
    <w:name w:val="Bullet point - Key points"/>
    <w:basedOn w:val="ListBullet"/>
    <w:qFormat/>
    <w:rsid w:val="00BB2E79"/>
    <w:pPr>
      <w:numPr>
        <w:numId w:val="0"/>
      </w:numPr>
      <w:spacing w:before="240" w:after="0"/>
      <w:ind w:left="340" w:hanging="340"/>
    </w:pPr>
    <w:rPr>
      <w:rFont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cc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956FDA-270A-4BFD-98B1-46183213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31AF8EF8</Template>
  <TotalTime>0</TotalTime>
  <Pages>16</Pages>
  <Words>4734</Words>
  <Characters>26987</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31658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IpHeeWai, Maureen</dc:creator>
  <cp:lastModifiedBy>IpHeeWai, Maureen</cp:lastModifiedBy>
  <cp:revision>2</cp:revision>
  <cp:lastPrinted>2017-06-16T01:48:00Z</cp:lastPrinted>
  <dcterms:created xsi:type="dcterms:W3CDTF">2017-06-22T23:24:00Z</dcterms:created>
  <dcterms:modified xsi:type="dcterms:W3CDTF">2017-06-22T23:24:00Z</dcterms:modified>
</cp:coreProperties>
</file>