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DA" w:rsidRPr="00261561" w:rsidRDefault="00A67BDA" w:rsidP="003A1836">
      <w:pPr>
        <w:rPr>
          <w:rFonts w:ascii="Arial" w:hAnsi="Arial" w:cs="Arial"/>
          <w:b/>
        </w:rPr>
      </w:pPr>
      <w:r w:rsidRPr="00261561">
        <w:rPr>
          <w:rFonts w:ascii="Arial" w:hAnsi="Arial" w:cs="Arial"/>
          <w:b/>
        </w:rPr>
        <w:t xml:space="preserve">Guide to making a submission on Australia Post’s proposal to increase </w:t>
      </w:r>
      <w:r w:rsidR="001B070D" w:rsidRPr="00261561">
        <w:rPr>
          <w:rFonts w:ascii="Arial" w:hAnsi="Arial" w:cs="Arial"/>
          <w:b/>
        </w:rPr>
        <w:t>prices</w:t>
      </w:r>
    </w:p>
    <w:p w:rsidR="00A67BDA" w:rsidRPr="00261561" w:rsidRDefault="00A67BDA" w:rsidP="00A67BDA">
      <w:pPr>
        <w:rPr>
          <w:rFonts w:ascii="Arial" w:hAnsi="Arial" w:cs="Arial"/>
        </w:rPr>
      </w:pPr>
      <w:r w:rsidRPr="00261561">
        <w:rPr>
          <w:rFonts w:ascii="Arial" w:hAnsi="Arial" w:cs="Arial"/>
        </w:rPr>
        <w:t xml:space="preserve">On 31 January 2014, Australia Post provided the ACCC with a plan to increase the basic postage rate (BPR) from 60 cents to 70 cents as well as price </w:t>
      </w:r>
      <w:r w:rsidR="00020238">
        <w:rPr>
          <w:rFonts w:ascii="Arial" w:hAnsi="Arial" w:cs="Arial"/>
        </w:rPr>
        <w:t xml:space="preserve">increases for </w:t>
      </w:r>
      <w:r w:rsidRPr="00261561">
        <w:rPr>
          <w:rFonts w:ascii="Arial" w:hAnsi="Arial" w:cs="Arial"/>
        </w:rPr>
        <w:t xml:space="preserve">other large ordinary letter services from 31 March 2014. </w:t>
      </w:r>
      <w:r w:rsidR="00C22C8D" w:rsidRPr="00261561">
        <w:rPr>
          <w:rFonts w:ascii="Arial" w:hAnsi="Arial" w:cs="Arial"/>
        </w:rPr>
        <w:t>For consumers with a</w:t>
      </w:r>
      <w:r w:rsidR="007C3B1D">
        <w:rPr>
          <w:rFonts w:ascii="Arial" w:hAnsi="Arial" w:cs="Arial"/>
        </w:rPr>
        <w:t>n Australian</w:t>
      </w:r>
      <w:r w:rsidR="00C22C8D" w:rsidRPr="00261561">
        <w:rPr>
          <w:rFonts w:ascii="Arial" w:hAnsi="Arial" w:cs="Arial"/>
        </w:rPr>
        <w:t xml:space="preserve"> Government concession card, Australia Post plans to freeze the price of a basic stamp at 60 cents until 2017.</w:t>
      </w:r>
    </w:p>
    <w:p w:rsidR="00261561" w:rsidRPr="00261561" w:rsidRDefault="00261561" w:rsidP="00261561">
      <w:pPr>
        <w:rPr>
          <w:rFonts w:ascii="Arial" w:hAnsi="Arial" w:cs="Arial"/>
        </w:rPr>
      </w:pPr>
      <w:r w:rsidRPr="00261561">
        <w:rPr>
          <w:rFonts w:ascii="Arial" w:hAnsi="Arial" w:cs="Arial"/>
        </w:rPr>
        <w:t>The ACCC’s role is to assess Australia Post's proposed price increases</w:t>
      </w:r>
      <w:r w:rsidR="00BE17A3">
        <w:rPr>
          <w:rFonts w:ascii="Arial" w:hAnsi="Arial" w:cs="Arial"/>
        </w:rPr>
        <w:t>,</w:t>
      </w:r>
      <w:r w:rsidRPr="00261561">
        <w:rPr>
          <w:rFonts w:ascii="Arial" w:hAnsi="Arial" w:cs="Arial"/>
        </w:rPr>
        <w:t xml:space="preserve"> </w:t>
      </w:r>
      <w:bookmarkStart w:id="0" w:name="_GoBack"/>
      <w:bookmarkEnd w:id="0"/>
      <w:r w:rsidRPr="00261561">
        <w:rPr>
          <w:rFonts w:ascii="Arial" w:hAnsi="Arial" w:cs="Arial"/>
        </w:rPr>
        <w:t xml:space="preserve">taking into account how efficient Australia Post is in managing its costs and whether the forecast declines in mail volumes are reasonable.  In reaching its view the ACCC considers information provided by Australia Post, and views of industry stakeholders and consumers. </w:t>
      </w:r>
    </w:p>
    <w:p w:rsidR="00261561" w:rsidRPr="00261561" w:rsidRDefault="00261561" w:rsidP="003A1836">
      <w:pPr>
        <w:rPr>
          <w:rFonts w:ascii="Arial" w:hAnsi="Arial" w:cs="Arial"/>
        </w:rPr>
      </w:pPr>
      <w:r w:rsidRPr="00261561">
        <w:rPr>
          <w:rFonts w:ascii="Arial" w:hAnsi="Arial" w:cs="Arial"/>
        </w:rPr>
        <w:t xml:space="preserve">To assist the ACCC's consideration of the </w:t>
      </w:r>
      <w:r w:rsidR="00020238">
        <w:rPr>
          <w:rFonts w:ascii="Arial" w:hAnsi="Arial" w:cs="Arial"/>
        </w:rPr>
        <w:t>proposal</w:t>
      </w:r>
      <w:r w:rsidRPr="00261561">
        <w:rPr>
          <w:rFonts w:ascii="Arial" w:hAnsi="Arial" w:cs="Arial"/>
        </w:rPr>
        <w:t xml:space="preserve">, submissions are invited from interested parties on key issues outlined at </w:t>
      </w:r>
      <w:r w:rsidRPr="00261561">
        <w:rPr>
          <w:rFonts w:ascii="Arial" w:hAnsi="Arial" w:cs="Arial"/>
          <w:u w:val="single"/>
        </w:rPr>
        <w:t>Attachment A</w:t>
      </w:r>
      <w:r w:rsidRPr="00261561">
        <w:rPr>
          <w:rFonts w:ascii="Arial" w:hAnsi="Arial" w:cs="Arial"/>
        </w:rPr>
        <w:t>.</w:t>
      </w:r>
      <w:r w:rsidR="00213BCB">
        <w:rPr>
          <w:rFonts w:ascii="Arial" w:hAnsi="Arial" w:cs="Arial"/>
        </w:rPr>
        <w:t xml:space="preserve"> </w:t>
      </w:r>
    </w:p>
    <w:p w:rsidR="003A1836" w:rsidRPr="00261561" w:rsidRDefault="003A1836" w:rsidP="003A1836">
      <w:pPr>
        <w:rPr>
          <w:rFonts w:ascii="Arial" w:hAnsi="Arial" w:cs="Arial"/>
        </w:rPr>
      </w:pPr>
      <w:r w:rsidRPr="00261561">
        <w:rPr>
          <w:rFonts w:ascii="Arial" w:hAnsi="Arial" w:cs="Arial"/>
        </w:rPr>
        <w:t>The ACCC prefers that all submissions are publicly available. Submissions will be treated as public documents and will be posted on the ACCC’s website unless prior arrangements are made with the ACCC to treat a submission, or portions of a submission, as confidential.</w:t>
      </w:r>
    </w:p>
    <w:p w:rsidR="003A1836" w:rsidRPr="00261561" w:rsidRDefault="003A1836" w:rsidP="003A1836">
      <w:pPr>
        <w:rPr>
          <w:rFonts w:ascii="Arial" w:hAnsi="Arial" w:cs="Arial"/>
        </w:rPr>
      </w:pPr>
      <w:r w:rsidRPr="00261561">
        <w:rPr>
          <w:rFonts w:ascii="Arial" w:hAnsi="Arial" w:cs="Arial"/>
        </w:rPr>
        <w:t xml:space="preserve">The ACCC will accept submissions by email or by post. </w:t>
      </w:r>
      <w:r w:rsidR="00261561" w:rsidRPr="00261561">
        <w:rPr>
          <w:rFonts w:ascii="Arial" w:hAnsi="Arial" w:cs="Arial"/>
        </w:rPr>
        <w:t>It</w:t>
      </w:r>
      <w:r w:rsidRPr="00261561">
        <w:rPr>
          <w:rFonts w:ascii="Arial" w:hAnsi="Arial" w:cs="Arial"/>
        </w:rPr>
        <w:t xml:space="preserve"> is preferred that submissions be made by email. If submissions are provided in PDF format, parties are asked, for accessibility reasons, to also provide a copy in Microsoft Word format.</w:t>
      </w:r>
    </w:p>
    <w:p w:rsidR="00213BCB" w:rsidRPr="00241BDB" w:rsidRDefault="00213BCB" w:rsidP="00213BCB">
      <w:pPr>
        <w:rPr>
          <w:rFonts w:ascii="Arial" w:hAnsi="Arial" w:cs="Arial"/>
        </w:rPr>
      </w:pPr>
      <w:r w:rsidRPr="00241BDB">
        <w:rPr>
          <w:rFonts w:ascii="Arial" w:hAnsi="Arial" w:cs="Arial"/>
        </w:rPr>
        <w:t xml:space="preserve">Submissions should be provided to the ACCC no later than close of business 10 February 2014. </w:t>
      </w:r>
    </w:p>
    <w:p w:rsidR="003A1836" w:rsidRPr="00261561" w:rsidRDefault="003A1836" w:rsidP="003A1836">
      <w:pPr>
        <w:rPr>
          <w:rFonts w:ascii="Arial" w:hAnsi="Arial" w:cs="Arial"/>
        </w:rPr>
      </w:pPr>
      <w:r w:rsidRPr="00261561">
        <w:rPr>
          <w:rFonts w:ascii="Arial" w:hAnsi="Arial" w:cs="Arial"/>
        </w:rPr>
        <w:t>Submissions should be addressed to:</w:t>
      </w:r>
    </w:p>
    <w:p w:rsidR="003A1836" w:rsidRPr="00261561" w:rsidRDefault="003A1836" w:rsidP="003A1836">
      <w:pPr>
        <w:rPr>
          <w:rFonts w:ascii="Arial" w:hAnsi="Arial" w:cs="Arial"/>
        </w:rPr>
      </w:pPr>
      <w:r w:rsidRPr="00261561">
        <w:rPr>
          <w:rFonts w:ascii="Arial" w:hAnsi="Arial" w:cs="Arial"/>
        </w:rPr>
        <w:t>By email:</w:t>
      </w:r>
    </w:p>
    <w:p w:rsidR="003A1836" w:rsidRPr="00261561" w:rsidRDefault="003A1836" w:rsidP="003A1836">
      <w:pPr>
        <w:ind w:firstLine="720"/>
        <w:rPr>
          <w:rFonts w:ascii="Arial" w:hAnsi="Arial" w:cs="Arial"/>
        </w:rPr>
      </w:pPr>
      <w:r w:rsidRPr="00261561">
        <w:rPr>
          <w:rFonts w:ascii="Arial" w:hAnsi="Arial" w:cs="Arial"/>
        </w:rPr>
        <w:t>postalservices@accc.gov.au</w:t>
      </w:r>
    </w:p>
    <w:p w:rsidR="003A1836" w:rsidRPr="00261561" w:rsidRDefault="003A1836" w:rsidP="003A1836">
      <w:pPr>
        <w:spacing w:after="240"/>
        <w:contextualSpacing/>
        <w:rPr>
          <w:rFonts w:ascii="Arial" w:hAnsi="Arial" w:cs="Arial"/>
        </w:rPr>
      </w:pPr>
      <w:r w:rsidRPr="00261561">
        <w:rPr>
          <w:rFonts w:ascii="Arial" w:hAnsi="Arial" w:cs="Arial"/>
        </w:rPr>
        <w:t>By post:</w:t>
      </w:r>
    </w:p>
    <w:p w:rsidR="003A1836" w:rsidRPr="00261561" w:rsidRDefault="003A1836" w:rsidP="003A1836">
      <w:pPr>
        <w:spacing w:after="240"/>
        <w:contextualSpacing/>
        <w:rPr>
          <w:rFonts w:ascii="Arial" w:hAnsi="Arial" w:cs="Arial"/>
        </w:rPr>
      </w:pPr>
    </w:p>
    <w:p w:rsidR="003A1836" w:rsidRPr="00261561" w:rsidRDefault="003A1836" w:rsidP="003A1836">
      <w:pPr>
        <w:spacing w:after="240"/>
        <w:ind w:left="720"/>
        <w:contextualSpacing/>
        <w:rPr>
          <w:rFonts w:ascii="Arial" w:hAnsi="Arial" w:cs="Arial"/>
        </w:rPr>
      </w:pPr>
      <w:r w:rsidRPr="00261561">
        <w:rPr>
          <w:rFonts w:ascii="Arial" w:hAnsi="Arial" w:cs="Arial"/>
        </w:rPr>
        <w:t>Mr Matthew Schroder</w:t>
      </w:r>
    </w:p>
    <w:p w:rsidR="003A1836" w:rsidRPr="00261561" w:rsidRDefault="003A1836" w:rsidP="003A1836">
      <w:pPr>
        <w:spacing w:after="240"/>
        <w:ind w:left="720"/>
        <w:contextualSpacing/>
        <w:rPr>
          <w:rFonts w:ascii="Arial" w:hAnsi="Arial" w:cs="Arial"/>
        </w:rPr>
      </w:pPr>
      <w:r w:rsidRPr="00261561">
        <w:rPr>
          <w:rFonts w:ascii="Arial" w:hAnsi="Arial" w:cs="Arial"/>
        </w:rPr>
        <w:t>General Manager—Fuel, Transport and Prices Oversight</w:t>
      </w:r>
    </w:p>
    <w:p w:rsidR="003A1836" w:rsidRPr="00261561" w:rsidRDefault="003A1836" w:rsidP="003A1836">
      <w:pPr>
        <w:spacing w:after="240"/>
        <w:ind w:left="720"/>
        <w:contextualSpacing/>
        <w:rPr>
          <w:rFonts w:ascii="Arial" w:hAnsi="Arial" w:cs="Arial"/>
        </w:rPr>
      </w:pPr>
      <w:r w:rsidRPr="00261561">
        <w:rPr>
          <w:rFonts w:ascii="Arial" w:hAnsi="Arial" w:cs="Arial"/>
        </w:rPr>
        <w:t>Australian Competition and Consumer Commission</w:t>
      </w:r>
    </w:p>
    <w:p w:rsidR="003A1836" w:rsidRPr="00261561" w:rsidRDefault="003A1836" w:rsidP="003A1836">
      <w:pPr>
        <w:spacing w:after="240"/>
        <w:ind w:left="720"/>
        <w:contextualSpacing/>
        <w:rPr>
          <w:rFonts w:ascii="Arial" w:hAnsi="Arial" w:cs="Arial"/>
        </w:rPr>
      </w:pPr>
      <w:r w:rsidRPr="00261561">
        <w:rPr>
          <w:rFonts w:ascii="Arial" w:hAnsi="Arial" w:cs="Arial"/>
        </w:rPr>
        <w:t>GPO Box 520</w:t>
      </w:r>
    </w:p>
    <w:p w:rsidR="003A1836" w:rsidRPr="00261561" w:rsidRDefault="003A1836" w:rsidP="003A1836">
      <w:pPr>
        <w:ind w:left="720"/>
        <w:rPr>
          <w:rFonts w:ascii="Arial" w:hAnsi="Arial" w:cs="Arial"/>
        </w:rPr>
      </w:pPr>
      <w:r w:rsidRPr="00261561">
        <w:rPr>
          <w:rFonts w:ascii="Arial" w:hAnsi="Arial" w:cs="Arial"/>
        </w:rPr>
        <w:t>MELBOURNE VIC 3001</w:t>
      </w:r>
    </w:p>
    <w:p w:rsidR="00ED34DC" w:rsidRDefault="00ED34DC" w:rsidP="00ED34DC">
      <w:pPr>
        <w:rPr>
          <w:rFonts w:ascii="Arial" w:hAnsi="Arial" w:cs="Arial"/>
        </w:rPr>
      </w:pPr>
    </w:p>
    <w:p w:rsidR="00ED34DC" w:rsidRDefault="00ED34DC" w:rsidP="00ED34DC">
      <w:pPr>
        <w:rPr>
          <w:rFonts w:ascii="Arial" w:hAnsi="Arial" w:cs="Arial"/>
        </w:rPr>
      </w:pPr>
      <w:r w:rsidRPr="00261561">
        <w:rPr>
          <w:rFonts w:ascii="Arial" w:hAnsi="Arial" w:cs="Arial"/>
        </w:rPr>
        <w:t xml:space="preserve">The Australia Post pricing proposal is available on the ACCC’s website at: </w:t>
      </w:r>
      <w:hyperlink r:id="rId9" w:history="1">
        <w:r w:rsidRPr="00261561">
          <w:rPr>
            <w:rStyle w:val="Hyperlink"/>
            <w:rFonts w:ascii="Arial" w:hAnsi="Arial" w:cs="Arial"/>
          </w:rPr>
          <w:t>www.accc.gov.au/</w:t>
        </w:r>
      </w:hyperlink>
      <w:hyperlink r:id="rId10" w:history="1">
        <w:r w:rsidRPr="00261561">
          <w:rPr>
            <w:rStyle w:val="Hyperlink"/>
            <w:rFonts w:ascii="Arial" w:hAnsi="Arial" w:cs="Arial"/>
          </w:rPr>
          <w:t>regulated-infrastructure/postal-services</w:t>
        </w:r>
      </w:hyperlink>
      <w:r w:rsidRPr="00261561">
        <w:rPr>
          <w:rFonts w:ascii="Arial" w:hAnsi="Arial" w:cs="Arial"/>
        </w:rPr>
        <w:t>.  Public submissions and the ACCC decision will also be made available at that link.</w:t>
      </w:r>
    </w:p>
    <w:p w:rsidR="00ED34DC" w:rsidRDefault="00ED34DC" w:rsidP="00ED34DC">
      <w:pPr>
        <w:rPr>
          <w:rFonts w:ascii="Arial" w:hAnsi="Arial" w:cs="Arial"/>
        </w:rPr>
      </w:pPr>
    </w:p>
    <w:p w:rsidR="00ED34DC" w:rsidRDefault="00ED34DC" w:rsidP="00ED34DC">
      <w:pPr>
        <w:rPr>
          <w:rFonts w:ascii="Arial" w:hAnsi="Arial" w:cs="Arial"/>
        </w:rPr>
      </w:pPr>
    </w:p>
    <w:p w:rsidR="00261561" w:rsidRPr="00261561" w:rsidRDefault="003A1836" w:rsidP="00261561">
      <w:pPr>
        <w:rPr>
          <w:rFonts w:ascii="Arial" w:hAnsi="Arial" w:cs="Arial"/>
          <w:u w:val="single"/>
        </w:rPr>
      </w:pPr>
      <w:r w:rsidRPr="00261561">
        <w:rPr>
          <w:rFonts w:ascii="Arial" w:hAnsi="Arial" w:cs="Arial"/>
          <w:u w:val="single"/>
        </w:rPr>
        <w:t>Attachment A:</w:t>
      </w:r>
      <w:r w:rsidRPr="00261561">
        <w:rPr>
          <w:rFonts w:ascii="Arial" w:hAnsi="Arial" w:cs="Arial"/>
          <w:u w:val="single"/>
        </w:rPr>
        <w:tab/>
      </w:r>
      <w:r w:rsidR="00261561" w:rsidRPr="00261561">
        <w:rPr>
          <w:rFonts w:ascii="Arial" w:hAnsi="Arial" w:cs="Arial"/>
          <w:u w:val="single"/>
        </w:rPr>
        <w:t>Key i</w:t>
      </w:r>
      <w:r w:rsidRPr="00261561">
        <w:rPr>
          <w:rFonts w:ascii="Arial" w:hAnsi="Arial" w:cs="Arial"/>
          <w:u w:val="single"/>
        </w:rPr>
        <w:t xml:space="preserve">ssues on which ACCC is seeking comment </w:t>
      </w:r>
    </w:p>
    <w:p w:rsidR="003A1836" w:rsidRPr="00261561" w:rsidRDefault="003A1836" w:rsidP="003A1836">
      <w:pPr>
        <w:pStyle w:val="ListParagraph"/>
        <w:numPr>
          <w:ilvl w:val="0"/>
          <w:numId w:val="2"/>
        </w:numPr>
        <w:ind w:left="426" w:hanging="426"/>
        <w:rPr>
          <w:rFonts w:ascii="Arial" w:hAnsi="Arial" w:cs="Arial"/>
          <w:b/>
        </w:rPr>
      </w:pPr>
      <w:r w:rsidRPr="00261561">
        <w:rPr>
          <w:rFonts w:ascii="Arial" w:hAnsi="Arial" w:cs="Arial"/>
          <w:b/>
        </w:rPr>
        <w:lastRenderedPageBreak/>
        <w:t xml:space="preserve">Australia Post’s forecast demand </w:t>
      </w:r>
      <w:r w:rsidRPr="00261561">
        <w:rPr>
          <w:rFonts w:ascii="Arial" w:hAnsi="Arial" w:cs="Arial"/>
        </w:rPr>
        <w:t xml:space="preserve">(see </w:t>
      </w:r>
      <w:r w:rsidRPr="002A69FE">
        <w:rPr>
          <w:rFonts w:ascii="Arial" w:hAnsi="Arial" w:cs="Arial"/>
        </w:rPr>
        <w:t xml:space="preserve">section </w:t>
      </w:r>
      <w:r w:rsidR="00974C80" w:rsidRPr="00974C80">
        <w:rPr>
          <w:rFonts w:ascii="Arial" w:hAnsi="Arial" w:cs="Arial"/>
        </w:rPr>
        <w:t xml:space="preserve">5 </w:t>
      </w:r>
      <w:r w:rsidRPr="00974C80">
        <w:rPr>
          <w:rFonts w:ascii="Arial" w:hAnsi="Arial" w:cs="Arial"/>
        </w:rPr>
        <w:t>of</w:t>
      </w:r>
      <w:r w:rsidRPr="00261561">
        <w:rPr>
          <w:rFonts w:ascii="Arial" w:hAnsi="Arial" w:cs="Arial"/>
        </w:rPr>
        <w:t xml:space="preserve"> Australia Post’s pricing proposal)</w:t>
      </w:r>
    </w:p>
    <w:p w:rsidR="003A1836" w:rsidRPr="00261561" w:rsidRDefault="003A1836" w:rsidP="003A1836">
      <w:pPr>
        <w:rPr>
          <w:rFonts w:ascii="Arial" w:hAnsi="Arial" w:cs="Arial"/>
        </w:rPr>
      </w:pPr>
      <w:r w:rsidRPr="00261561">
        <w:rPr>
          <w:rFonts w:ascii="Arial" w:hAnsi="Arial" w:cs="Arial"/>
        </w:rPr>
        <w:t xml:space="preserve">The ACCC seeks comments on Australia Post’s forecasts of reserved letter volumes for 2013-14 </w:t>
      </w:r>
      <w:r w:rsidR="00974C80">
        <w:rPr>
          <w:rFonts w:ascii="Arial" w:hAnsi="Arial" w:cs="Arial"/>
        </w:rPr>
        <w:t>and</w:t>
      </w:r>
      <w:r w:rsidR="00974C80" w:rsidRPr="00261561">
        <w:rPr>
          <w:rFonts w:ascii="Arial" w:hAnsi="Arial" w:cs="Arial"/>
        </w:rPr>
        <w:t xml:space="preserve"> </w:t>
      </w:r>
      <w:r w:rsidRPr="00261561">
        <w:rPr>
          <w:rFonts w:ascii="Arial" w:hAnsi="Arial" w:cs="Arial"/>
        </w:rPr>
        <w:t xml:space="preserve">2014-15. </w:t>
      </w:r>
    </w:p>
    <w:p w:rsidR="003A1836" w:rsidRPr="00261561" w:rsidRDefault="003A1836" w:rsidP="003A1836">
      <w:pPr>
        <w:rPr>
          <w:rFonts w:ascii="Arial" w:hAnsi="Arial" w:cs="Arial"/>
        </w:rPr>
      </w:pPr>
      <w:r w:rsidRPr="00261561">
        <w:rPr>
          <w:rFonts w:ascii="Arial" w:hAnsi="Arial" w:cs="Arial"/>
        </w:rPr>
        <w:t xml:space="preserve">Forecasts of demand are used by the ACCC to assess whether proposed prices for the monopoly service are expected to achieve revenue sufficient to recover costs, without providing excessive returns. </w:t>
      </w:r>
    </w:p>
    <w:p w:rsidR="003A1836" w:rsidRPr="00261561" w:rsidRDefault="003A1836" w:rsidP="003A1836">
      <w:pPr>
        <w:rPr>
          <w:rFonts w:ascii="Arial" w:hAnsi="Arial" w:cs="Arial"/>
        </w:rPr>
      </w:pPr>
      <w:r w:rsidRPr="00261561">
        <w:rPr>
          <w:rFonts w:ascii="Arial" w:hAnsi="Arial" w:cs="Arial"/>
        </w:rPr>
        <w:t xml:space="preserve">Australia Post’s demand forecasts are based on an econometric model that is augmented for factors not included in the model such as the impact of electronic substitution </w:t>
      </w:r>
      <w:r w:rsidR="002A69FE">
        <w:rPr>
          <w:rFonts w:ascii="Arial" w:hAnsi="Arial" w:cs="Arial"/>
        </w:rPr>
        <w:t>on small ordinary letters</w:t>
      </w:r>
      <w:r w:rsidRPr="00261561">
        <w:rPr>
          <w:rFonts w:ascii="Arial" w:hAnsi="Arial" w:cs="Arial"/>
        </w:rPr>
        <w:t xml:space="preserve">. </w:t>
      </w:r>
    </w:p>
    <w:p w:rsidR="003A1836" w:rsidRPr="00261561" w:rsidRDefault="003A1836" w:rsidP="003A1836">
      <w:pPr>
        <w:rPr>
          <w:rFonts w:ascii="Arial" w:hAnsi="Arial" w:cs="Arial"/>
          <w:sz w:val="20"/>
          <w:szCs w:val="20"/>
        </w:rPr>
      </w:pPr>
      <w:r w:rsidRPr="00261561">
        <w:rPr>
          <w:rFonts w:ascii="Arial" w:hAnsi="Arial" w:cs="Arial"/>
        </w:rPr>
        <w:t xml:space="preserve">Table 1 displays Australia Post’s forecast changes in its reserved letter volumes in 2013-14 to 2014-15. </w:t>
      </w:r>
      <w:proofErr w:type="gramStart"/>
      <w:r w:rsidRPr="00261561">
        <w:rPr>
          <w:rFonts w:ascii="Arial" w:hAnsi="Arial" w:cs="Arial"/>
        </w:rPr>
        <w:t>These amount</w:t>
      </w:r>
      <w:proofErr w:type="gramEnd"/>
      <w:r w:rsidRPr="00261561">
        <w:rPr>
          <w:rFonts w:ascii="Arial" w:hAnsi="Arial" w:cs="Arial"/>
        </w:rPr>
        <w:t xml:space="preserve"> to an average reduction in reserved service letter volumes of 6.7 per cent each year.</w:t>
      </w:r>
    </w:p>
    <w:p w:rsidR="003A1836" w:rsidRPr="00261561" w:rsidRDefault="003A1836" w:rsidP="003A1836">
      <w:pPr>
        <w:rPr>
          <w:rFonts w:ascii="Arial" w:hAnsi="Arial" w:cs="Arial"/>
          <w:sz w:val="20"/>
          <w:szCs w:val="20"/>
        </w:rPr>
      </w:pPr>
      <w:r w:rsidRPr="00261561">
        <w:rPr>
          <w:rFonts w:ascii="Arial" w:hAnsi="Arial" w:cs="Arial"/>
          <w:b/>
          <w:sz w:val="20"/>
          <w:szCs w:val="20"/>
        </w:rPr>
        <w:t>Table 1 – Australia Post’s forecast changes in its reserved services letters volume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204"/>
        <w:gridCol w:w="2204"/>
        <w:gridCol w:w="2204"/>
      </w:tblGrid>
      <w:tr w:rsidR="003A1836" w:rsidRPr="00261561" w:rsidTr="00C22C8D">
        <w:tc>
          <w:tcPr>
            <w:tcW w:w="2204" w:type="dxa"/>
            <w:shd w:val="clear" w:color="auto" w:fill="auto"/>
          </w:tcPr>
          <w:p w:rsidR="003A1836" w:rsidRPr="00261561" w:rsidRDefault="003A1836" w:rsidP="00C22C8D">
            <w:pPr>
              <w:ind w:left="360"/>
              <w:rPr>
                <w:rFonts w:ascii="Arial" w:hAnsi="Arial" w:cs="Arial"/>
                <w:b/>
                <w:sz w:val="20"/>
                <w:szCs w:val="20"/>
              </w:rPr>
            </w:pPr>
          </w:p>
        </w:tc>
        <w:tc>
          <w:tcPr>
            <w:tcW w:w="2204" w:type="dxa"/>
            <w:shd w:val="clear" w:color="auto" w:fill="auto"/>
            <w:vAlign w:val="bottom"/>
          </w:tcPr>
          <w:p w:rsidR="003A1836" w:rsidRPr="00261561" w:rsidRDefault="003A1836" w:rsidP="00C22C8D">
            <w:pPr>
              <w:rPr>
                <w:rFonts w:ascii="Arial" w:hAnsi="Arial" w:cs="Arial"/>
                <w:b/>
                <w:sz w:val="20"/>
                <w:szCs w:val="20"/>
              </w:rPr>
            </w:pPr>
            <w:proofErr w:type="spellStart"/>
            <w:r w:rsidRPr="00261561">
              <w:rPr>
                <w:rFonts w:ascii="Arial" w:hAnsi="Arial" w:cs="Arial"/>
                <w:b/>
                <w:sz w:val="20"/>
                <w:szCs w:val="20"/>
              </w:rPr>
              <w:t>Presort</w:t>
            </w:r>
            <w:proofErr w:type="spellEnd"/>
            <w:r w:rsidRPr="00261561">
              <w:rPr>
                <w:rFonts w:ascii="Arial" w:hAnsi="Arial" w:cs="Arial"/>
                <w:b/>
                <w:sz w:val="20"/>
                <w:szCs w:val="20"/>
              </w:rPr>
              <w:t xml:space="preserve"> letters (Business Mail)</w:t>
            </w:r>
          </w:p>
        </w:tc>
        <w:tc>
          <w:tcPr>
            <w:tcW w:w="2204" w:type="dxa"/>
            <w:shd w:val="clear" w:color="auto" w:fill="auto"/>
            <w:vAlign w:val="bottom"/>
          </w:tcPr>
          <w:p w:rsidR="003A1836" w:rsidRPr="00261561" w:rsidRDefault="003A1836" w:rsidP="00C22C8D">
            <w:pPr>
              <w:rPr>
                <w:rFonts w:ascii="Arial" w:hAnsi="Arial" w:cs="Arial"/>
                <w:b/>
                <w:sz w:val="20"/>
                <w:szCs w:val="20"/>
              </w:rPr>
            </w:pPr>
            <w:r w:rsidRPr="00261561">
              <w:rPr>
                <w:rFonts w:ascii="Arial" w:hAnsi="Arial" w:cs="Arial"/>
                <w:b/>
                <w:sz w:val="20"/>
                <w:szCs w:val="20"/>
              </w:rPr>
              <w:t>Ordinary letters</w:t>
            </w:r>
          </w:p>
        </w:tc>
        <w:tc>
          <w:tcPr>
            <w:tcW w:w="2204" w:type="dxa"/>
            <w:shd w:val="clear" w:color="auto" w:fill="auto"/>
            <w:vAlign w:val="bottom"/>
          </w:tcPr>
          <w:p w:rsidR="003A1836" w:rsidRPr="00261561" w:rsidRDefault="003A1836" w:rsidP="00C22C8D">
            <w:pPr>
              <w:rPr>
                <w:rFonts w:ascii="Arial" w:hAnsi="Arial" w:cs="Arial"/>
                <w:b/>
                <w:sz w:val="20"/>
                <w:szCs w:val="20"/>
              </w:rPr>
            </w:pPr>
            <w:r w:rsidRPr="00261561">
              <w:rPr>
                <w:rFonts w:ascii="Arial" w:hAnsi="Arial" w:cs="Arial"/>
                <w:b/>
                <w:sz w:val="20"/>
                <w:szCs w:val="20"/>
              </w:rPr>
              <w:t>Total  Reserved Services</w:t>
            </w:r>
          </w:p>
        </w:tc>
      </w:tr>
      <w:tr w:rsidR="003A1836" w:rsidRPr="00261561" w:rsidTr="00C22C8D">
        <w:tc>
          <w:tcPr>
            <w:tcW w:w="2204" w:type="dxa"/>
            <w:shd w:val="clear" w:color="auto" w:fill="auto"/>
            <w:vAlign w:val="bottom"/>
          </w:tcPr>
          <w:p w:rsidR="003A1836" w:rsidRPr="00261561" w:rsidRDefault="003A1836" w:rsidP="00C22C8D">
            <w:pPr>
              <w:rPr>
                <w:rFonts w:ascii="Arial" w:hAnsi="Arial" w:cs="Arial"/>
                <w:b/>
                <w:sz w:val="20"/>
                <w:szCs w:val="20"/>
              </w:rPr>
            </w:pPr>
            <w:r w:rsidRPr="00261561">
              <w:rPr>
                <w:rFonts w:ascii="Arial" w:hAnsi="Arial" w:cs="Arial"/>
                <w:b/>
                <w:sz w:val="20"/>
                <w:szCs w:val="20"/>
              </w:rPr>
              <w:t>2013-14</w:t>
            </w:r>
          </w:p>
        </w:tc>
        <w:tc>
          <w:tcPr>
            <w:tcW w:w="2204" w:type="dxa"/>
            <w:shd w:val="clear" w:color="auto" w:fill="auto"/>
            <w:vAlign w:val="bottom"/>
          </w:tcPr>
          <w:p w:rsidR="003A1836" w:rsidRPr="00261561" w:rsidRDefault="003A1836" w:rsidP="00C22C8D">
            <w:pPr>
              <w:rPr>
                <w:rFonts w:ascii="Arial" w:hAnsi="Arial" w:cs="Arial"/>
                <w:sz w:val="20"/>
                <w:szCs w:val="20"/>
              </w:rPr>
            </w:pPr>
            <w:r w:rsidRPr="00261561">
              <w:rPr>
                <w:rFonts w:ascii="Arial" w:hAnsi="Arial" w:cs="Arial"/>
                <w:sz w:val="20"/>
                <w:szCs w:val="20"/>
              </w:rPr>
              <w:t>-3.8%</w:t>
            </w:r>
          </w:p>
        </w:tc>
        <w:tc>
          <w:tcPr>
            <w:tcW w:w="2204" w:type="dxa"/>
            <w:shd w:val="clear" w:color="auto" w:fill="auto"/>
            <w:vAlign w:val="bottom"/>
          </w:tcPr>
          <w:p w:rsidR="003A1836" w:rsidRPr="00261561" w:rsidRDefault="003A1836" w:rsidP="00C22C8D">
            <w:pPr>
              <w:rPr>
                <w:rFonts w:ascii="Arial" w:hAnsi="Arial" w:cs="Arial"/>
                <w:sz w:val="20"/>
                <w:szCs w:val="20"/>
              </w:rPr>
            </w:pPr>
            <w:r w:rsidRPr="00261561">
              <w:rPr>
                <w:rFonts w:ascii="Arial" w:hAnsi="Arial" w:cs="Arial"/>
                <w:sz w:val="20"/>
                <w:szCs w:val="20"/>
              </w:rPr>
              <w:t>-10.3%</w:t>
            </w:r>
          </w:p>
        </w:tc>
        <w:tc>
          <w:tcPr>
            <w:tcW w:w="2204" w:type="dxa"/>
            <w:shd w:val="clear" w:color="auto" w:fill="auto"/>
            <w:vAlign w:val="bottom"/>
          </w:tcPr>
          <w:p w:rsidR="003A1836" w:rsidRPr="00261561" w:rsidRDefault="003A1836" w:rsidP="005D761B">
            <w:pPr>
              <w:rPr>
                <w:rFonts w:ascii="Arial" w:hAnsi="Arial" w:cs="Arial"/>
                <w:sz w:val="20"/>
                <w:szCs w:val="20"/>
              </w:rPr>
            </w:pPr>
            <w:r w:rsidRPr="00261561">
              <w:rPr>
                <w:rFonts w:ascii="Arial" w:hAnsi="Arial" w:cs="Arial"/>
                <w:sz w:val="20"/>
                <w:szCs w:val="20"/>
              </w:rPr>
              <w:t>-6.</w:t>
            </w:r>
            <w:r w:rsidR="005D761B">
              <w:rPr>
                <w:rFonts w:ascii="Arial" w:hAnsi="Arial" w:cs="Arial"/>
                <w:sz w:val="20"/>
                <w:szCs w:val="20"/>
              </w:rPr>
              <w:t>6</w:t>
            </w:r>
            <w:r w:rsidRPr="00261561">
              <w:rPr>
                <w:rFonts w:ascii="Arial" w:hAnsi="Arial" w:cs="Arial"/>
                <w:sz w:val="20"/>
                <w:szCs w:val="20"/>
              </w:rPr>
              <w:t>%</w:t>
            </w:r>
          </w:p>
        </w:tc>
      </w:tr>
      <w:tr w:rsidR="003A1836" w:rsidRPr="00261561" w:rsidTr="00C22C8D">
        <w:tc>
          <w:tcPr>
            <w:tcW w:w="2204" w:type="dxa"/>
            <w:shd w:val="clear" w:color="auto" w:fill="auto"/>
            <w:vAlign w:val="bottom"/>
          </w:tcPr>
          <w:p w:rsidR="003A1836" w:rsidRPr="00261561" w:rsidRDefault="003A1836" w:rsidP="00C22C8D">
            <w:pPr>
              <w:rPr>
                <w:rFonts w:ascii="Arial" w:hAnsi="Arial" w:cs="Arial"/>
                <w:b/>
                <w:sz w:val="20"/>
                <w:szCs w:val="20"/>
              </w:rPr>
            </w:pPr>
            <w:r w:rsidRPr="00261561">
              <w:rPr>
                <w:rFonts w:ascii="Arial" w:hAnsi="Arial" w:cs="Arial"/>
                <w:b/>
                <w:sz w:val="20"/>
                <w:szCs w:val="20"/>
              </w:rPr>
              <w:t>2014-15</w:t>
            </w:r>
          </w:p>
        </w:tc>
        <w:tc>
          <w:tcPr>
            <w:tcW w:w="2204" w:type="dxa"/>
            <w:shd w:val="clear" w:color="auto" w:fill="auto"/>
            <w:vAlign w:val="bottom"/>
          </w:tcPr>
          <w:p w:rsidR="003A1836" w:rsidRPr="00261561" w:rsidRDefault="003A1836" w:rsidP="00C22C8D">
            <w:pPr>
              <w:rPr>
                <w:rFonts w:ascii="Arial" w:hAnsi="Arial" w:cs="Arial"/>
                <w:sz w:val="20"/>
                <w:szCs w:val="20"/>
              </w:rPr>
            </w:pPr>
            <w:r w:rsidRPr="00261561">
              <w:rPr>
                <w:rFonts w:ascii="Arial" w:hAnsi="Arial" w:cs="Arial"/>
                <w:sz w:val="20"/>
                <w:szCs w:val="20"/>
              </w:rPr>
              <w:t>-6.3%</w:t>
            </w:r>
          </w:p>
        </w:tc>
        <w:tc>
          <w:tcPr>
            <w:tcW w:w="2204" w:type="dxa"/>
            <w:shd w:val="clear" w:color="auto" w:fill="auto"/>
            <w:vAlign w:val="bottom"/>
          </w:tcPr>
          <w:p w:rsidR="003A1836" w:rsidRPr="00261561" w:rsidRDefault="003A1836" w:rsidP="00C22C8D">
            <w:pPr>
              <w:rPr>
                <w:rFonts w:ascii="Arial" w:hAnsi="Arial" w:cs="Arial"/>
                <w:sz w:val="20"/>
                <w:szCs w:val="20"/>
              </w:rPr>
            </w:pPr>
            <w:r w:rsidRPr="00261561">
              <w:rPr>
                <w:rFonts w:ascii="Arial" w:hAnsi="Arial" w:cs="Arial"/>
                <w:sz w:val="20"/>
                <w:szCs w:val="20"/>
              </w:rPr>
              <w:t>-7.9%</w:t>
            </w:r>
          </w:p>
        </w:tc>
        <w:tc>
          <w:tcPr>
            <w:tcW w:w="2204" w:type="dxa"/>
            <w:shd w:val="clear" w:color="auto" w:fill="auto"/>
            <w:vAlign w:val="bottom"/>
          </w:tcPr>
          <w:p w:rsidR="003A1836" w:rsidRPr="00261561" w:rsidRDefault="003A1836" w:rsidP="005D761B">
            <w:pPr>
              <w:rPr>
                <w:rFonts w:ascii="Arial" w:hAnsi="Arial" w:cs="Arial"/>
                <w:sz w:val="20"/>
                <w:szCs w:val="20"/>
              </w:rPr>
            </w:pPr>
            <w:r w:rsidRPr="00261561">
              <w:rPr>
                <w:rFonts w:ascii="Arial" w:hAnsi="Arial" w:cs="Arial"/>
                <w:sz w:val="20"/>
                <w:szCs w:val="20"/>
              </w:rPr>
              <w:t>-</w:t>
            </w:r>
            <w:r w:rsidR="005D761B">
              <w:rPr>
                <w:rFonts w:ascii="Arial" w:hAnsi="Arial" w:cs="Arial"/>
                <w:sz w:val="20"/>
                <w:szCs w:val="20"/>
              </w:rPr>
              <w:t>6.9</w:t>
            </w:r>
            <w:r w:rsidRPr="00261561">
              <w:rPr>
                <w:rFonts w:ascii="Arial" w:hAnsi="Arial" w:cs="Arial"/>
                <w:sz w:val="20"/>
                <w:szCs w:val="20"/>
              </w:rPr>
              <w:t>%</w:t>
            </w:r>
          </w:p>
        </w:tc>
      </w:tr>
      <w:tr w:rsidR="003A1836" w:rsidRPr="00261561" w:rsidTr="00C22C8D">
        <w:trPr>
          <w:trHeight w:val="300"/>
        </w:trPr>
        <w:tc>
          <w:tcPr>
            <w:tcW w:w="2204" w:type="dxa"/>
            <w:shd w:val="clear" w:color="auto" w:fill="auto"/>
            <w:noWrap/>
            <w:hideMark/>
          </w:tcPr>
          <w:p w:rsidR="003A1836" w:rsidRPr="00261561" w:rsidRDefault="003A1836" w:rsidP="00C22C8D">
            <w:pPr>
              <w:rPr>
                <w:rFonts w:ascii="Arial" w:hAnsi="Arial" w:cs="Arial"/>
                <w:b/>
                <w:sz w:val="20"/>
                <w:szCs w:val="20"/>
              </w:rPr>
            </w:pPr>
            <w:r w:rsidRPr="00261561">
              <w:rPr>
                <w:rFonts w:ascii="Arial" w:hAnsi="Arial" w:cs="Arial"/>
                <w:b/>
                <w:sz w:val="20"/>
                <w:szCs w:val="20"/>
              </w:rPr>
              <w:t>Average annual change</w:t>
            </w:r>
          </w:p>
        </w:tc>
        <w:tc>
          <w:tcPr>
            <w:tcW w:w="2204" w:type="dxa"/>
            <w:shd w:val="clear" w:color="auto" w:fill="auto"/>
            <w:noWrap/>
          </w:tcPr>
          <w:p w:rsidR="003A1836" w:rsidRPr="00261561" w:rsidRDefault="003A1836" w:rsidP="00C22C8D">
            <w:pPr>
              <w:rPr>
                <w:rFonts w:ascii="Arial" w:hAnsi="Arial" w:cs="Arial"/>
                <w:sz w:val="20"/>
                <w:szCs w:val="20"/>
              </w:rPr>
            </w:pPr>
            <w:r w:rsidRPr="00261561">
              <w:rPr>
                <w:rFonts w:ascii="Arial" w:hAnsi="Arial" w:cs="Arial"/>
                <w:sz w:val="20"/>
                <w:szCs w:val="20"/>
              </w:rPr>
              <w:t>-5.1%</w:t>
            </w:r>
          </w:p>
        </w:tc>
        <w:tc>
          <w:tcPr>
            <w:tcW w:w="2204" w:type="dxa"/>
            <w:shd w:val="clear" w:color="auto" w:fill="auto"/>
            <w:noWrap/>
          </w:tcPr>
          <w:p w:rsidR="003A1836" w:rsidRPr="00261561" w:rsidRDefault="003A1836" w:rsidP="00C22C8D">
            <w:pPr>
              <w:rPr>
                <w:rFonts w:ascii="Arial" w:hAnsi="Arial" w:cs="Arial"/>
                <w:sz w:val="20"/>
                <w:szCs w:val="20"/>
              </w:rPr>
            </w:pPr>
            <w:r w:rsidRPr="00261561">
              <w:rPr>
                <w:rFonts w:ascii="Arial" w:hAnsi="Arial" w:cs="Arial"/>
                <w:sz w:val="20"/>
                <w:szCs w:val="20"/>
              </w:rPr>
              <w:t>-9.1%</w:t>
            </w:r>
          </w:p>
        </w:tc>
        <w:tc>
          <w:tcPr>
            <w:tcW w:w="2204" w:type="dxa"/>
            <w:shd w:val="clear" w:color="auto" w:fill="auto"/>
            <w:noWrap/>
          </w:tcPr>
          <w:p w:rsidR="003A1836" w:rsidRPr="00261561" w:rsidRDefault="003A1836" w:rsidP="00C22C8D">
            <w:pPr>
              <w:rPr>
                <w:rFonts w:ascii="Arial" w:hAnsi="Arial" w:cs="Arial"/>
                <w:sz w:val="20"/>
                <w:szCs w:val="20"/>
              </w:rPr>
            </w:pPr>
            <w:r w:rsidRPr="00261561">
              <w:rPr>
                <w:rFonts w:ascii="Arial" w:hAnsi="Arial" w:cs="Arial"/>
                <w:sz w:val="20"/>
                <w:szCs w:val="20"/>
              </w:rPr>
              <w:t>-6.7%</w:t>
            </w:r>
          </w:p>
        </w:tc>
      </w:tr>
    </w:tbl>
    <w:p w:rsidR="003A1836" w:rsidRPr="00261561" w:rsidRDefault="003A1836" w:rsidP="003A1836">
      <w:pPr>
        <w:rPr>
          <w:rFonts w:ascii="Arial" w:hAnsi="Arial" w:cs="Arial"/>
        </w:rPr>
      </w:pPr>
    </w:p>
    <w:p w:rsidR="003A1836" w:rsidRPr="00261561" w:rsidRDefault="003A1836" w:rsidP="003A1836">
      <w:pPr>
        <w:pStyle w:val="ListParagraph"/>
        <w:numPr>
          <w:ilvl w:val="1"/>
          <w:numId w:val="1"/>
        </w:numPr>
        <w:rPr>
          <w:rFonts w:ascii="Arial" w:hAnsi="Arial" w:cs="Arial"/>
        </w:rPr>
      </w:pPr>
      <w:r w:rsidRPr="00261561">
        <w:rPr>
          <w:rFonts w:ascii="Arial" w:hAnsi="Arial" w:cs="Arial"/>
        </w:rPr>
        <w:t xml:space="preserve">Do you agree with Australia Post’s volume forecasts for its reserved letter services? </w:t>
      </w:r>
      <w:r w:rsidRPr="00261561">
        <w:rPr>
          <w:rFonts w:ascii="Arial" w:hAnsi="Arial" w:cs="Arial"/>
        </w:rPr>
        <w:br/>
        <w:t xml:space="preserve">In your view do the forecasts reflect likely long-term demand trends for Australia Post’s letter services and your expectations about future usage? </w:t>
      </w:r>
    </w:p>
    <w:p w:rsidR="003A1836" w:rsidRPr="00261561" w:rsidRDefault="003A1836" w:rsidP="003A1836">
      <w:pPr>
        <w:pStyle w:val="ListParagraph"/>
        <w:rPr>
          <w:rFonts w:ascii="Arial" w:hAnsi="Arial" w:cs="Arial"/>
        </w:rPr>
      </w:pPr>
    </w:p>
    <w:p w:rsidR="003A1836" w:rsidRPr="00261561" w:rsidRDefault="003A1836" w:rsidP="003A1836">
      <w:pPr>
        <w:pStyle w:val="ListParagraph"/>
        <w:numPr>
          <w:ilvl w:val="1"/>
          <w:numId w:val="1"/>
        </w:numPr>
        <w:rPr>
          <w:rFonts w:ascii="Arial" w:hAnsi="Arial" w:cs="Arial"/>
        </w:rPr>
      </w:pPr>
      <w:r w:rsidRPr="00261561">
        <w:rPr>
          <w:rFonts w:ascii="Arial" w:hAnsi="Arial" w:cs="Arial"/>
        </w:rPr>
        <w:t xml:space="preserve">Do you consider that Australia Post’s forecasts reflect the current and future economic climate and its effect on Australia Post’s reserved letter volumes? </w:t>
      </w:r>
    </w:p>
    <w:p w:rsidR="003A1836" w:rsidRPr="00261561" w:rsidRDefault="003A1836" w:rsidP="003A1836">
      <w:pPr>
        <w:pStyle w:val="ListParagraph"/>
        <w:rPr>
          <w:rFonts w:ascii="Arial" w:hAnsi="Arial" w:cs="Arial"/>
        </w:rPr>
      </w:pPr>
    </w:p>
    <w:p w:rsidR="003A1836" w:rsidRPr="00261561" w:rsidRDefault="003A1836" w:rsidP="003A1836">
      <w:pPr>
        <w:pStyle w:val="ListParagraph"/>
        <w:numPr>
          <w:ilvl w:val="1"/>
          <w:numId w:val="1"/>
        </w:numPr>
        <w:rPr>
          <w:rFonts w:ascii="Arial" w:hAnsi="Arial" w:cs="Arial"/>
        </w:rPr>
      </w:pPr>
      <w:r w:rsidRPr="00261561">
        <w:rPr>
          <w:rFonts w:ascii="Arial" w:hAnsi="Arial" w:cs="Arial"/>
        </w:rPr>
        <w:t xml:space="preserve">What impact do you expect the proposed price increase may have on the demand for ordinary letter services, and over what potential time frame? </w:t>
      </w:r>
    </w:p>
    <w:p w:rsidR="003A1836" w:rsidRPr="00261561" w:rsidRDefault="003A1836" w:rsidP="003A1836">
      <w:pPr>
        <w:pStyle w:val="ListParagraph"/>
        <w:rPr>
          <w:rFonts w:ascii="Arial" w:hAnsi="Arial" w:cs="Arial"/>
          <w:b/>
        </w:rPr>
      </w:pPr>
    </w:p>
    <w:p w:rsidR="003A1836" w:rsidRPr="00261561" w:rsidRDefault="003A1836" w:rsidP="003A1836">
      <w:pPr>
        <w:pStyle w:val="ListParagraph"/>
        <w:numPr>
          <w:ilvl w:val="0"/>
          <w:numId w:val="2"/>
        </w:numPr>
        <w:ind w:left="426" w:hanging="426"/>
        <w:rPr>
          <w:rFonts w:ascii="Arial" w:hAnsi="Arial" w:cs="Arial"/>
          <w:b/>
        </w:rPr>
      </w:pPr>
      <w:r w:rsidRPr="00261561">
        <w:rPr>
          <w:rFonts w:ascii="Arial" w:hAnsi="Arial" w:cs="Arial"/>
          <w:b/>
        </w:rPr>
        <w:t xml:space="preserve">Australia Post’s forecast costs </w:t>
      </w:r>
      <w:r w:rsidRPr="00261561">
        <w:rPr>
          <w:rFonts w:ascii="Arial" w:hAnsi="Arial" w:cs="Arial"/>
        </w:rPr>
        <w:t xml:space="preserve">(see </w:t>
      </w:r>
      <w:r w:rsidRPr="002A69FE">
        <w:rPr>
          <w:rFonts w:ascii="Arial" w:hAnsi="Arial" w:cs="Arial"/>
        </w:rPr>
        <w:t xml:space="preserve">section </w:t>
      </w:r>
      <w:r w:rsidR="00974C80" w:rsidRPr="00974C80">
        <w:rPr>
          <w:rFonts w:ascii="Arial" w:hAnsi="Arial" w:cs="Arial"/>
        </w:rPr>
        <w:t>6</w:t>
      </w:r>
      <w:r w:rsidR="00974C80" w:rsidRPr="00261561">
        <w:rPr>
          <w:rFonts w:ascii="Arial" w:hAnsi="Arial" w:cs="Arial"/>
        </w:rPr>
        <w:t xml:space="preserve"> </w:t>
      </w:r>
      <w:r w:rsidRPr="00261561">
        <w:rPr>
          <w:rFonts w:ascii="Arial" w:hAnsi="Arial" w:cs="Arial"/>
        </w:rPr>
        <w:t>of Australia Post’s pricing proposal)</w:t>
      </w:r>
    </w:p>
    <w:p w:rsidR="003A1836" w:rsidRPr="00261561" w:rsidRDefault="003A1836" w:rsidP="003A1836">
      <w:pPr>
        <w:rPr>
          <w:rFonts w:ascii="Arial" w:hAnsi="Arial" w:cs="Arial"/>
        </w:rPr>
      </w:pPr>
      <w:r w:rsidRPr="00261561">
        <w:rPr>
          <w:rFonts w:ascii="Arial" w:hAnsi="Arial" w:cs="Arial"/>
        </w:rPr>
        <w:t>The ACCC will consider the appropriateness of Australia Post’s proposed prices by assessing the extent to which they are forecast to recover the efficient costs of providing reserved letter services.</w:t>
      </w:r>
    </w:p>
    <w:p w:rsidR="003A1836" w:rsidRPr="00261561" w:rsidRDefault="00A05CE5" w:rsidP="003A1836">
      <w:pPr>
        <w:rPr>
          <w:rFonts w:ascii="Arial" w:hAnsi="Arial" w:cs="Arial"/>
        </w:rPr>
      </w:pPr>
      <w:r>
        <w:rPr>
          <w:rFonts w:ascii="Arial" w:hAnsi="Arial" w:cs="Arial"/>
        </w:rPr>
        <w:t xml:space="preserve">In 2013-14 and 2014-15, </w:t>
      </w:r>
      <w:r w:rsidR="003A1836" w:rsidRPr="00261561">
        <w:rPr>
          <w:rFonts w:ascii="Arial" w:hAnsi="Arial" w:cs="Arial"/>
        </w:rPr>
        <w:t xml:space="preserve">Australia Post forecasts its reserved services operating costs to </w:t>
      </w:r>
      <w:r>
        <w:rPr>
          <w:rFonts w:ascii="Arial" w:hAnsi="Arial" w:cs="Arial"/>
        </w:rPr>
        <w:t>increase</w:t>
      </w:r>
      <w:r w:rsidRPr="00261561">
        <w:rPr>
          <w:rFonts w:ascii="Arial" w:hAnsi="Arial" w:cs="Arial"/>
        </w:rPr>
        <w:t xml:space="preserve"> </w:t>
      </w:r>
      <w:r w:rsidR="003A1836" w:rsidRPr="00261561">
        <w:rPr>
          <w:rFonts w:ascii="Arial" w:hAnsi="Arial" w:cs="Arial"/>
        </w:rPr>
        <w:t xml:space="preserve">by an average of </w:t>
      </w:r>
      <w:r>
        <w:rPr>
          <w:rFonts w:ascii="Arial" w:hAnsi="Arial" w:cs="Arial"/>
        </w:rPr>
        <w:t>2.5</w:t>
      </w:r>
      <w:r w:rsidR="003A1836" w:rsidRPr="00261561">
        <w:rPr>
          <w:rFonts w:ascii="Arial" w:hAnsi="Arial" w:cs="Arial"/>
        </w:rPr>
        <w:t xml:space="preserve"> per cent per year. Meanwhile its reserved service volumes will decrease by around </w:t>
      </w:r>
      <w:r>
        <w:rPr>
          <w:rFonts w:ascii="Arial" w:hAnsi="Arial" w:cs="Arial"/>
        </w:rPr>
        <w:t>6</w:t>
      </w:r>
      <w:r w:rsidR="003A1836" w:rsidRPr="00261561">
        <w:rPr>
          <w:rFonts w:ascii="Arial" w:hAnsi="Arial" w:cs="Arial"/>
        </w:rPr>
        <w:t>.7 per cent per year.</w:t>
      </w:r>
    </w:p>
    <w:p w:rsidR="003A1836" w:rsidRPr="00261561" w:rsidRDefault="003A1836" w:rsidP="003A1836">
      <w:pPr>
        <w:rPr>
          <w:rFonts w:ascii="Arial" w:hAnsi="Arial" w:cs="Arial"/>
        </w:rPr>
      </w:pPr>
      <w:r w:rsidRPr="00261561">
        <w:rPr>
          <w:rFonts w:ascii="Arial" w:hAnsi="Arial" w:cs="Arial"/>
        </w:rPr>
        <w:t xml:space="preserve">Table 2 presents Australia Post’s forecast changes in its reserved services costs. </w:t>
      </w:r>
    </w:p>
    <w:p w:rsidR="003A1836" w:rsidRPr="00261561" w:rsidRDefault="003A1836" w:rsidP="003A1836">
      <w:pPr>
        <w:rPr>
          <w:rFonts w:ascii="Arial" w:hAnsi="Arial" w:cs="Arial"/>
        </w:rPr>
      </w:pPr>
      <w:r w:rsidRPr="00261561">
        <w:rPr>
          <w:rFonts w:ascii="Arial" w:hAnsi="Arial" w:cs="Arial"/>
          <w:b/>
          <w:sz w:val="20"/>
          <w:szCs w:val="20"/>
        </w:rPr>
        <w:lastRenderedPageBreak/>
        <w:t>Table 2 – Australia Post’s forecast changes in its reserved services costs</w:t>
      </w:r>
    </w:p>
    <w:tbl>
      <w:tblPr>
        <w:tblW w:w="6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97"/>
        <w:gridCol w:w="1197"/>
        <w:gridCol w:w="1197"/>
      </w:tblGrid>
      <w:tr w:rsidR="003A1836" w:rsidRPr="00261561" w:rsidTr="00C22C8D">
        <w:tc>
          <w:tcPr>
            <w:tcW w:w="2802" w:type="dxa"/>
            <w:shd w:val="clear" w:color="auto" w:fill="auto"/>
          </w:tcPr>
          <w:p w:rsidR="003A1836" w:rsidRPr="00261561" w:rsidRDefault="003A1836" w:rsidP="00C22C8D">
            <w:pPr>
              <w:jc w:val="center"/>
              <w:rPr>
                <w:rFonts w:ascii="Arial" w:hAnsi="Arial" w:cs="Arial"/>
                <w:b/>
                <w:sz w:val="20"/>
                <w:szCs w:val="20"/>
              </w:rPr>
            </w:pPr>
            <w:r w:rsidRPr="00261561">
              <w:rPr>
                <w:rFonts w:ascii="Arial" w:hAnsi="Arial" w:cs="Arial"/>
                <w:b/>
                <w:sz w:val="20"/>
                <w:szCs w:val="20"/>
              </w:rPr>
              <w:t>Category</w:t>
            </w:r>
          </w:p>
        </w:tc>
        <w:tc>
          <w:tcPr>
            <w:tcW w:w="1197" w:type="dxa"/>
            <w:shd w:val="clear" w:color="auto" w:fill="auto"/>
          </w:tcPr>
          <w:p w:rsidR="003A1836" w:rsidRPr="00261561" w:rsidRDefault="003A1836" w:rsidP="00C22C8D">
            <w:pPr>
              <w:jc w:val="center"/>
              <w:rPr>
                <w:rFonts w:ascii="Arial" w:hAnsi="Arial" w:cs="Arial"/>
                <w:b/>
                <w:sz w:val="20"/>
                <w:szCs w:val="20"/>
              </w:rPr>
            </w:pPr>
            <w:r w:rsidRPr="00261561">
              <w:rPr>
                <w:rFonts w:ascii="Arial" w:hAnsi="Arial" w:cs="Arial"/>
                <w:b/>
                <w:sz w:val="20"/>
                <w:szCs w:val="20"/>
              </w:rPr>
              <w:t>2012-13</w:t>
            </w:r>
          </w:p>
          <w:p w:rsidR="003A1836" w:rsidRPr="00261561" w:rsidRDefault="003A1836" w:rsidP="00C22C8D">
            <w:pPr>
              <w:jc w:val="center"/>
              <w:rPr>
                <w:rFonts w:ascii="Arial" w:hAnsi="Arial" w:cs="Arial"/>
                <w:b/>
                <w:sz w:val="20"/>
                <w:szCs w:val="20"/>
              </w:rPr>
            </w:pPr>
            <w:r w:rsidRPr="00261561">
              <w:rPr>
                <w:rFonts w:ascii="Arial" w:hAnsi="Arial" w:cs="Arial"/>
                <w:b/>
                <w:sz w:val="20"/>
                <w:szCs w:val="20"/>
              </w:rPr>
              <w:t>(actual)</w:t>
            </w:r>
          </w:p>
          <w:p w:rsidR="003A1836" w:rsidRPr="00261561" w:rsidRDefault="003A1836" w:rsidP="00C22C8D">
            <w:pPr>
              <w:jc w:val="center"/>
              <w:rPr>
                <w:rFonts w:ascii="Arial" w:hAnsi="Arial" w:cs="Arial"/>
                <w:b/>
                <w:sz w:val="20"/>
                <w:szCs w:val="20"/>
              </w:rPr>
            </w:pPr>
          </w:p>
        </w:tc>
        <w:tc>
          <w:tcPr>
            <w:tcW w:w="1197" w:type="dxa"/>
            <w:shd w:val="clear" w:color="auto" w:fill="auto"/>
          </w:tcPr>
          <w:p w:rsidR="003A1836" w:rsidRPr="00261561" w:rsidRDefault="003A1836" w:rsidP="00C22C8D">
            <w:pPr>
              <w:jc w:val="center"/>
              <w:rPr>
                <w:rFonts w:ascii="Arial" w:hAnsi="Arial" w:cs="Arial"/>
                <w:b/>
                <w:sz w:val="20"/>
                <w:szCs w:val="20"/>
              </w:rPr>
            </w:pPr>
            <w:r w:rsidRPr="00261561">
              <w:rPr>
                <w:rFonts w:ascii="Arial" w:hAnsi="Arial" w:cs="Arial"/>
                <w:b/>
                <w:sz w:val="20"/>
                <w:szCs w:val="20"/>
              </w:rPr>
              <w:t>2013/14</w:t>
            </w:r>
          </w:p>
        </w:tc>
        <w:tc>
          <w:tcPr>
            <w:tcW w:w="1197" w:type="dxa"/>
            <w:shd w:val="clear" w:color="auto" w:fill="auto"/>
          </w:tcPr>
          <w:p w:rsidR="003A1836" w:rsidRPr="00261561" w:rsidRDefault="003A1836" w:rsidP="00C22C8D">
            <w:pPr>
              <w:jc w:val="center"/>
              <w:rPr>
                <w:rFonts w:ascii="Arial" w:hAnsi="Arial" w:cs="Arial"/>
                <w:b/>
                <w:sz w:val="20"/>
                <w:szCs w:val="20"/>
              </w:rPr>
            </w:pPr>
            <w:r w:rsidRPr="00261561">
              <w:rPr>
                <w:rFonts w:ascii="Arial" w:hAnsi="Arial" w:cs="Arial"/>
                <w:b/>
                <w:sz w:val="20"/>
                <w:szCs w:val="20"/>
              </w:rPr>
              <w:t>2014/15</w:t>
            </w:r>
          </w:p>
          <w:p w:rsidR="003A1836" w:rsidRPr="00261561" w:rsidRDefault="003A1836" w:rsidP="00C22C8D">
            <w:pPr>
              <w:jc w:val="center"/>
              <w:rPr>
                <w:rFonts w:ascii="Arial" w:hAnsi="Arial" w:cs="Arial"/>
                <w:b/>
                <w:sz w:val="20"/>
                <w:szCs w:val="20"/>
              </w:rPr>
            </w:pPr>
          </w:p>
          <w:p w:rsidR="003A1836" w:rsidRPr="00261561" w:rsidRDefault="003A1836" w:rsidP="00C22C8D">
            <w:pPr>
              <w:jc w:val="center"/>
              <w:rPr>
                <w:rFonts w:ascii="Arial" w:hAnsi="Arial" w:cs="Arial"/>
                <w:b/>
                <w:sz w:val="20"/>
                <w:szCs w:val="20"/>
              </w:rPr>
            </w:pPr>
          </w:p>
        </w:tc>
      </w:tr>
      <w:tr w:rsidR="003A1836" w:rsidRPr="00261561" w:rsidTr="00C22C8D">
        <w:tc>
          <w:tcPr>
            <w:tcW w:w="2802" w:type="dxa"/>
            <w:shd w:val="clear" w:color="auto" w:fill="auto"/>
          </w:tcPr>
          <w:p w:rsidR="003A1836" w:rsidRPr="00261561" w:rsidRDefault="003A1836" w:rsidP="00C22C8D">
            <w:pPr>
              <w:rPr>
                <w:rFonts w:ascii="Arial" w:hAnsi="Arial" w:cs="Arial"/>
                <w:sz w:val="20"/>
                <w:szCs w:val="20"/>
              </w:rPr>
            </w:pPr>
            <w:r w:rsidRPr="00261561">
              <w:rPr>
                <w:rFonts w:ascii="Arial" w:hAnsi="Arial" w:cs="Arial"/>
                <w:sz w:val="20"/>
                <w:szCs w:val="20"/>
              </w:rPr>
              <w:t>Total reserved costs ($m)</w:t>
            </w:r>
          </w:p>
          <w:p w:rsidR="003A1836" w:rsidRPr="00261561" w:rsidRDefault="003A1836" w:rsidP="00C22C8D">
            <w:pPr>
              <w:rPr>
                <w:rFonts w:ascii="Arial" w:hAnsi="Arial" w:cs="Arial"/>
                <w:sz w:val="20"/>
                <w:szCs w:val="20"/>
              </w:rPr>
            </w:pPr>
          </w:p>
        </w:tc>
        <w:tc>
          <w:tcPr>
            <w:tcW w:w="1197" w:type="dxa"/>
            <w:shd w:val="clear" w:color="auto" w:fill="auto"/>
          </w:tcPr>
          <w:p w:rsidR="003A1836" w:rsidRPr="00261561" w:rsidRDefault="003A1836" w:rsidP="00C22C8D">
            <w:pPr>
              <w:jc w:val="right"/>
              <w:rPr>
                <w:rFonts w:ascii="Arial" w:hAnsi="Arial" w:cs="Arial"/>
                <w:sz w:val="20"/>
                <w:szCs w:val="20"/>
              </w:rPr>
            </w:pPr>
            <w:r w:rsidRPr="00261561">
              <w:rPr>
                <w:rFonts w:ascii="Arial" w:hAnsi="Arial" w:cs="Arial"/>
                <w:sz w:val="20"/>
                <w:szCs w:val="20"/>
              </w:rPr>
              <w:t>1,864</w:t>
            </w:r>
          </w:p>
        </w:tc>
        <w:tc>
          <w:tcPr>
            <w:tcW w:w="1197" w:type="dxa"/>
            <w:shd w:val="clear" w:color="auto" w:fill="auto"/>
          </w:tcPr>
          <w:p w:rsidR="003A1836" w:rsidRPr="00261561" w:rsidRDefault="003A1836" w:rsidP="00C22C8D">
            <w:pPr>
              <w:jc w:val="right"/>
              <w:rPr>
                <w:rFonts w:ascii="Arial" w:hAnsi="Arial" w:cs="Arial"/>
                <w:sz w:val="20"/>
                <w:szCs w:val="20"/>
              </w:rPr>
            </w:pPr>
            <w:r w:rsidRPr="00261561">
              <w:rPr>
                <w:rFonts w:ascii="Arial" w:hAnsi="Arial" w:cs="Arial"/>
                <w:sz w:val="20"/>
                <w:szCs w:val="20"/>
              </w:rPr>
              <w:t>1,936</w:t>
            </w:r>
          </w:p>
        </w:tc>
        <w:tc>
          <w:tcPr>
            <w:tcW w:w="1197" w:type="dxa"/>
            <w:shd w:val="clear" w:color="auto" w:fill="auto"/>
          </w:tcPr>
          <w:p w:rsidR="003A1836" w:rsidRPr="00261561" w:rsidRDefault="003A1836" w:rsidP="00C22C8D">
            <w:pPr>
              <w:jc w:val="right"/>
              <w:rPr>
                <w:rFonts w:ascii="Arial" w:hAnsi="Arial" w:cs="Arial"/>
                <w:sz w:val="20"/>
                <w:szCs w:val="20"/>
              </w:rPr>
            </w:pPr>
            <w:r w:rsidRPr="00261561">
              <w:rPr>
                <w:rFonts w:ascii="Arial" w:hAnsi="Arial" w:cs="Arial"/>
                <w:sz w:val="20"/>
                <w:szCs w:val="20"/>
              </w:rPr>
              <w:t>1,960</w:t>
            </w:r>
          </w:p>
        </w:tc>
      </w:tr>
      <w:tr w:rsidR="003A1836" w:rsidRPr="00261561" w:rsidTr="00C22C8D">
        <w:tc>
          <w:tcPr>
            <w:tcW w:w="2802" w:type="dxa"/>
            <w:shd w:val="clear" w:color="auto" w:fill="auto"/>
          </w:tcPr>
          <w:p w:rsidR="003A1836" w:rsidRPr="00261561" w:rsidRDefault="003A1836" w:rsidP="00C22C8D">
            <w:pPr>
              <w:rPr>
                <w:rFonts w:ascii="Arial" w:hAnsi="Arial" w:cs="Arial"/>
                <w:sz w:val="20"/>
                <w:szCs w:val="20"/>
              </w:rPr>
            </w:pPr>
            <w:r w:rsidRPr="00261561">
              <w:rPr>
                <w:rFonts w:ascii="Arial" w:hAnsi="Arial" w:cs="Arial"/>
                <w:sz w:val="20"/>
                <w:szCs w:val="20"/>
              </w:rPr>
              <w:t>Annual change in total reserved costs (%)</w:t>
            </w:r>
          </w:p>
        </w:tc>
        <w:tc>
          <w:tcPr>
            <w:tcW w:w="1197" w:type="dxa"/>
            <w:shd w:val="clear" w:color="auto" w:fill="auto"/>
          </w:tcPr>
          <w:p w:rsidR="003A1836" w:rsidRPr="00261561" w:rsidRDefault="00974C80" w:rsidP="00C22C8D">
            <w:pPr>
              <w:jc w:val="right"/>
              <w:rPr>
                <w:rFonts w:ascii="Arial" w:hAnsi="Arial" w:cs="Arial"/>
                <w:sz w:val="20"/>
                <w:szCs w:val="20"/>
              </w:rPr>
            </w:pPr>
            <w:r>
              <w:rPr>
                <w:rFonts w:ascii="Arial" w:hAnsi="Arial" w:cs="Arial"/>
                <w:sz w:val="20"/>
                <w:szCs w:val="20"/>
              </w:rPr>
              <w:t>-</w:t>
            </w:r>
          </w:p>
        </w:tc>
        <w:tc>
          <w:tcPr>
            <w:tcW w:w="1197" w:type="dxa"/>
            <w:shd w:val="clear" w:color="auto" w:fill="auto"/>
          </w:tcPr>
          <w:p w:rsidR="003A1836" w:rsidRPr="00261561" w:rsidRDefault="003A1836" w:rsidP="00C22C8D">
            <w:pPr>
              <w:jc w:val="right"/>
              <w:rPr>
                <w:rFonts w:ascii="Arial" w:hAnsi="Arial" w:cs="Arial"/>
                <w:sz w:val="20"/>
                <w:szCs w:val="20"/>
              </w:rPr>
            </w:pPr>
            <w:r w:rsidRPr="00261561">
              <w:rPr>
                <w:rFonts w:ascii="Arial" w:hAnsi="Arial" w:cs="Arial"/>
                <w:sz w:val="20"/>
                <w:szCs w:val="20"/>
              </w:rPr>
              <w:t>3.9</w:t>
            </w:r>
          </w:p>
        </w:tc>
        <w:tc>
          <w:tcPr>
            <w:tcW w:w="1197" w:type="dxa"/>
            <w:shd w:val="clear" w:color="auto" w:fill="auto"/>
          </w:tcPr>
          <w:p w:rsidR="003A1836" w:rsidRPr="00261561" w:rsidRDefault="003A1836" w:rsidP="00C22C8D">
            <w:pPr>
              <w:jc w:val="right"/>
              <w:rPr>
                <w:rFonts w:ascii="Arial" w:hAnsi="Arial" w:cs="Arial"/>
                <w:sz w:val="20"/>
                <w:szCs w:val="20"/>
              </w:rPr>
            </w:pPr>
            <w:r w:rsidRPr="00261561">
              <w:rPr>
                <w:rFonts w:ascii="Arial" w:hAnsi="Arial" w:cs="Arial"/>
                <w:sz w:val="20"/>
                <w:szCs w:val="20"/>
              </w:rPr>
              <w:t>1.2</w:t>
            </w:r>
          </w:p>
        </w:tc>
      </w:tr>
    </w:tbl>
    <w:p w:rsidR="003A1836" w:rsidRPr="00261561" w:rsidRDefault="003A1836" w:rsidP="003A1836">
      <w:pPr>
        <w:rPr>
          <w:rFonts w:ascii="Arial" w:hAnsi="Arial" w:cs="Arial"/>
        </w:rPr>
      </w:pPr>
    </w:p>
    <w:p w:rsidR="003A1836" w:rsidRPr="00261561" w:rsidRDefault="003A1836" w:rsidP="003A1836">
      <w:pPr>
        <w:rPr>
          <w:rFonts w:ascii="Arial" w:hAnsi="Arial" w:cs="Arial"/>
        </w:rPr>
      </w:pPr>
      <w:r w:rsidRPr="00261561">
        <w:rPr>
          <w:rFonts w:ascii="Arial" w:hAnsi="Arial" w:cs="Arial"/>
        </w:rPr>
        <w:t xml:space="preserve">The ACCC seeks comments on the efficiency of Australia Post’s costs of providing its reserved letter services. </w:t>
      </w:r>
    </w:p>
    <w:p w:rsidR="003A1836" w:rsidRPr="00261561" w:rsidRDefault="003A1836" w:rsidP="003A1836">
      <w:pPr>
        <w:pStyle w:val="ListParagraph"/>
        <w:numPr>
          <w:ilvl w:val="1"/>
          <w:numId w:val="2"/>
        </w:numPr>
        <w:rPr>
          <w:rFonts w:ascii="Arial" w:hAnsi="Arial" w:cs="Arial"/>
        </w:rPr>
      </w:pPr>
      <w:r w:rsidRPr="00261561">
        <w:rPr>
          <w:rFonts w:ascii="Arial" w:hAnsi="Arial" w:cs="Arial"/>
        </w:rPr>
        <w:t>What are your views on the efficiency of Australia Post’s cost base, in particular its operating costs for its monopoly letter services?</w:t>
      </w:r>
    </w:p>
    <w:p w:rsidR="003A1836" w:rsidRPr="00261561" w:rsidRDefault="003A1836" w:rsidP="003A1836">
      <w:pPr>
        <w:pStyle w:val="ListParagraph"/>
        <w:rPr>
          <w:rFonts w:ascii="Arial" w:hAnsi="Arial" w:cs="Arial"/>
        </w:rPr>
      </w:pPr>
    </w:p>
    <w:p w:rsidR="003A1836" w:rsidRPr="00261561" w:rsidRDefault="003A1836" w:rsidP="003A1836">
      <w:pPr>
        <w:pStyle w:val="ListParagraph"/>
        <w:numPr>
          <w:ilvl w:val="1"/>
          <w:numId w:val="2"/>
        </w:numPr>
        <w:rPr>
          <w:rFonts w:ascii="Arial" w:hAnsi="Arial" w:cs="Arial"/>
        </w:rPr>
      </w:pPr>
      <w:r w:rsidRPr="00261561">
        <w:rPr>
          <w:rFonts w:ascii="Arial" w:hAnsi="Arial" w:cs="Arial"/>
        </w:rPr>
        <w:t xml:space="preserve">Do you consider that Australia Post’s price notification demonstrates that Australia Post has </w:t>
      </w:r>
      <w:r w:rsidR="00020238">
        <w:rPr>
          <w:rFonts w:ascii="Arial" w:hAnsi="Arial" w:cs="Arial"/>
        </w:rPr>
        <w:t xml:space="preserve">taken steps to reduce </w:t>
      </w:r>
      <w:r w:rsidRPr="00261561">
        <w:rPr>
          <w:rFonts w:ascii="Arial" w:hAnsi="Arial" w:cs="Arial"/>
        </w:rPr>
        <w:t>cost</w:t>
      </w:r>
      <w:r w:rsidR="00020238">
        <w:rPr>
          <w:rFonts w:ascii="Arial" w:hAnsi="Arial" w:cs="Arial"/>
        </w:rPr>
        <w:t>s in</w:t>
      </w:r>
      <w:r w:rsidRPr="00261561">
        <w:rPr>
          <w:rFonts w:ascii="Arial" w:hAnsi="Arial" w:cs="Arial"/>
        </w:rPr>
        <w:t xml:space="preserve"> response to its expectation of declining letter volumes? Please provide supporting reasons for your answer. </w:t>
      </w:r>
    </w:p>
    <w:p w:rsidR="003A1836" w:rsidRPr="00261561" w:rsidRDefault="003A1836" w:rsidP="003A1836">
      <w:pPr>
        <w:pStyle w:val="ListParagraph"/>
        <w:rPr>
          <w:rFonts w:ascii="Arial" w:hAnsi="Arial" w:cs="Arial"/>
        </w:rPr>
      </w:pPr>
    </w:p>
    <w:p w:rsidR="003A1836" w:rsidRPr="00261561" w:rsidRDefault="003A1836" w:rsidP="003A1836">
      <w:pPr>
        <w:pStyle w:val="ListParagraph"/>
        <w:numPr>
          <w:ilvl w:val="1"/>
          <w:numId w:val="2"/>
        </w:numPr>
        <w:rPr>
          <w:rFonts w:ascii="Arial" w:hAnsi="Arial" w:cs="Arial"/>
        </w:rPr>
      </w:pPr>
      <w:r w:rsidRPr="00261561">
        <w:rPr>
          <w:rFonts w:ascii="Arial" w:hAnsi="Arial" w:cs="Arial"/>
        </w:rPr>
        <w:t xml:space="preserve">In your view, </w:t>
      </w:r>
      <w:r w:rsidR="00020238">
        <w:rPr>
          <w:rFonts w:ascii="Arial" w:hAnsi="Arial" w:cs="Arial"/>
        </w:rPr>
        <w:t>in which areas</w:t>
      </w:r>
      <w:r w:rsidR="00020238" w:rsidRPr="00261561">
        <w:rPr>
          <w:rFonts w:ascii="Arial" w:hAnsi="Arial" w:cs="Arial"/>
        </w:rPr>
        <w:t xml:space="preserve"> </w:t>
      </w:r>
      <w:r w:rsidRPr="00261561">
        <w:rPr>
          <w:rFonts w:ascii="Arial" w:hAnsi="Arial" w:cs="Arial"/>
        </w:rPr>
        <w:t xml:space="preserve">might Australia Post be able to reduce its costs, while still meeting its </w:t>
      </w:r>
      <w:r w:rsidR="00997F20">
        <w:rPr>
          <w:rFonts w:ascii="Arial" w:hAnsi="Arial" w:cs="Arial"/>
        </w:rPr>
        <w:t>community service obligations (</w:t>
      </w:r>
      <w:r w:rsidRPr="00261561">
        <w:rPr>
          <w:rFonts w:ascii="Arial" w:hAnsi="Arial" w:cs="Arial"/>
        </w:rPr>
        <w:t>CSOs</w:t>
      </w:r>
      <w:r w:rsidR="00997F20">
        <w:rPr>
          <w:rFonts w:ascii="Arial" w:hAnsi="Arial" w:cs="Arial"/>
        </w:rPr>
        <w:t>)</w:t>
      </w:r>
      <w:r w:rsidRPr="00261561">
        <w:rPr>
          <w:rFonts w:ascii="Arial" w:hAnsi="Arial" w:cs="Arial"/>
        </w:rPr>
        <w:t xml:space="preserve"> and performance standards?</w:t>
      </w:r>
    </w:p>
    <w:p w:rsidR="003A1836" w:rsidRPr="00261561" w:rsidRDefault="003A1836" w:rsidP="003A1836">
      <w:pPr>
        <w:rPr>
          <w:rFonts w:ascii="Arial" w:hAnsi="Arial" w:cs="Arial"/>
        </w:rPr>
      </w:pPr>
    </w:p>
    <w:p w:rsidR="003A1836" w:rsidRPr="00261561" w:rsidRDefault="003A1836" w:rsidP="003A1836">
      <w:pPr>
        <w:rPr>
          <w:rFonts w:ascii="Arial" w:hAnsi="Arial" w:cs="Arial"/>
        </w:rPr>
      </w:pPr>
    </w:p>
    <w:p w:rsidR="00C22C8D" w:rsidRPr="00261561" w:rsidRDefault="00C22C8D">
      <w:pPr>
        <w:rPr>
          <w:rFonts w:ascii="Arial" w:hAnsi="Arial" w:cs="Arial"/>
        </w:rPr>
      </w:pPr>
    </w:p>
    <w:sectPr w:rsidR="00C22C8D" w:rsidRPr="00261561" w:rsidSect="004D0B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1B" w:rsidRDefault="005D761B" w:rsidP="00A67BDA">
      <w:pPr>
        <w:spacing w:after="0" w:line="240" w:lineRule="auto"/>
      </w:pPr>
      <w:r>
        <w:separator/>
      </w:r>
    </w:p>
  </w:endnote>
  <w:endnote w:type="continuationSeparator" w:id="0">
    <w:p w:rsidR="005D761B" w:rsidRDefault="005D761B" w:rsidP="00A6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1B" w:rsidRDefault="005D761B" w:rsidP="00A67BDA">
      <w:pPr>
        <w:spacing w:after="0" w:line="240" w:lineRule="auto"/>
      </w:pPr>
      <w:r>
        <w:separator/>
      </w:r>
    </w:p>
  </w:footnote>
  <w:footnote w:type="continuationSeparator" w:id="0">
    <w:p w:rsidR="005D761B" w:rsidRDefault="005D761B" w:rsidP="00A67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5C6E"/>
    <w:multiLevelType w:val="multilevel"/>
    <w:tmpl w:val="00A62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38233A1"/>
    <w:multiLevelType w:val="multilevel"/>
    <w:tmpl w:val="56BAB1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currentname" w:val="Document2"/>
  </w:docVars>
  <w:rsids>
    <w:rsidRoot w:val="003A1836"/>
    <w:rsid w:val="00020238"/>
    <w:rsid w:val="00035C9E"/>
    <w:rsid w:val="000E5205"/>
    <w:rsid w:val="000E59AB"/>
    <w:rsid w:val="0011242E"/>
    <w:rsid w:val="001B070D"/>
    <w:rsid w:val="001E0F16"/>
    <w:rsid w:val="001E279D"/>
    <w:rsid w:val="00202567"/>
    <w:rsid w:val="00205F7C"/>
    <w:rsid w:val="00213BCB"/>
    <w:rsid w:val="00260842"/>
    <w:rsid w:val="00261561"/>
    <w:rsid w:val="002A69FE"/>
    <w:rsid w:val="003065C6"/>
    <w:rsid w:val="003455D2"/>
    <w:rsid w:val="00367CC0"/>
    <w:rsid w:val="00394558"/>
    <w:rsid w:val="003A1836"/>
    <w:rsid w:val="003A31D0"/>
    <w:rsid w:val="003B61AA"/>
    <w:rsid w:val="00451E70"/>
    <w:rsid w:val="00493A66"/>
    <w:rsid w:val="004B7041"/>
    <w:rsid w:val="004D0B18"/>
    <w:rsid w:val="005032DA"/>
    <w:rsid w:val="005A713C"/>
    <w:rsid w:val="005B6C8E"/>
    <w:rsid w:val="005D761B"/>
    <w:rsid w:val="006D1557"/>
    <w:rsid w:val="006D3AF0"/>
    <w:rsid w:val="0077123A"/>
    <w:rsid w:val="007C3B1D"/>
    <w:rsid w:val="007C5225"/>
    <w:rsid w:val="007C6F08"/>
    <w:rsid w:val="00801902"/>
    <w:rsid w:val="00802660"/>
    <w:rsid w:val="008B7703"/>
    <w:rsid w:val="00974C80"/>
    <w:rsid w:val="00997F20"/>
    <w:rsid w:val="009D362B"/>
    <w:rsid w:val="00A05CE5"/>
    <w:rsid w:val="00A21BA2"/>
    <w:rsid w:val="00A67BDA"/>
    <w:rsid w:val="00A720B6"/>
    <w:rsid w:val="00B755BD"/>
    <w:rsid w:val="00BE17A3"/>
    <w:rsid w:val="00C22C8D"/>
    <w:rsid w:val="00C409E0"/>
    <w:rsid w:val="00C70EE3"/>
    <w:rsid w:val="00CD55E8"/>
    <w:rsid w:val="00CE50DB"/>
    <w:rsid w:val="00D32922"/>
    <w:rsid w:val="00D34509"/>
    <w:rsid w:val="00D6419B"/>
    <w:rsid w:val="00DB431C"/>
    <w:rsid w:val="00DD2E7A"/>
    <w:rsid w:val="00DE12D1"/>
    <w:rsid w:val="00ED34DC"/>
    <w:rsid w:val="00ED56C6"/>
    <w:rsid w:val="00EF0A49"/>
    <w:rsid w:val="00F34169"/>
    <w:rsid w:val="00FB6F86"/>
    <w:rsid w:val="00FF1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8E"/>
    <w:pPr>
      <w:ind w:left="720"/>
      <w:contextualSpacing/>
    </w:pPr>
  </w:style>
  <w:style w:type="character" w:styleId="Hyperlink">
    <w:name w:val="Hyperlink"/>
    <w:basedOn w:val="DefaultParagraphFont"/>
    <w:uiPriority w:val="99"/>
    <w:unhideWhenUsed/>
    <w:rsid w:val="003A1836"/>
    <w:rPr>
      <w:color w:val="0000FF" w:themeColor="hyperlink"/>
      <w:u w:val="single"/>
    </w:rPr>
  </w:style>
  <w:style w:type="character" w:styleId="CommentReference">
    <w:name w:val="annotation reference"/>
    <w:basedOn w:val="DefaultParagraphFont"/>
    <w:uiPriority w:val="99"/>
    <w:semiHidden/>
    <w:unhideWhenUsed/>
    <w:rsid w:val="003A1836"/>
    <w:rPr>
      <w:sz w:val="16"/>
      <w:szCs w:val="16"/>
    </w:rPr>
  </w:style>
  <w:style w:type="paragraph" w:styleId="CommentText">
    <w:name w:val="annotation text"/>
    <w:basedOn w:val="Normal"/>
    <w:link w:val="CommentTextChar"/>
    <w:uiPriority w:val="99"/>
    <w:semiHidden/>
    <w:unhideWhenUsed/>
    <w:rsid w:val="003A1836"/>
    <w:pPr>
      <w:spacing w:line="240" w:lineRule="auto"/>
    </w:pPr>
    <w:rPr>
      <w:sz w:val="20"/>
      <w:szCs w:val="20"/>
    </w:rPr>
  </w:style>
  <w:style w:type="character" w:customStyle="1" w:styleId="CommentTextChar">
    <w:name w:val="Comment Text Char"/>
    <w:basedOn w:val="DefaultParagraphFont"/>
    <w:link w:val="CommentText"/>
    <w:uiPriority w:val="99"/>
    <w:semiHidden/>
    <w:rsid w:val="003A1836"/>
    <w:rPr>
      <w:sz w:val="20"/>
      <w:szCs w:val="20"/>
    </w:rPr>
  </w:style>
  <w:style w:type="paragraph" w:styleId="BalloonText">
    <w:name w:val="Balloon Text"/>
    <w:basedOn w:val="Normal"/>
    <w:link w:val="BalloonTextChar"/>
    <w:uiPriority w:val="99"/>
    <w:semiHidden/>
    <w:unhideWhenUsed/>
    <w:rsid w:val="003A1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36"/>
    <w:rPr>
      <w:rFonts w:ascii="Tahoma" w:hAnsi="Tahoma" w:cs="Tahoma"/>
      <w:sz w:val="16"/>
      <w:szCs w:val="16"/>
    </w:rPr>
  </w:style>
  <w:style w:type="paragraph" w:styleId="Header">
    <w:name w:val="header"/>
    <w:basedOn w:val="Normal"/>
    <w:link w:val="HeaderChar"/>
    <w:uiPriority w:val="99"/>
    <w:unhideWhenUsed/>
    <w:rsid w:val="00A67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BDA"/>
  </w:style>
  <w:style w:type="paragraph" w:styleId="Footer">
    <w:name w:val="footer"/>
    <w:basedOn w:val="Normal"/>
    <w:link w:val="FooterChar"/>
    <w:uiPriority w:val="99"/>
    <w:unhideWhenUsed/>
    <w:rsid w:val="00A67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BDA"/>
  </w:style>
  <w:style w:type="paragraph" w:styleId="CommentSubject">
    <w:name w:val="annotation subject"/>
    <w:basedOn w:val="CommentText"/>
    <w:next w:val="CommentText"/>
    <w:link w:val="CommentSubjectChar"/>
    <w:uiPriority w:val="99"/>
    <w:semiHidden/>
    <w:unhideWhenUsed/>
    <w:rsid w:val="00020238"/>
    <w:rPr>
      <w:b/>
      <w:bCs/>
    </w:rPr>
  </w:style>
  <w:style w:type="character" w:customStyle="1" w:styleId="CommentSubjectChar">
    <w:name w:val="Comment Subject Char"/>
    <w:basedOn w:val="CommentTextChar"/>
    <w:link w:val="CommentSubject"/>
    <w:uiPriority w:val="99"/>
    <w:semiHidden/>
    <w:rsid w:val="000202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ccc.gov.au/regulated-infrastructure/postal-services" TargetMode="External"/><Relationship Id="rId4" Type="http://schemas.microsoft.com/office/2007/relationships/stylesWithEffects" Target="stylesWithEffects.xml"/><Relationship Id="rId9" Type="http://schemas.openxmlformats.org/officeDocument/2006/relationships/hyperlink" Target="http://www.acc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3FA0-8BE3-43AB-9B16-AE484004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smusk</dc:creator>
  <cp:keywords/>
  <dc:description/>
  <cp:lastModifiedBy>Middleton, Rod</cp:lastModifiedBy>
  <cp:revision>3</cp:revision>
  <cp:lastPrinted>2014-01-23T23:21:00Z</cp:lastPrinted>
  <dcterms:created xsi:type="dcterms:W3CDTF">2014-01-31T05:30:00Z</dcterms:created>
  <dcterms:modified xsi:type="dcterms:W3CDTF">2014-01-31T05:30:00Z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8127005</vt:lpwstr>
  </property>
  <property fmtid="{D5CDD505-2E9C-101B-9397-08002B2CF9AE}" pid="3" name="DatabaseID">
    <vt:lpwstr/>
  </property>
  <property fmtid="{D5CDD505-2E9C-101B-9397-08002B2CF9AE}" pid="4" name="OnClose">
    <vt:lpwstr/>
  </property>
  <property fmtid="{D5CDD505-2E9C-101B-9397-08002B2CF9AE}" pid="5" name="Status">
    <vt:lpwstr>Ready</vt:lpwstr>
  </property>
  <property fmtid="{D5CDD505-2E9C-101B-9397-08002B2CF9AE}" pid="6" name="currfile">
    <vt:lpwstr>\\SCBRFS001\home$\rmidd\20140123 guide to providing a (D2014-00007846).docx</vt:lpwstr>
  </property>
</Properties>
</file>