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C48" w:rsidRDefault="00936C48" w:rsidP="00936C48"/>
    <w:p w:rsidR="00936C48" w:rsidRDefault="00936C48" w:rsidP="00936C48"/>
    <w:p w:rsidR="00936C48" w:rsidRDefault="00CF79EA" w:rsidP="00936C4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2pt;height:82.65pt">
            <v:imagedata r:id="rId7" o:title="ACCC-logo-BW"/>
          </v:shape>
        </w:pict>
      </w:r>
    </w:p>
    <w:p w:rsidR="00936C48" w:rsidRDefault="00936C48" w:rsidP="00936C48"/>
    <w:p w:rsidR="00936C48" w:rsidRDefault="00936C48" w:rsidP="00936C48"/>
    <w:p w:rsidR="00936C48" w:rsidRPr="003B028B" w:rsidRDefault="003B028B" w:rsidP="00936C48">
      <w:pPr>
        <w:rPr>
          <w:rFonts w:ascii="Arial" w:hAnsi="Arial" w:cs="Arial"/>
          <w:sz w:val="36"/>
          <w:szCs w:val="36"/>
        </w:rPr>
      </w:pPr>
      <w:r w:rsidRPr="003B028B">
        <w:rPr>
          <w:rFonts w:ascii="Arial" w:hAnsi="Arial" w:cs="Arial"/>
          <w:sz w:val="36"/>
          <w:szCs w:val="36"/>
        </w:rPr>
        <w:t>Guide to inquiries into disputes about bulk interconnection services</w:t>
      </w:r>
    </w:p>
    <w:p w:rsidR="00936C48" w:rsidRDefault="00936C48" w:rsidP="00936C48"/>
    <w:p w:rsidR="00936C48" w:rsidRPr="003B028B" w:rsidRDefault="00936C48" w:rsidP="00936C48">
      <w:pPr>
        <w:rPr>
          <w:rFonts w:ascii="Arial" w:hAnsi="Arial" w:cs="Arial"/>
          <w:sz w:val="28"/>
          <w:szCs w:val="28"/>
        </w:rPr>
      </w:pPr>
      <w:r w:rsidRPr="003B028B">
        <w:rPr>
          <w:rFonts w:ascii="Arial" w:hAnsi="Arial" w:cs="Arial"/>
          <w:sz w:val="28"/>
          <w:szCs w:val="28"/>
        </w:rPr>
        <w:t xml:space="preserve">Part 3 of the </w:t>
      </w:r>
      <w:r w:rsidRPr="003B028B">
        <w:rPr>
          <w:rFonts w:ascii="Arial" w:hAnsi="Arial" w:cs="Arial"/>
          <w:i/>
          <w:sz w:val="28"/>
          <w:szCs w:val="28"/>
        </w:rPr>
        <w:t>Australian Postal Corporation Regulations 1996</w:t>
      </w:r>
      <w:r w:rsidRPr="003B028B">
        <w:rPr>
          <w:rFonts w:ascii="Arial" w:hAnsi="Arial" w:cs="Arial"/>
          <w:sz w:val="28"/>
          <w:szCs w:val="28"/>
        </w:rPr>
        <w:t xml:space="preserve"> </w:t>
      </w:r>
    </w:p>
    <w:p w:rsidR="00936C48" w:rsidRPr="00076DCF" w:rsidRDefault="005B5293" w:rsidP="00936C48">
      <w:pPr>
        <w:jc w:val="center"/>
      </w:pPr>
      <w:r>
        <w:t xml:space="preserve">August </w:t>
      </w:r>
      <w:r w:rsidR="00936C48">
        <w:t>2012</w:t>
      </w:r>
    </w:p>
    <w:p w:rsidR="00936C48" w:rsidRDefault="00936C48" w:rsidP="00936C48"/>
    <w:p w:rsidR="00936C48" w:rsidRDefault="00936C48" w:rsidP="00936C48"/>
    <w:p w:rsidR="00936C48" w:rsidRPr="003526DF" w:rsidRDefault="00936C48" w:rsidP="00936C48"/>
    <w:p w:rsidR="00936C48" w:rsidRDefault="00936C48" w:rsidP="00936C48">
      <w:r>
        <w:br w:type="page"/>
      </w:r>
      <w:r w:rsidR="00B34C25" w:rsidRPr="00CF79EA">
        <w:rPr>
          <w:rFonts w:ascii="Arial" w:hAnsi="Arial" w:cs="Arial"/>
          <w:color w:val="0000FF"/>
          <w:sz w:val="20"/>
        </w:rPr>
        <w:lastRenderedPageBreak/>
        <w:pict>
          <v:shape id="_x0000_i1026" type="#_x0000_t75" style="width:90.15pt;height:73.25pt">
            <v:imagedata r:id="rId8" o:title=""/>
          </v:shape>
        </w:pict>
      </w:r>
    </w:p>
    <w:p w:rsidR="00936C48" w:rsidRDefault="00936C48" w:rsidP="00936C48">
      <w:pPr>
        <w:rPr>
          <w:rStyle w:val="AERCopyrighttext"/>
        </w:rPr>
      </w:pPr>
      <w:r>
        <w:rPr>
          <w:rStyle w:val="AERCopyrighttext"/>
        </w:rPr>
        <w:t>© Commonwealth of Australia 2012</w:t>
      </w:r>
    </w:p>
    <w:p w:rsidR="0038549E" w:rsidRDefault="00936C48" w:rsidP="00936C48">
      <w:pPr>
        <w:ind w:right="2928"/>
        <w:rPr>
          <w:rStyle w:val="AERCopyrighttext"/>
        </w:rPr>
      </w:pPr>
      <w:r>
        <w:rPr>
          <w:rStyle w:val="AERCopyrighttext"/>
        </w:rPr>
        <w:t xml:space="preserve">This work is copyright. Apart from any use permitted by the </w:t>
      </w:r>
      <w:r>
        <w:rPr>
          <w:rStyle w:val="AERCopyrighttext"/>
          <w:i/>
        </w:rPr>
        <w:t>Copyright Act 1968</w:t>
      </w:r>
      <w:r>
        <w:rPr>
          <w:rStyle w:val="AERCopyrighttext"/>
        </w:rPr>
        <w:t xml:space="preserve">, no part may be reproduced without permission of the Australian Competition and Consumer Commission. Requests and inquiries concerning reproduction and rights should be addressed to the Director Publishing, Australian Competition and Consumer Commission, </w:t>
      </w:r>
      <w:r w:rsidR="0038549E" w:rsidRPr="0038549E">
        <w:rPr>
          <w:rStyle w:val="AERCopyrighttext"/>
        </w:rPr>
        <w:t>GPO Box 3131</w:t>
      </w:r>
      <w:r w:rsidR="0038549E">
        <w:rPr>
          <w:rStyle w:val="AERCopyrighttext"/>
        </w:rPr>
        <w:t xml:space="preserve">, </w:t>
      </w:r>
      <w:r w:rsidR="0038549E" w:rsidRPr="0038549E">
        <w:rPr>
          <w:rStyle w:val="AERCopyrighttext"/>
        </w:rPr>
        <w:t>Canberra</w:t>
      </w:r>
      <w:r>
        <w:rPr>
          <w:rStyle w:val="AERCopyrighttext"/>
        </w:rPr>
        <w:t xml:space="preserve"> ACT </w:t>
      </w:r>
      <w:r w:rsidR="0038549E">
        <w:rPr>
          <w:rStyle w:val="AERCopyrighttext"/>
        </w:rPr>
        <w:t xml:space="preserve">2601 or </w:t>
      </w:r>
      <w:hyperlink r:id="rId9" w:history="1">
        <w:r w:rsidR="0038549E" w:rsidRPr="0038549E">
          <w:rPr>
            <w:rStyle w:val="AERCopyrighttext"/>
          </w:rPr>
          <w:t>publishing.unit@accc.gov.au</w:t>
        </w:r>
      </w:hyperlink>
      <w:r w:rsidR="0038549E" w:rsidRPr="0038549E">
        <w:rPr>
          <w:rStyle w:val="AERCopyrighttext"/>
        </w:rPr>
        <w:t>.</w:t>
      </w:r>
    </w:p>
    <w:p w:rsidR="00936C48" w:rsidRDefault="00936C48" w:rsidP="00936C48">
      <w:pPr>
        <w:ind w:right="2928"/>
        <w:rPr>
          <w:rStyle w:val="AERCopyrighttext"/>
        </w:rPr>
      </w:pPr>
    </w:p>
    <w:p w:rsidR="00936C48" w:rsidRDefault="00CF79EA" w:rsidP="00936C48">
      <w:pPr>
        <w:spacing w:after="480"/>
      </w:pPr>
      <w:r>
        <w:rPr>
          <w:noProof/>
        </w:rPr>
        <w:pict>
          <v:shapetype id="_x0000_t202" coordsize="21600,21600" o:spt="202" path="m,l,21600r21600,l21600,xe">
            <v:stroke joinstyle="miter"/>
            <v:path gradientshapeok="t" o:connecttype="rect"/>
          </v:shapetype>
          <v:shape id="_x0000_s1036" type="#_x0000_t202" style="position:absolute;margin-left:-1.4pt;margin-top:0;width:5in;height:171.45pt;z-index:251645952">
            <v:textbox>
              <w:txbxContent>
                <w:p w:rsidR="00E82DB4" w:rsidRPr="00D038F7" w:rsidRDefault="00E82DB4" w:rsidP="00936C48">
                  <w:pPr>
                    <w:rPr>
                      <w:b/>
                    </w:rPr>
                  </w:pPr>
                  <w:r w:rsidRPr="00D038F7">
                    <w:rPr>
                      <w:b/>
                    </w:rPr>
                    <w:t>Important notice:</w:t>
                  </w:r>
                </w:p>
                <w:p w:rsidR="00E82DB4" w:rsidRDefault="00E82DB4" w:rsidP="00936C48">
                  <w:r>
                    <w:t xml:space="preserve">This guide is designed to give you basic information; it does not cover the whole of Part 3 of the </w:t>
                  </w:r>
                  <w:r w:rsidRPr="00010313">
                    <w:rPr>
                      <w:i/>
                    </w:rPr>
                    <w:t>Australian Postal Corporation Regulations 1996</w:t>
                  </w:r>
                  <w:r>
                    <w:t xml:space="preserve"> (</w:t>
                  </w:r>
                  <w:proofErr w:type="spellStart"/>
                  <w:r>
                    <w:t>APCR</w:t>
                  </w:r>
                  <w:proofErr w:type="spellEnd"/>
                  <w:r>
                    <w:t xml:space="preserve">) and it is not a substitute for professional advice. Moreover, because it avoids legal language wherever possible there may be generalisation about the application of the </w:t>
                  </w:r>
                  <w:proofErr w:type="spellStart"/>
                  <w:r>
                    <w:t>APCR</w:t>
                  </w:r>
                  <w:proofErr w:type="spellEnd"/>
                  <w:r>
                    <w:t xml:space="preserve">. Some of the provisions referred to have exceptions or important qualifications. In most cases the particular circumstances of the dispute need to be taken into account when determining how the </w:t>
                  </w:r>
                  <w:proofErr w:type="spellStart"/>
                  <w:r>
                    <w:t>APCR</w:t>
                  </w:r>
                  <w:proofErr w:type="spellEnd"/>
                  <w:r>
                    <w:t xml:space="preserve"> apply to that dispute.</w:t>
                  </w:r>
                </w:p>
                <w:p w:rsidR="00E82DB4" w:rsidRDefault="00E82DB4" w:rsidP="00936C48"/>
              </w:txbxContent>
            </v:textbox>
          </v:shape>
        </w:pict>
      </w:r>
      <w:r>
        <w:pict>
          <v:group id="_x0000_s1026" editas="canvas" style="width:414pt;height:252pt;mso-position-horizontal-relative:char;mso-position-vertical-relative:line" coordorigin="2281,4976" coordsize="7200,4320">
            <o:lock v:ext="edit" aspectratio="t"/>
            <v:shape id="_x0000_s1027" type="#_x0000_t75" style="position:absolute;left:2281;top:4976;width:7200;height:4320" o:preferrelative="f">
              <v:fill o:detectmouseclick="t"/>
              <v:path o:extrusionok="t" o:connecttype="none"/>
              <o:lock v:ext="edit" text="t"/>
            </v:shape>
            <w10:wrap type="none"/>
            <w10:anchorlock/>
          </v:group>
        </w:pict>
      </w:r>
    </w:p>
    <w:p w:rsidR="00936C48" w:rsidRPr="00645293" w:rsidRDefault="00936C48" w:rsidP="00936C48">
      <w:pPr>
        <w:spacing w:after="480"/>
        <w:ind w:left="2160" w:hanging="2160"/>
        <w:rPr>
          <w:rFonts w:ascii="Arial" w:hAnsi="Arial" w:cs="Arial"/>
          <w:b/>
          <w:sz w:val="36"/>
          <w:szCs w:val="36"/>
        </w:rPr>
      </w:pPr>
      <w:r>
        <w:br w:type="page"/>
      </w:r>
      <w:r w:rsidRPr="0049662D">
        <w:lastRenderedPageBreak/>
        <w:t xml:space="preserve"> </w:t>
      </w:r>
      <w:r w:rsidRPr="00645293">
        <w:rPr>
          <w:rFonts w:ascii="Arial" w:hAnsi="Arial" w:cs="Arial"/>
          <w:b/>
          <w:sz w:val="36"/>
          <w:szCs w:val="36"/>
        </w:rPr>
        <w:t>Contents</w:t>
      </w:r>
    </w:p>
    <w:p w:rsidR="00FB0AB4" w:rsidRDefault="00FB0AB4">
      <w:pPr>
        <w:pStyle w:val="TOC2"/>
        <w:rPr>
          <w:b/>
        </w:rPr>
      </w:pPr>
    </w:p>
    <w:p w:rsidR="00630DB3" w:rsidRDefault="00CF79EA">
      <w:pPr>
        <w:pStyle w:val="TOC2"/>
        <w:rPr>
          <w:rFonts w:asciiTheme="minorHAnsi" w:eastAsiaTheme="minorEastAsia" w:hAnsiTheme="minorHAnsi" w:cstheme="minorBidi"/>
          <w:noProof/>
          <w:sz w:val="22"/>
          <w:szCs w:val="22"/>
        </w:rPr>
      </w:pPr>
      <w:r>
        <w:rPr>
          <w:b/>
        </w:rPr>
        <w:fldChar w:fldCharType="begin"/>
      </w:r>
      <w:r w:rsidR="00936C48">
        <w:rPr>
          <w:b/>
        </w:rPr>
        <w:instrText xml:space="preserve"> TOC \o "1-5" \h \z \u </w:instrText>
      </w:r>
      <w:r>
        <w:rPr>
          <w:b/>
        </w:rPr>
        <w:fldChar w:fldCharType="separate"/>
      </w:r>
      <w:hyperlink w:anchor="_Toc332363508" w:history="1">
        <w:r w:rsidR="00630DB3" w:rsidRPr="00D169AC">
          <w:rPr>
            <w:rStyle w:val="Hyperlink"/>
            <w:noProof/>
          </w:rPr>
          <w:t>Glossary of terms</w:t>
        </w:r>
        <w:r w:rsidR="00630DB3">
          <w:rPr>
            <w:noProof/>
            <w:webHidden/>
          </w:rPr>
          <w:tab/>
        </w:r>
        <w:r>
          <w:rPr>
            <w:noProof/>
            <w:webHidden/>
          </w:rPr>
          <w:fldChar w:fldCharType="begin"/>
        </w:r>
        <w:r w:rsidR="00630DB3">
          <w:rPr>
            <w:noProof/>
            <w:webHidden/>
          </w:rPr>
          <w:instrText xml:space="preserve"> PAGEREF _Toc332363508 \h </w:instrText>
        </w:r>
        <w:r>
          <w:rPr>
            <w:noProof/>
            <w:webHidden/>
          </w:rPr>
        </w:r>
        <w:r>
          <w:rPr>
            <w:noProof/>
            <w:webHidden/>
          </w:rPr>
          <w:fldChar w:fldCharType="separate"/>
        </w:r>
        <w:r w:rsidR="00630DB3">
          <w:rPr>
            <w:noProof/>
            <w:webHidden/>
          </w:rPr>
          <w:t>v</w:t>
        </w:r>
        <w:r>
          <w:rPr>
            <w:noProof/>
            <w:webHidden/>
          </w:rPr>
          <w:fldChar w:fldCharType="end"/>
        </w:r>
      </w:hyperlink>
    </w:p>
    <w:p w:rsidR="00630DB3" w:rsidRDefault="00CF79EA">
      <w:pPr>
        <w:pStyle w:val="TOC2"/>
        <w:rPr>
          <w:rFonts w:asciiTheme="minorHAnsi" w:eastAsiaTheme="minorEastAsia" w:hAnsiTheme="minorHAnsi" w:cstheme="minorBidi"/>
          <w:noProof/>
          <w:sz w:val="22"/>
          <w:szCs w:val="22"/>
        </w:rPr>
      </w:pPr>
      <w:hyperlink w:anchor="_Toc332363509" w:history="1">
        <w:r w:rsidR="00630DB3" w:rsidRPr="00D169AC">
          <w:rPr>
            <w:rStyle w:val="Hyperlink"/>
            <w:noProof/>
          </w:rPr>
          <w:t>Preface</w:t>
        </w:r>
        <w:r w:rsidR="00630DB3">
          <w:rPr>
            <w:noProof/>
            <w:webHidden/>
          </w:rPr>
          <w:tab/>
        </w:r>
        <w:r>
          <w:rPr>
            <w:noProof/>
            <w:webHidden/>
          </w:rPr>
          <w:fldChar w:fldCharType="begin"/>
        </w:r>
        <w:r w:rsidR="00630DB3">
          <w:rPr>
            <w:noProof/>
            <w:webHidden/>
          </w:rPr>
          <w:instrText xml:space="preserve"> PAGEREF _Toc332363509 \h </w:instrText>
        </w:r>
        <w:r>
          <w:rPr>
            <w:noProof/>
            <w:webHidden/>
          </w:rPr>
        </w:r>
        <w:r>
          <w:rPr>
            <w:noProof/>
            <w:webHidden/>
          </w:rPr>
          <w:fldChar w:fldCharType="separate"/>
        </w:r>
        <w:r w:rsidR="00630DB3">
          <w:rPr>
            <w:noProof/>
            <w:webHidden/>
          </w:rPr>
          <w:t>vi</w:t>
        </w:r>
        <w:r>
          <w:rPr>
            <w:noProof/>
            <w:webHidden/>
          </w:rPr>
          <w:fldChar w:fldCharType="end"/>
        </w:r>
      </w:hyperlink>
    </w:p>
    <w:p w:rsidR="00630DB3" w:rsidRDefault="00CF79EA">
      <w:pPr>
        <w:pStyle w:val="TOC2"/>
        <w:tabs>
          <w:tab w:val="left" w:pos="360"/>
        </w:tabs>
        <w:rPr>
          <w:rFonts w:asciiTheme="minorHAnsi" w:eastAsiaTheme="minorEastAsia" w:hAnsiTheme="minorHAnsi" w:cstheme="minorBidi"/>
          <w:noProof/>
          <w:sz w:val="22"/>
          <w:szCs w:val="22"/>
        </w:rPr>
      </w:pPr>
      <w:hyperlink w:anchor="_Toc332363510" w:history="1">
        <w:r w:rsidR="00630DB3" w:rsidRPr="00D169AC">
          <w:rPr>
            <w:rStyle w:val="Hyperlink"/>
            <w:noProof/>
          </w:rPr>
          <w:t>1</w:t>
        </w:r>
        <w:r w:rsidR="00630DB3">
          <w:rPr>
            <w:rFonts w:asciiTheme="minorHAnsi" w:eastAsiaTheme="minorEastAsia" w:hAnsiTheme="minorHAnsi" w:cstheme="minorBidi"/>
            <w:noProof/>
            <w:sz w:val="22"/>
            <w:szCs w:val="22"/>
          </w:rPr>
          <w:tab/>
        </w:r>
        <w:r w:rsidR="00630DB3" w:rsidRPr="00D169AC">
          <w:rPr>
            <w:rStyle w:val="Hyperlink"/>
            <w:noProof/>
          </w:rPr>
          <w:t>Introduction</w:t>
        </w:r>
        <w:r w:rsidR="00630DB3">
          <w:rPr>
            <w:noProof/>
            <w:webHidden/>
          </w:rPr>
          <w:tab/>
        </w:r>
        <w:r>
          <w:rPr>
            <w:noProof/>
            <w:webHidden/>
          </w:rPr>
          <w:fldChar w:fldCharType="begin"/>
        </w:r>
        <w:r w:rsidR="00630DB3">
          <w:rPr>
            <w:noProof/>
            <w:webHidden/>
          </w:rPr>
          <w:instrText xml:space="preserve"> PAGEREF _Toc332363510 \h </w:instrText>
        </w:r>
        <w:r>
          <w:rPr>
            <w:noProof/>
            <w:webHidden/>
          </w:rPr>
        </w:r>
        <w:r>
          <w:rPr>
            <w:noProof/>
            <w:webHidden/>
          </w:rPr>
          <w:fldChar w:fldCharType="separate"/>
        </w:r>
        <w:r w:rsidR="00630DB3">
          <w:rPr>
            <w:noProof/>
            <w:webHidden/>
          </w:rPr>
          <w:t>1</w:t>
        </w:r>
        <w:r>
          <w:rPr>
            <w:noProof/>
            <w:webHidden/>
          </w:rPr>
          <w:fldChar w:fldCharType="end"/>
        </w:r>
      </w:hyperlink>
    </w:p>
    <w:p w:rsidR="00630DB3" w:rsidRDefault="00CF79EA">
      <w:pPr>
        <w:pStyle w:val="TOC3"/>
        <w:tabs>
          <w:tab w:val="left" w:pos="960"/>
        </w:tabs>
        <w:rPr>
          <w:rFonts w:asciiTheme="minorHAnsi" w:eastAsiaTheme="minorEastAsia" w:hAnsiTheme="minorHAnsi" w:cstheme="minorBidi"/>
          <w:noProof/>
          <w:sz w:val="22"/>
          <w:szCs w:val="22"/>
        </w:rPr>
      </w:pPr>
      <w:hyperlink w:anchor="_Toc332363511" w:history="1">
        <w:r w:rsidR="00630DB3" w:rsidRPr="00D169AC">
          <w:rPr>
            <w:rStyle w:val="Hyperlink"/>
            <w:noProof/>
          </w:rPr>
          <w:t>1.1</w:t>
        </w:r>
        <w:r w:rsidR="00630DB3">
          <w:rPr>
            <w:rFonts w:asciiTheme="minorHAnsi" w:eastAsiaTheme="minorEastAsia" w:hAnsiTheme="minorHAnsi" w:cstheme="minorBidi"/>
            <w:noProof/>
            <w:sz w:val="22"/>
            <w:szCs w:val="22"/>
          </w:rPr>
          <w:tab/>
        </w:r>
        <w:r w:rsidR="00630DB3" w:rsidRPr="00D169AC">
          <w:rPr>
            <w:rStyle w:val="Hyperlink"/>
            <w:noProof/>
          </w:rPr>
          <w:t>Australia Post’s bulk interconnection service</w:t>
        </w:r>
        <w:r w:rsidR="00630DB3">
          <w:rPr>
            <w:noProof/>
            <w:webHidden/>
          </w:rPr>
          <w:tab/>
        </w:r>
        <w:r>
          <w:rPr>
            <w:noProof/>
            <w:webHidden/>
          </w:rPr>
          <w:fldChar w:fldCharType="begin"/>
        </w:r>
        <w:r w:rsidR="00630DB3">
          <w:rPr>
            <w:noProof/>
            <w:webHidden/>
          </w:rPr>
          <w:instrText xml:space="preserve"> PAGEREF _Toc332363511 \h </w:instrText>
        </w:r>
        <w:r>
          <w:rPr>
            <w:noProof/>
            <w:webHidden/>
          </w:rPr>
        </w:r>
        <w:r>
          <w:rPr>
            <w:noProof/>
            <w:webHidden/>
          </w:rPr>
          <w:fldChar w:fldCharType="separate"/>
        </w:r>
        <w:r w:rsidR="00630DB3">
          <w:rPr>
            <w:noProof/>
            <w:webHidden/>
          </w:rPr>
          <w:t>1</w:t>
        </w:r>
        <w:r>
          <w:rPr>
            <w:noProof/>
            <w:webHidden/>
          </w:rPr>
          <w:fldChar w:fldCharType="end"/>
        </w:r>
      </w:hyperlink>
    </w:p>
    <w:p w:rsidR="00630DB3" w:rsidRDefault="00CF79EA">
      <w:pPr>
        <w:pStyle w:val="TOC3"/>
        <w:tabs>
          <w:tab w:val="left" w:pos="960"/>
        </w:tabs>
        <w:rPr>
          <w:rFonts w:asciiTheme="minorHAnsi" w:eastAsiaTheme="minorEastAsia" w:hAnsiTheme="minorHAnsi" w:cstheme="minorBidi"/>
          <w:noProof/>
          <w:sz w:val="22"/>
          <w:szCs w:val="22"/>
        </w:rPr>
      </w:pPr>
      <w:hyperlink w:anchor="_Toc332363512" w:history="1">
        <w:r w:rsidR="00630DB3" w:rsidRPr="00D169AC">
          <w:rPr>
            <w:rStyle w:val="Hyperlink"/>
            <w:noProof/>
          </w:rPr>
          <w:t>1.2</w:t>
        </w:r>
        <w:r w:rsidR="00630DB3">
          <w:rPr>
            <w:rFonts w:asciiTheme="minorHAnsi" w:eastAsiaTheme="minorEastAsia" w:hAnsiTheme="minorHAnsi" w:cstheme="minorBidi"/>
            <w:noProof/>
            <w:sz w:val="22"/>
            <w:szCs w:val="22"/>
          </w:rPr>
          <w:tab/>
        </w:r>
        <w:r w:rsidR="00630DB3" w:rsidRPr="00D169AC">
          <w:rPr>
            <w:rStyle w:val="Hyperlink"/>
            <w:noProof/>
          </w:rPr>
          <w:t>ACCC role in the regulation of postal services</w:t>
        </w:r>
        <w:r w:rsidR="00630DB3">
          <w:rPr>
            <w:noProof/>
            <w:webHidden/>
          </w:rPr>
          <w:tab/>
        </w:r>
        <w:r>
          <w:rPr>
            <w:noProof/>
            <w:webHidden/>
          </w:rPr>
          <w:fldChar w:fldCharType="begin"/>
        </w:r>
        <w:r w:rsidR="00630DB3">
          <w:rPr>
            <w:noProof/>
            <w:webHidden/>
          </w:rPr>
          <w:instrText xml:space="preserve"> PAGEREF _Toc332363512 \h </w:instrText>
        </w:r>
        <w:r>
          <w:rPr>
            <w:noProof/>
            <w:webHidden/>
          </w:rPr>
        </w:r>
        <w:r>
          <w:rPr>
            <w:noProof/>
            <w:webHidden/>
          </w:rPr>
          <w:fldChar w:fldCharType="separate"/>
        </w:r>
        <w:r w:rsidR="00630DB3">
          <w:rPr>
            <w:noProof/>
            <w:webHidden/>
          </w:rPr>
          <w:t>2</w:t>
        </w:r>
        <w:r>
          <w:rPr>
            <w:noProof/>
            <w:webHidden/>
          </w:rPr>
          <w:fldChar w:fldCharType="end"/>
        </w:r>
      </w:hyperlink>
    </w:p>
    <w:p w:rsidR="00630DB3" w:rsidRDefault="00CF79EA">
      <w:pPr>
        <w:pStyle w:val="TOC3"/>
        <w:tabs>
          <w:tab w:val="left" w:pos="960"/>
        </w:tabs>
        <w:rPr>
          <w:rFonts w:asciiTheme="minorHAnsi" w:eastAsiaTheme="minorEastAsia" w:hAnsiTheme="minorHAnsi" w:cstheme="minorBidi"/>
          <w:noProof/>
          <w:sz w:val="22"/>
          <w:szCs w:val="22"/>
        </w:rPr>
      </w:pPr>
      <w:hyperlink w:anchor="_Toc332363513" w:history="1">
        <w:r w:rsidR="00630DB3" w:rsidRPr="00D169AC">
          <w:rPr>
            <w:rStyle w:val="Hyperlink"/>
            <w:noProof/>
          </w:rPr>
          <w:t>1.3</w:t>
        </w:r>
        <w:r w:rsidR="00630DB3">
          <w:rPr>
            <w:rFonts w:asciiTheme="minorHAnsi" w:eastAsiaTheme="minorEastAsia" w:hAnsiTheme="minorHAnsi" w:cstheme="minorBidi"/>
            <w:noProof/>
            <w:sz w:val="22"/>
            <w:szCs w:val="22"/>
          </w:rPr>
          <w:tab/>
        </w:r>
        <w:r w:rsidR="00630DB3" w:rsidRPr="00D169AC">
          <w:rPr>
            <w:rStyle w:val="Hyperlink"/>
            <w:noProof/>
          </w:rPr>
          <w:t>Structure of this document</w:t>
        </w:r>
        <w:r w:rsidR="00630DB3">
          <w:rPr>
            <w:noProof/>
            <w:webHidden/>
          </w:rPr>
          <w:tab/>
        </w:r>
        <w:r>
          <w:rPr>
            <w:noProof/>
            <w:webHidden/>
          </w:rPr>
          <w:fldChar w:fldCharType="begin"/>
        </w:r>
        <w:r w:rsidR="00630DB3">
          <w:rPr>
            <w:noProof/>
            <w:webHidden/>
          </w:rPr>
          <w:instrText xml:space="preserve"> PAGEREF _Toc332363513 \h </w:instrText>
        </w:r>
        <w:r>
          <w:rPr>
            <w:noProof/>
            <w:webHidden/>
          </w:rPr>
        </w:r>
        <w:r>
          <w:rPr>
            <w:noProof/>
            <w:webHidden/>
          </w:rPr>
          <w:fldChar w:fldCharType="separate"/>
        </w:r>
        <w:r w:rsidR="00630DB3">
          <w:rPr>
            <w:noProof/>
            <w:webHidden/>
          </w:rPr>
          <w:t>2</w:t>
        </w:r>
        <w:r>
          <w:rPr>
            <w:noProof/>
            <w:webHidden/>
          </w:rPr>
          <w:fldChar w:fldCharType="end"/>
        </w:r>
      </w:hyperlink>
    </w:p>
    <w:p w:rsidR="00630DB3" w:rsidRDefault="00CF79EA">
      <w:pPr>
        <w:pStyle w:val="TOC2"/>
        <w:tabs>
          <w:tab w:val="left" w:pos="360"/>
        </w:tabs>
        <w:rPr>
          <w:rFonts w:asciiTheme="minorHAnsi" w:eastAsiaTheme="minorEastAsia" w:hAnsiTheme="minorHAnsi" w:cstheme="minorBidi"/>
          <w:noProof/>
          <w:sz w:val="22"/>
          <w:szCs w:val="22"/>
        </w:rPr>
      </w:pPr>
      <w:hyperlink w:anchor="_Toc332363514" w:history="1">
        <w:r w:rsidR="00630DB3" w:rsidRPr="00D169AC">
          <w:rPr>
            <w:rStyle w:val="Hyperlink"/>
            <w:noProof/>
          </w:rPr>
          <w:t>2</w:t>
        </w:r>
        <w:r w:rsidR="00630DB3">
          <w:rPr>
            <w:rFonts w:asciiTheme="minorHAnsi" w:eastAsiaTheme="minorEastAsia" w:hAnsiTheme="minorHAnsi" w:cstheme="minorBidi"/>
            <w:noProof/>
            <w:sz w:val="22"/>
            <w:szCs w:val="22"/>
          </w:rPr>
          <w:tab/>
        </w:r>
        <w:r w:rsidR="00630DB3" w:rsidRPr="00D169AC">
          <w:rPr>
            <w:rStyle w:val="Hyperlink"/>
            <w:noProof/>
          </w:rPr>
          <w:t>Overview of an ACCC inquiry into a bulk interconnection service dispute</w:t>
        </w:r>
        <w:r w:rsidR="00630DB3">
          <w:rPr>
            <w:noProof/>
            <w:webHidden/>
          </w:rPr>
          <w:tab/>
        </w:r>
        <w:r>
          <w:rPr>
            <w:noProof/>
            <w:webHidden/>
          </w:rPr>
          <w:fldChar w:fldCharType="begin"/>
        </w:r>
        <w:r w:rsidR="00630DB3">
          <w:rPr>
            <w:noProof/>
            <w:webHidden/>
          </w:rPr>
          <w:instrText xml:space="preserve"> PAGEREF _Toc332363514 \h </w:instrText>
        </w:r>
        <w:r>
          <w:rPr>
            <w:noProof/>
            <w:webHidden/>
          </w:rPr>
        </w:r>
        <w:r>
          <w:rPr>
            <w:noProof/>
            <w:webHidden/>
          </w:rPr>
          <w:fldChar w:fldCharType="separate"/>
        </w:r>
        <w:r w:rsidR="00630DB3">
          <w:rPr>
            <w:noProof/>
            <w:webHidden/>
          </w:rPr>
          <w:t>4</w:t>
        </w:r>
        <w:r>
          <w:rPr>
            <w:noProof/>
            <w:webHidden/>
          </w:rPr>
          <w:fldChar w:fldCharType="end"/>
        </w:r>
      </w:hyperlink>
    </w:p>
    <w:p w:rsidR="00630DB3" w:rsidRDefault="00CF79EA">
      <w:pPr>
        <w:pStyle w:val="TOC3"/>
        <w:rPr>
          <w:rFonts w:asciiTheme="minorHAnsi" w:eastAsiaTheme="minorEastAsia" w:hAnsiTheme="minorHAnsi" w:cstheme="minorBidi"/>
          <w:noProof/>
          <w:sz w:val="22"/>
          <w:szCs w:val="22"/>
        </w:rPr>
      </w:pPr>
      <w:hyperlink w:anchor="_Toc332363515" w:history="1">
        <w:r w:rsidR="00630DB3" w:rsidRPr="00D169AC">
          <w:rPr>
            <w:rStyle w:val="Hyperlink"/>
            <w:noProof/>
          </w:rPr>
          <w:t>ACCC assessment process</w:t>
        </w:r>
        <w:r w:rsidR="00630DB3">
          <w:rPr>
            <w:noProof/>
            <w:webHidden/>
          </w:rPr>
          <w:tab/>
        </w:r>
        <w:r>
          <w:rPr>
            <w:noProof/>
            <w:webHidden/>
          </w:rPr>
          <w:fldChar w:fldCharType="begin"/>
        </w:r>
        <w:r w:rsidR="00630DB3">
          <w:rPr>
            <w:noProof/>
            <w:webHidden/>
          </w:rPr>
          <w:instrText xml:space="preserve"> PAGEREF _Toc332363515 \h </w:instrText>
        </w:r>
        <w:r>
          <w:rPr>
            <w:noProof/>
            <w:webHidden/>
          </w:rPr>
        </w:r>
        <w:r>
          <w:rPr>
            <w:noProof/>
            <w:webHidden/>
          </w:rPr>
          <w:fldChar w:fldCharType="separate"/>
        </w:r>
        <w:r w:rsidR="00630DB3">
          <w:rPr>
            <w:noProof/>
            <w:webHidden/>
          </w:rPr>
          <w:t>4</w:t>
        </w:r>
        <w:r>
          <w:rPr>
            <w:noProof/>
            <w:webHidden/>
          </w:rPr>
          <w:fldChar w:fldCharType="end"/>
        </w:r>
      </w:hyperlink>
    </w:p>
    <w:p w:rsidR="00630DB3" w:rsidRDefault="00CF79EA">
      <w:pPr>
        <w:pStyle w:val="TOC2"/>
        <w:tabs>
          <w:tab w:val="left" w:pos="360"/>
        </w:tabs>
        <w:rPr>
          <w:rFonts w:asciiTheme="minorHAnsi" w:eastAsiaTheme="minorEastAsia" w:hAnsiTheme="minorHAnsi" w:cstheme="minorBidi"/>
          <w:noProof/>
          <w:sz w:val="22"/>
          <w:szCs w:val="22"/>
        </w:rPr>
      </w:pPr>
      <w:hyperlink w:anchor="_Toc332363516" w:history="1">
        <w:r w:rsidR="00630DB3" w:rsidRPr="00D169AC">
          <w:rPr>
            <w:rStyle w:val="Hyperlink"/>
            <w:noProof/>
          </w:rPr>
          <w:t>3</w:t>
        </w:r>
        <w:r w:rsidR="00630DB3">
          <w:rPr>
            <w:rFonts w:asciiTheme="minorHAnsi" w:eastAsiaTheme="minorEastAsia" w:hAnsiTheme="minorHAnsi" w:cstheme="minorBidi"/>
            <w:noProof/>
            <w:sz w:val="22"/>
            <w:szCs w:val="22"/>
          </w:rPr>
          <w:tab/>
        </w:r>
        <w:r w:rsidR="00630DB3" w:rsidRPr="00D169AC">
          <w:rPr>
            <w:rStyle w:val="Hyperlink"/>
            <w:noProof/>
          </w:rPr>
          <w:t>Commencement of an inquiry</w:t>
        </w:r>
        <w:r w:rsidR="00630DB3">
          <w:rPr>
            <w:noProof/>
            <w:webHidden/>
          </w:rPr>
          <w:tab/>
        </w:r>
        <w:r>
          <w:rPr>
            <w:noProof/>
            <w:webHidden/>
          </w:rPr>
          <w:fldChar w:fldCharType="begin"/>
        </w:r>
        <w:r w:rsidR="00630DB3">
          <w:rPr>
            <w:noProof/>
            <w:webHidden/>
          </w:rPr>
          <w:instrText xml:space="preserve"> PAGEREF _Toc332363516 \h </w:instrText>
        </w:r>
        <w:r>
          <w:rPr>
            <w:noProof/>
            <w:webHidden/>
          </w:rPr>
        </w:r>
        <w:r>
          <w:rPr>
            <w:noProof/>
            <w:webHidden/>
          </w:rPr>
          <w:fldChar w:fldCharType="separate"/>
        </w:r>
        <w:r w:rsidR="00630DB3">
          <w:rPr>
            <w:noProof/>
            <w:webHidden/>
          </w:rPr>
          <w:t>8</w:t>
        </w:r>
        <w:r>
          <w:rPr>
            <w:noProof/>
            <w:webHidden/>
          </w:rPr>
          <w:fldChar w:fldCharType="end"/>
        </w:r>
      </w:hyperlink>
    </w:p>
    <w:p w:rsidR="00630DB3" w:rsidRDefault="00CF79EA">
      <w:pPr>
        <w:pStyle w:val="TOC3"/>
        <w:tabs>
          <w:tab w:val="left" w:pos="960"/>
        </w:tabs>
        <w:rPr>
          <w:rFonts w:asciiTheme="minorHAnsi" w:eastAsiaTheme="minorEastAsia" w:hAnsiTheme="minorHAnsi" w:cstheme="minorBidi"/>
          <w:noProof/>
          <w:sz w:val="22"/>
          <w:szCs w:val="22"/>
        </w:rPr>
      </w:pPr>
      <w:hyperlink w:anchor="_Toc332363517" w:history="1">
        <w:r w:rsidR="00630DB3" w:rsidRPr="00D169AC">
          <w:rPr>
            <w:rStyle w:val="Hyperlink"/>
            <w:noProof/>
          </w:rPr>
          <w:t>3.1</w:t>
        </w:r>
        <w:r w:rsidR="00630DB3">
          <w:rPr>
            <w:rFonts w:asciiTheme="minorHAnsi" w:eastAsiaTheme="minorEastAsia" w:hAnsiTheme="minorHAnsi" w:cstheme="minorBidi"/>
            <w:noProof/>
            <w:sz w:val="22"/>
            <w:szCs w:val="22"/>
          </w:rPr>
          <w:tab/>
        </w:r>
        <w:r w:rsidR="00630DB3" w:rsidRPr="00D169AC">
          <w:rPr>
            <w:rStyle w:val="Hyperlink"/>
            <w:noProof/>
          </w:rPr>
          <w:t>Parties</w:t>
        </w:r>
        <w:r w:rsidR="00630DB3">
          <w:rPr>
            <w:noProof/>
            <w:webHidden/>
          </w:rPr>
          <w:tab/>
        </w:r>
        <w:r>
          <w:rPr>
            <w:noProof/>
            <w:webHidden/>
          </w:rPr>
          <w:fldChar w:fldCharType="begin"/>
        </w:r>
        <w:r w:rsidR="00630DB3">
          <w:rPr>
            <w:noProof/>
            <w:webHidden/>
          </w:rPr>
          <w:instrText xml:space="preserve"> PAGEREF _Toc332363517 \h </w:instrText>
        </w:r>
        <w:r>
          <w:rPr>
            <w:noProof/>
            <w:webHidden/>
          </w:rPr>
        </w:r>
        <w:r>
          <w:rPr>
            <w:noProof/>
            <w:webHidden/>
          </w:rPr>
          <w:fldChar w:fldCharType="separate"/>
        </w:r>
        <w:r w:rsidR="00630DB3">
          <w:rPr>
            <w:noProof/>
            <w:webHidden/>
          </w:rPr>
          <w:t>8</w:t>
        </w:r>
        <w:r>
          <w:rPr>
            <w:noProof/>
            <w:webHidden/>
          </w:rPr>
          <w:fldChar w:fldCharType="end"/>
        </w:r>
      </w:hyperlink>
    </w:p>
    <w:p w:rsidR="00630DB3" w:rsidRDefault="00CF79EA">
      <w:pPr>
        <w:pStyle w:val="TOC3"/>
        <w:tabs>
          <w:tab w:val="left" w:pos="960"/>
        </w:tabs>
        <w:rPr>
          <w:rFonts w:asciiTheme="minorHAnsi" w:eastAsiaTheme="minorEastAsia" w:hAnsiTheme="minorHAnsi" w:cstheme="minorBidi"/>
          <w:noProof/>
          <w:sz w:val="22"/>
          <w:szCs w:val="22"/>
        </w:rPr>
      </w:pPr>
      <w:hyperlink w:anchor="_Toc332363518" w:history="1">
        <w:r w:rsidR="00630DB3" w:rsidRPr="00D169AC">
          <w:rPr>
            <w:rStyle w:val="Hyperlink"/>
            <w:noProof/>
          </w:rPr>
          <w:t>3.2</w:t>
        </w:r>
        <w:r w:rsidR="00630DB3">
          <w:rPr>
            <w:rFonts w:asciiTheme="minorHAnsi" w:eastAsiaTheme="minorEastAsia" w:hAnsiTheme="minorHAnsi" w:cstheme="minorBidi"/>
            <w:noProof/>
            <w:sz w:val="22"/>
            <w:szCs w:val="22"/>
          </w:rPr>
          <w:tab/>
        </w:r>
        <w:r w:rsidR="00630DB3" w:rsidRPr="00D169AC">
          <w:rPr>
            <w:rStyle w:val="Hyperlink"/>
            <w:noProof/>
          </w:rPr>
          <w:t>Pre-notification</w:t>
        </w:r>
        <w:r w:rsidR="00630DB3">
          <w:rPr>
            <w:noProof/>
            <w:webHidden/>
          </w:rPr>
          <w:tab/>
        </w:r>
        <w:r>
          <w:rPr>
            <w:noProof/>
            <w:webHidden/>
          </w:rPr>
          <w:fldChar w:fldCharType="begin"/>
        </w:r>
        <w:r w:rsidR="00630DB3">
          <w:rPr>
            <w:noProof/>
            <w:webHidden/>
          </w:rPr>
          <w:instrText xml:space="preserve"> PAGEREF _Toc332363518 \h </w:instrText>
        </w:r>
        <w:r>
          <w:rPr>
            <w:noProof/>
            <w:webHidden/>
          </w:rPr>
        </w:r>
        <w:r>
          <w:rPr>
            <w:noProof/>
            <w:webHidden/>
          </w:rPr>
          <w:fldChar w:fldCharType="separate"/>
        </w:r>
        <w:r w:rsidR="00630DB3">
          <w:rPr>
            <w:noProof/>
            <w:webHidden/>
          </w:rPr>
          <w:t>8</w:t>
        </w:r>
        <w:r>
          <w:rPr>
            <w:noProof/>
            <w:webHidden/>
          </w:rPr>
          <w:fldChar w:fldCharType="end"/>
        </w:r>
      </w:hyperlink>
    </w:p>
    <w:p w:rsidR="00630DB3" w:rsidRDefault="00CF79EA">
      <w:pPr>
        <w:pStyle w:val="TOC3"/>
        <w:tabs>
          <w:tab w:val="left" w:pos="960"/>
        </w:tabs>
        <w:rPr>
          <w:rFonts w:asciiTheme="minorHAnsi" w:eastAsiaTheme="minorEastAsia" w:hAnsiTheme="minorHAnsi" w:cstheme="minorBidi"/>
          <w:noProof/>
          <w:sz w:val="22"/>
          <w:szCs w:val="22"/>
        </w:rPr>
      </w:pPr>
      <w:hyperlink w:anchor="_Toc332363519" w:history="1">
        <w:r w:rsidR="00630DB3" w:rsidRPr="00D169AC">
          <w:rPr>
            <w:rStyle w:val="Hyperlink"/>
            <w:noProof/>
          </w:rPr>
          <w:t>3.3</w:t>
        </w:r>
        <w:r w:rsidR="00630DB3">
          <w:rPr>
            <w:rFonts w:asciiTheme="minorHAnsi" w:eastAsiaTheme="minorEastAsia" w:hAnsiTheme="minorHAnsi" w:cstheme="minorBidi"/>
            <w:noProof/>
            <w:sz w:val="22"/>
            <w:szCs w:val="22"/>
          </w:rPr>
          <w:tab/>
        </w:r>
        <w:r w:rsidR="00630DB3" w:rsidRPr="00D169AC">
          <w:rPr>
            <w:rStyle w:val="Hyperlink"/>
            <w:noProof/>
          </w:rPr>
          <w:t>Formal notification requirements</w:t>
        </w:r>
        <w:r w:rsidR="00630DB3">
          <w:rPr>
            <w:noProof/>
            <w:webHidden/>
          </w:rPr>
          <w:tab/>
        </w:r>
        <w:r>
          <w:rPr>
            <w:noProof/>
            <w:webHidden/>
          </w:rPr>
          <w:fldChar w:fldCharType="begin"/>
        </w:r>
        <w:r w:rsidR="00630DB3">
          <w:rPr>
            <w:noProof/>
            <w:webHidden/>
          </w:rPr>
          <w:instrText xml:space="preserve"> PAGEREF _Toc332363519 \h </w:instrText>
        </w:r>
        <w:r>
          <w:rPr>
            <w:noProof/>
            <w:webHidden/>
          </w:rPr>
        </w:r>
        <w:r>
          <w:rPr>
            <w:noProof/>
            <w:webHidden/>
          </w:rPr>
          <w:fldChar w:fldCharType="separate"/>
        </w:r>
        <w:r w:rsidR="00630DB3">
          <w:rPr>
            <w:noProof/>
            <w:webHidden/>
          </w:rPr>
          <w:t>8</w:t>
        </w:r>
        <w:r>
          <w:rPr>
            <w:noProof/>
            <w:webHidden/>
          </w:rPr>
          <w:fldChar w:fldCharType="end"/>
        </w:r>
      </w:hyperlink>
    </w:p>
    <w:p w:rsidR="00630DB3" w:rsidRDefault="00CF79EA">
      <w:pPr>
        <w:pStyle w:val="TOC3"/>
        <w:tabs>
          <w:tab w:val="left" w:pos="960"/>
        </w:tabs>
        <w:rPr>
          <w:rFonts w:asciiTheme="minorHAnsi" w:eastAsiaTheme="minorEastAsia" w:hAnsiTheme="minorHAnsi" w:cstheme="minorBidi"/>
          <w:noProof/>
          <w:sz w:val="22"/>
          <w:szCs w:val="22"/>
        </w:rPr>
      </w:pPr>
      <w:hyperlink w:anchor="_Toc332363520" w:history="1">
        <w:r w:rsidR="00630DB3" w:rsidRPr="00D169AC">
          <w:rPr>
            <w:rStyle w:val="Hyperlink"/>
            <w:noProof/>
          </w:rPr>
          <w:t>3.4</w:t>
        </w:r>
        <w:r w:rsidR="00630DB3">
          <w:rPr>
            <w:rFonts w:asciiTheme="minorHAnsi" w:eastAsiaTheme="minorEastAsia" w:hAnsiTheme="minorHAnsi" w:cstheme="minorBidi"/>
            <w:noProof/>
            <w:sz w:val="22"/>
            <w:szCs w:val="22"/>
          </w:rPr>
          <w:tab/>
        </w:r>
        <w:r w:rsidR="00630DB3" w:rsidRPr="00D169AC">
          <w:rPr>
            <w:rStyle w:val="Hyperlink"/>
            <w:noProof/>
          </w:rPr>
          <w:t>Unable to agree</w:t>
        </w:r>
        <w:r w:rsidR="00630DB3">
          <w:rPr>
            <w:noProof/>
            <w:webHidden/>
          </w:rPr>
          <w:tab/>
        </w:r>
        <w:r>
          <w:rPr>
            <w:noProof/>
            <w:webHidden/>
          </w:rPr>
          <w:fldChar w:fldCharType="begin"/>
        </w:r>
        <w:r w:rsidR="00630DB3">
          <w:rPr>
            <w:noProof/>
            <w:webHidden/>
          </w:rPr>
          <w:instrText xml:space="preserve"> PAGEREF _Toc332363520 \h </w:instrText>
        </w:r>
        <w:r>
          <w:rPr>
            <w:noProof/>
            <w:webHidden/>
          </w:rPr>
        </w:r>
        <w:r>
          <w:rPr>
            <w:noProof/>
            <w:webHidden/>
          </w:rPr>
          <w:fldChar w:fldCharType="separate"/>
        </w:r>
        <w:r w:rsidR="00630DB3">
          <w:rPr>
            <w:noProof/>
            <w:webHidden/>
          </w:rPr>
          <w:t>10</w:t>
        </w:r>
        <w:r>
          <w:rPr>
            <w:noProof/>
            <w:webHidden/>
          </w:rPr>
          <w:fldChar w:fldCharType="end"/>
        </w:r>
      </w:hyperlink>
    </w:p>
    <w:p w:rsidR="00630DB3" w:rsidRDefault="00CF79EA">
      <w:pPr>
        <w:pStyle w:val="TOC3"/>
        <w:tabs>
          <w:tab w:val="left" w:pos="960"/>
        </w:tabs>
        <w:rPr>
          <w:rFonts w:asciiTheme="minorHAnsi" w:eastAsiaTheme="minorEastAsia" w:hAnsiTheme="minorHAnsi" w:cstheme="minorBidi"/>
          <w:noProof/>
          <w:sz w:val="22"/>
          <w:szCs w:val="22"/>
        </w:rPr>
      </w:pPr>
      <w:hyperlink w:anchor="_Toc332363521" w:history="1">
        <w:r w:rsidR="00630DB3" w:rsidRPr="00D169AC">
          <w:rPr>
            <w:rStyle w:val="Hyperlink"/>
            <w:noProof/>
          </w:rPr>
          <w:t>3.5</w:t>
        </w:r>
        <w:r w:rsidR="00630DB3">
          <w:rPr>
            <w:rFonts w:asciiTheme="minorHAnsi" w:eastAsiaTheme="minorEastAsia" w:hAnsiTheme="minorHAnsi" w:cstheme="minorBidi"/>
            <w:noProof/>
            <w:sz w:val="22"/>
            <w:szCs w:val="22"/>
          </w:rPr>
          <w:tab/>
        </w:r>
        <w:r w:rsidR="00630DB3" w:rsidRPr="00D169AC">
          <w:rPr>
            <w:rStyle w:val="Hyperlink"/>
            <w:noProof/>
          </w:rPr>
          <w:t>Exercise of powers by the ACCC</w:t>
        </w:r>
        <w:r w:rsidR="00630DB3">
          <w:rPr>
            <w:noProof/>
            <w:webHidden/>
          </w:rPr>
          <w:tab/>
        </w:r>
        <w:r>
          <w:rPr>
            <w:noProof/>
            <w:webHidden/>
          </w:rPr>
          <w:fldChar w:fldCharType="begin"/>
        </w:r>
        <w:r w:rsidR="00630DB3">
          <w:rPr>
            <w:noProof/>
            <w:webHidden/>
          </w:rPr>
          <w:instrText xml:space="preserve"> PAGEREF _Toc332363521 \h </w:instrText>
        </w:r>
        <w:r>
          <w:rPr>
            <w:noProof/>
            <w:webHidden/>
          </w:rPr>
        </w:r>
        <w:r>
          <w:rPr>
            <w:noProof/>
            <w:webHidden/>
          </w:rPr>
          <w:fldChar w:fldCharType="separate"/>
        </w:r>
        <w:r w:rsidR="00630DB3">
          <w:rPr>
            <w:noProof/>
            <w:webHidden/>
          </w:rPr>
          <w:t>10</w:t>
        </w:r>
        <w:r>
          <w:rPr>
            <w:noProof/>
            <w:webHidden/>
          </w:rPr>
          <w:fldChar w:fldCharType="end"/>
        </w:r>
      </w:hyperlink>
    </w:p>
    <w:p w:rsidR="00630DB3" w:rsidRDefault="00CF79EA">
      <w:pPr>
        <w:pStyle w:val="TOC4"/>
        <w:tabs>
          <w:tab w:val="left" w:pos="1540"/>
        </w:tabs>
        <w:rPr>
          <w:rFonts w:asciiTheme="minorHAnsi" w:eastAsiaTheme="minorEastAsia" w:hAnsiTheme="minorHAnsi" w:cstheme="minorBidi"/>
          <w:noProof/>
          <w:sz w:val="22"/>
          <w:szCs w:val="22"/>
        </w:rPr>
      </w:pPr>
      <w:hyperlink w:anchor="_Toc332363522" w:history="1">
        <w:r w:rsidR="00630DB3" w:rsidRPr="00D169AC">
          <w:rPr>
            <w:rStyle w:val="Hyperlink"/>
            <w:noProof/>
          </w:rPr>
          <w:t>3.5.1</w:t>
        </w:r>
        <w:r w:rsidR="00630DB3">
          <w:rPr>
            <w:rFonts w:asciiTheme="minorHAnsi" w:eastAsiaTheme="minorEastAsia" w:hAnsiTheme="minorHAnsi" w:cstheme="minorBidi"/>
            <w:noProof/>
            <w:sz w:val="22"/>
            <w:szCs w:val="22"/>
          </w:rPr>
          <w:tab/>
        </w:r>
        <w:r w:rsidR="00630DB3" w:rsidRPr="00D169AC">
          <w:rPr>
            <w:rStyle w:val="Hyperlink"/>
            <w:noProof/>
          </w:rPr>
          <w:t>Constitution of the ACCC for the purpose of an inquiry</w:t>
        </w:r>
        <w:r w:rsidR="00630DB3">
          <w:rPr>
            <w:noProof/>
            <w:webHidden/>
          </w:rPr>
          <w:tab/>
        </w:r>
        <w:r>
          <w:rPr>
            <w:noProof/>
            <w:webHidden/>
          </w:rPr>
          <w:fldChar w:fldCharType="begin"/>
        </w:r>
        <w:r w:rsidR="00630DB3">
          <w:rPr>
            <w:noProof/>
            <w:webHidden/>
          </w:rPr>
          <w:instrText xml:space="preserve"> PAGEREF _Toc332363522 \h </w:instrText>
        </w:r>
        <w:r>
          <w:rPr>
            <w:noProof/>
            <w:webHidden/>
          </w:rPr>
        </w:r>
        <w:r>
          <w:rPr>
            <w:noProof/>
            <w:webHidden/>
          </w:rPr>
          <w:fldChar w:fldCharType="separate"/>
        </w:r>
        <w:r w:rsidR="00630DB3">
          <w:rPr>
            <w:noProof/>
            <w:webHidden/>
          </w:rPr>
          <w:t>11</w:t>
        </w:r>
        <w:r>
          <w:rPr>
            <w:noProof/>
            <w:webHidden/>
          </w:rPr>
          <w:fldChar w:fldCharType="end"/>
        </w:r>
      </w:hyperlink>
    </w:p>
    <w:p w:rsidR="00630DB3" w:rsidRDefault="00CF79EA">
      <w:pPr>
        <w:pStyle w:val="TOC4"/>
        <w:tabs>
          <w:tab w:val="left" w:pos="1540"/>
        </w:tabs>
        <w:rPr>
          <w:rFonts w:asciiTheme="minorHAnsi" w:eastAsiaTheme="minorEastAsia" w:hAnsiTheme="minorHAnsi" w:cstheme="minorBidi"/>
          <w:noProof/>
          <w:sz w:val="22"/>
          <w:szCs w:val="22"/>
        </w:rPr>
      </w:pPr>
      <w:hyperlink w:anchor="_Toc332363523" w:history="1">
        <w:r w:rsidR="00630DB3" w:rsidRPr="00D169AC">
          <w:rPr>
            <w:rStyle w:val="Hyperlink"/>
            <w:noProof/>
          </w:rPr>
          <w:t>3.5.2</w:t>
        </w:r>
        <w:r w:rsidR="00630DB3">
          <w:rPr>
            <w:rFonts w:asciiTheme="minorHAnsi" w:eastAsiaTheme="minorEastAsia" w:hAnsiTheme="minorHAnsi" w:cstheme="minorBidi"/>
            <w:noProof/>
            <w:sz w:val="22"/>
            <w:szCs w:val="22"/>
          </w:rPr>
          <w:tab/>
        </w:r>
        <w:r w:rsidR="00630DB3" w:rsidRPr="00D169AC">
          <w:rPr>
            <w:rStyle w:val="Hyperlink"/>
            <w:noProof/>
          </w:rPr>
          <w:t>Reconstitution of the ACCC for the purpose of an inquiry</w:t>
        </w:r>
        <w:r w:rsidR="00630DB3">
          <w:rPr>
            <w:noProof/>
            <w:webHidden/>
          </w:rPr>
          <w:tab/>
        </w:r>
        <w:r>
          <w:rPr>
            <w:noProof/>
            <w:webHidden/>
          </w:rPr>
          <w:fldChar w:fldCharType="begin"/>
        </w:r>
        <w:r w:rsidR="00630DB3">
          <w:rPr>
            <w:noProof/>
            <w:webHidden/>
          </w:rPr>
          <w:instrText xml:space="preserve"> PAGEREF _Toc332363523 \h </w:instrText>
        </w:r>
        <w:r>
          <w:rPr>
            <w:noProof/>
            <w:webHidden/>
          </w:rPr>
        </w:r>
        <w:r>
          <w:rPr>
            <w:noProof/>
            <w:webHidden/>
          </w:rPr>
          <w:fldChar w:fldCharType="separate"/>
        </w:r>
        <w:r w:rsidR="00630DB3">
          <w:rPr>
            <w:noProof/>
            <w:webHidden/>
          </w:rPr>
          <w:t>11</w:t>
        </w:r>
        <w:r>
          <w:rPr>
            <w:noProof/>
            <w:webHidden/>
          </w:rPr>
          <w:fldChar w:fldCharType="end"/>
        </w:r>
      </w:hyperlink>
    </w:p>
    <w:p w:rsidR="00630DB3" w:rsidRDefault="00CF79EA">
      <w:pPr>
        <w:pStyle w:val="TOC4"/>
        <w:tabs>
          <w:tab w:val="left" w:pos="1540"/>
        </w:tabs>
        <w:rPr>
          <w:rFonts w:asciiTheme="minorHAnsi" w:eastAsiaTheme="minorEastAsia" w:hAnsiTheme="minorHAnsi" w:cstheme="minorBidi"/>
          <w:noProof/>
          <w:sz w:val="22"/>
          <w:szCs w:val="22"/>
        </w:rPr>
      </w:pPr>
      <w:hyperlink w:anchor="_Toc332363524" w:history="1">
        <w:r w:rsidR="00630DB3" w:rsidRPr="00D169AC">
          <w:rPr>
            <w:rStyle w:val="Hyperlink"/>
            <w:noProof/>
          </w:rPr>
          <w:t>3.5.3</w:t>
        </w:r>
        <w:r w:rsidR="00630DB3">
          <w:rPr>
            <w:rFonts w:asciiTheme="minorHAnsi" w:eastAsiaTheme="minorEastAsia" w:hAnsiTheme="minorHAnsi" w:cstheme="minorBidi"/>
            <w:noProof/>
            <w:sz w:val="22"/>
            <w:szCs w:val="22"/>
          </w:rPr>
          <w:tab/>
        </w:r>
        <w:r w:rsidR="00630DB3" w:rsidRPr="00D169AC">
          <w:rPr>
            <w:rStyle w:val="Hyperlink"/>
            <w:noProof/>
          </w:rPr>
          <w:t>Decisions of the ACCC</w:t>
        </w:r>
        <w:r w:rsidR="00630DB3">
          <w:rPr>
            <w:noProof/>
            <w:webHidden/>
          </w:rPr>
          <w:tab/>
        </w:r>
        <w:r>
          <w:rPr>
            <w:noProof/>
            <w:webHidden/>
          </w:rPr>
          <w:fldChar w:fldCharType="begin"/>
        </w:r>
        <w:r w:rsidR="00630DB3">
          <w:rPr>
            <w:noProof/>
            <w:webHidden/>
          </w:rPr>
          <w:instrText xml:space="preserve"> PAGEREF _Toc332363524 \h </w:instrText>
        </w:r>
        <w:r>
          <w:rPr>
            <w:noProof/>
            <w:webHidden/>
          </w:rPr>
        </w:r>
        <w:r>
          <w:rPr>
            <w:noProof/>
            <w:webHidden/>
          </w:rPr>
          <w:fldChar w:fldCharType="separate"/>
        </w:r>
        <w:r w:rsidR="00630DB3">
          <w:rPr>
            <w:noProof/>
            <w:webHidden/>
          </w:rPr>
          <w:t>11</w:t>
        </w:r>
        <w:r>
          <w:rPr>
            <w:noProof/>
            <w:webHidden/>
          </w:rPr>
          <w:fldChar w:fldCharType="end"/>
        </w:r>
      </w:hyperlink>
    </w:p>
    <w:p w:rsidR="00630DB3" w:rsidRDefault="00CF79EA">
      <w:pPr>
        <w:pStyle w:val="TOC4"/>
        <w:tabs>
          <w:tab w:val="left" w:pos="1540"/>
        </w:tabs>
        <w:rPr>
          <w:rFonts w:asciiTheme="minorHAnsi" w:eastAsiaTheme="minorEastAsia" w:hAnsiTheme="minorHAnsi" w:cstheme="minorBidi"/>
          <w:noProof/>
          <w:sz w:val="22"/>
          <w:szCs w:val="22"/>
        </w:rPr>
      </w:pPr>
      <w:hyperlink w:anchor="_Toc332363525" w:history="1">
        <w:r w:rsidR="00630DB3" w:rsidRPr="00D169AC">
          <w:rPr>
            <w:rStyle w:val="Hyperlink"/>
            <w:noProof/>
          </w:rPr>
          <w:t>3.5.4</w:t>
        </w:r>
        <w:r w:rsidR="00630DB3">
          <w:rPr>
            <w:rFonts w:asciiTheme="minorHAnsi" w:eastAsiaTheme="minorEastAsia" w:hAnsiTheme="minorHAnsi" w:cstheme="minorBidi"/>
            <w:noProof/>
            <w:sz w:val="22"/>
            <w:szCs w:val="22"/>
          </w:rPr>
          <w:tab/>
        </w:r>
        <w:r w:rsidR="00630DB3" w:rsidRPr="00D169AC">
          <w:rPr>
            <w:rStyle w:val="Hyperlink"/>
            <w:noProof/>
          </w:rPr>
          <w:t>ACCC staff and experts</w:t>
        </w:r>
        <w:r w:rsidR="00630DB3">
          <w:rPr>
            <w:noProof/>
            <w:webHidden/>
          </w:rPr>
          <w:tab/>
        </w:r>
        <w:r>
          <w:rPr>
            <w:noProof/>
            <w:webHidden/>
          </w:rPr>
          <w:fldChar w:fldCharType="begin"/>
        </w:r>
        <w:r w:rsidR="00630DB3">
          <w:rPr>
            <w:noProof/>
            <w:webHidden/>
          </w:rPr>
          <w:instrText xml:space="preserve"> PAGEREF _Toc332363525 \h </w:instrText>
        </w:r>
        <w:r>
          <w:rPr>
            <w:noProof/>
            <w:webHidden/>
          </w:rPr>
        </w:r>
        <w:r>
          <w:rPr>
            <w:noProof/>
            <w:webHidden/>
          </w:rPr>
          <w:fldChar w:fldCharType="separate"/>
        </w:r>
        <w:r w:rsidR="00630DB3">
          <w:rPr>
            <w:noProof/>
            <w:webHidden/>
          </w:rPr>
          <w:t>11</w:t>
        </w:r>
        <w:r>
          <w:rPr>
            <w:noProof/>
            <w:webHidden/>
          </w:rPr>
          <w:fldChar w:fldCharType="end"/>
        </w:r>
      </w:hyperlink>
    </w:p>
    <w:p w:rsidR="00630DB3" w:rsidRDefault="00CF79EA">
      <w:pPr>
        <w:pStyle w:val="TOC2"/>
        <w:tabs>
          <w:tab w:val="left" w:pos="360"/>
        </w:tabs>
        <w:rPr>
          <w:rFonts w:asciiTheme="minorHAnsi" w:eastAsiaTheme="minorEastAsia" w:hAnsiTheme="minorHAnsi" w:cstheme="minorBidi"/>
          <w:noProof/>
          <w:sz w:val="22"/>
          <w:szCs w:val="22"/>
        </w:rPr>
      </w:pPr>
      <w:hyperlink w:anchor="_Toc332363526" w:history="1">
        <w:r w:rsidR="00630DB3" w:rsidRPr="00D169AC">
          <w:rPr>
            <w:rStyle w:val="Hyperlink"/>
            <w:noProof/>
          </w:rPr>
          <w:t>4</w:t>
        </w:r>
        <w:r w:rsidR="00630DB3">
          <w:rPr>
            <w:rFonts w:asciiTheme="minorHAnsi" w:eastAsiaTheme="minorEastAsia" w:hAnsiTheme="minorHAnsi" w:cstheme="minorBidi"/>
            <w:noProof/>
            <w:sz w:val="22"/>
            <w:szCs w:val="22"/>
          </w:rPr>
          <w:tab/>
        </w:r>
        <w:r w:rsidR="00630DB3" w:rsidRPr="00D169AC">
          <w:rPr>
            <w:rStyle w:val="Hyperlink"/>
            <w:noProof/>
          </w:rPr>
          <w:t>Stages of an inquiry after notification of a dispute</w:t>
        </w:r>
        <w:r w:rsidR="00630DB3">
          <w:rPr>
            <w:noProof/>
            <w:webHidden/>
          </w:rPr>
          <w:tab/>
        </w:r>
        <w:r>
          <w:rPr>
            <w:noProof/>
            <w:webHidden/>
          </w:rPr>
          <w:fldChar w:fldCharType="begin"/>
        </w:r>
        <w:r w:rsidR="00630DB3">
          <w:rPr>
            <w:noProof/>
            <w:webHidden/>
          </w:rPr>
          <w:instrText xml:space="preserve"> PAGEREF _Toc332363526 \h </w:instrText>
        </w:r>
        <w:r>
          <w:rPr>
            <w:noProof/>
            <w:webHidden/>
          </w:rPr>
        </w:r>
        <w:r>
          <w:rPr>
            <w:noProof/>
            <w:webHidden/>
          </w:rPr>
          <w:fldChar w:fldCharType="separate"/>
        </w:r>
        <w:r w:rsidR="00630DB3">
          <w:rPr>
            <w:noProof/>
            <w:webHidden/>
          </w:rPr>
          <w:t>13</w:t>
        </w:r>
        <w:r>
          <w:rPr>
            <w:noProof/>
            <w:webHidden/>
          </w:rPr>
          <w:fldChar w:fldCharType="end"/>
        </w:r>
      </w:hyperlink>
    </w:p>
    <w:p w:rsidR="00630DB3" w:rsidRDefault="00CF79EA">
      <w:pPr>
        <w:pStyle w:val="TOC3"/>
        <w:tabs>
          <w:tab w:val="left" w:pos="960"/>
        </w:tabs>
        <w:rPr>
          <w:rFonts w:asciiTheme="minorHAnsi" w:eastAsiaTheme="minorEastAsia" w:hAnsiTheme="minorHAnsi" w:cstheme="minorBidi"/>
          <w:noProof/>
          <w:sz w:val="22"/>
          <w:szCs w:val="22"/>
        </w:rPr>
      </w:pPr>
      <w:hyperlink w:anchor="_Toc332363527" w:history="1">
        <w:r w:rsidR="00630DB3" w:rsidRPr="00D169AC">
          <w:rPr>
            <w:rStyle w:val="Hyperlink"/>
            <w:noProof/>
          </w:rPr>
          <w:t>4.1</w:t>
        </w:r>
        <w:r w:rsidR="00630DB3">
          <w:rPr>
            <w:rFonts w:asciiTheme="minorHAnsi" w:eastAsiaTheme="minorEastAsia" w:hAnsiTheme="minorHAnsi" w:cstheme="minorBidi"/>
            <w:noProof/>
            <w:sz w:val="22"/>
            <w:szCs w:val="22"/>
          </w:rPr>
          <w:tab/>
        </w:r>
        <w:r w:rsidR="00630DB3" w:rsidRPr="00D169AC">
          <w:rPr>
            <w:rStyle w:val="Hyperlink"/>
            <w:noProof/>
          </w:rPr>
          <w:t>The Pre-commencement stage</w:t>
        </w:r>
        <w:r w:rsidR="00630DB3">
          <w:rPr>
            <w:noProof/>
            <w:webHidden/>
          </w:rPr>
          <w:tab/>
        </w:r>
        <w:r>
          <w:rPr>
            <w:noProof/>
            <w:webHidden/>
          </w:rPr>
          <w:fldChar w:fldCharType="begin"/>
        </w:r>
        <w:r w:rsidR="00630DB3">
          <w:rPr>
            <w:noProof/>
            <w:webHidden/>
          </w:rPr>
          <w:instrText xml:space="preserve"> PAGEREF _Toc332363527 \h </w:instrText>
        </w:r>
        <w:r>
          <w:rPr>
            <w:noProof/>
            <w:webHidden/>
          </w:rPr>
        </w:r>
        <w:r>
          <w:rPr>
            <w:noProof/>
            <w:webHidden/>
          </w:rPr>
          <w:fldChar w:fldCharType="separate"/>
        </w:r>
        <w:r w:rsidR="00630DB3">
          <w:rPr>
            <w:noProof/>
            <w:webHidden/>
          </w:rPr>
          <w:t>13</w:t>
        </w:r>
        <w:r>
          <w:rPr>
            <w:noProof/>
            <w:webHidden/>
          </w:rPr>
          <w:fldChar w:fldCharType="end"/>
        </w:r>
      </w:hyperlink>
    </w:p>
    <w:p w:rsidR="00630DB3" w:rsidRDefault="00CF79EA">
      <w:pPr>
        <w:pStyle w:val="TOC4"/>
        <w:tabs>
          <w:tab w:val="left" w:pos="1540"/>
        </w:tabs>
        <w:rPr>
          <w:rFonts w:asciiTheme="minorHAnsi" w:eastAsiaTheme="minorEastAsia" w:hAnsiTheme="minorHAnsi" w:cstheme="minorBidi"/>
          <w:noProof/>
          <w:sz w:val="22"/>
          <w:szCs w:val="22"/>
        </w:rPr>
      </w:pPr>
      <w:hyperlink w:anchor="_Toc332363528" w:history="1">
        <w:r w:rsidR="00630DB3" w:rsidRPr="00D169AC">
          <w:rPr>
            <w:rStyle w:val="Hyperlink"/>
            <w:noProof/>
          </w:rPr>
          <w:t>4.1.1</w:t>
        </w:r>
        <w:r w:rsidR="00630DB3">
          <w:rPr>
            <w:rFonts w:asciiTheme="minorHAnsi" w:eastAsiaTheme="minorEastAsia" w:hAnsiTheme="minorHAnsi" w:cstheme="minorBidi"/>
            <w:noProof/>
            <w:sz w:val="22"/>
            <w:szCs w:val="22"/>
          </w:rPr>
          <w:tab/>
        </w:r>
        <w:r w:rsidR="00630DB3" w:rsidRPr="00D169AC">
          <w:rPr>
            <w:rStyle w:val="Hyperlink"/>
            <w:noProof/>
          </w:rPr>
          <w:t>Notifying Australia Post and other persons of the dispute</w:t>
        </w:r>
        <w:r w:rsidR="00630DB3">
          <w:rPr>
            <w:noProof/>
            <w:webHidden/>
          </w:rPr>
          <w:tab/>
        </w:r>
        <w:r>
          <w:rPr>
            <w:noProof/>
            <w:webHidden/>
          </w:rPr>
          <w:fldChar w:fldCharType="begin"/>
        </w:r>
        <w:r w:rsidR="00630DB3">
          <w:rPr>
            <w:noProof/>
            <w:webHidden/>
          </w:rPr>
          <w:instrText xml:space="preserve"> PAGEREF _Toc332363528 \h </w:instrText>
        </w:r>
        <w:r>
          <w:rPr>
            <w:noProof/>
            <w:webHidden/>
          </w:rPr>
        </w:r>
        <w:r>
          <w:rPr>
            <w:noProof/>
            <w:webHidden/>
          </w:rPr>
          <w:fldChar w:fldCharType="separate"/>
        </w:r>
        <w:r w:rsidR="00630DB3">
          <w:rPr>
            <w:noProof/>
            <w:webHidden/>
          </w:rPr>
          <w:t>13</w:t>
        </w:r>
        <w:r>
          <w:rPr>
            <w:noProof/>
            <w:webHidden/>
          </w:rPr>
          <w:fldChar w:fldCharType="end"/>
        </w:r>
      </w:hyperlink>
    </w:p>
    <w:p w:rsidR="00630DB3" w:rsidRDefault="00CF79EA">
      <w:pPr>
        <w:pStyle w:val="TOC4"/>
        <w:tabs>
          <w:tab w:val="left" w:pos="1540"/>
        </w:tabs>
        <w:rPr>
          <w:rFonts w:asciiTheme="minorHAnsi" w:eastAsiaTheme="minorEastAsia" w:hAnsiTheme="minorHAnsi" w:cstheme="minorBidi"/>
          <w:noProof/>
          <w:sz w:val="22"/>
          <w:szCs w:val="22"/>
        </w:rPr>
      </w:pPr>
      <w:hyperlink w:anchor="_Toc332363529" w:history="1">
        <w:r w:rsidR="00630DB3" w:rsidRPr="00D169AC">
          <w:rPr>
            <w:rStyle w:val="Hyperlink"/>
            <w:noProof/>
          </w:rPr>
          <w:t>4.1.2</w:t>
        </w:r>
        <w:r w:rsidR="00630DB3">
          <w:rPr>
            <w:rFonts w:asciiTheme="minorHAnsi" w:eastAsiaTheme="minorEastAsia" w:hAnsiTheme="minorHAnsi" w:cstheme="minorBidi"/>
            <w:noProof/>
            <w:sz w:val="22"/>
            <w:szCs w:val="22"/>
          </w:rPr>
          <w:tab/>
        </w:r>
        <w:r w:rsidR="00630DB3" w:rsidRPr="00D169AC">
          <w:rPr>
            <w:rStyle w:val="Hyperlink"/>
            <w:noProof/>
          </w:rPr>
          <w:t>Australia Post response to notification of a dispute</w:t>
        </w:r>
        <w:r w:rsidR="00630DB3">
          <w:rPr>
            <w:noProof/>
            <w:webHidden/>
          </w:rPr>
          <w:tab/>
        </w:r>
        <w:r>
          <w:rPr>
            <w:noProof/>
            <w:webHidden/>
          </w:rPr>
          <w:fldChar w:fldCharType="begin"/>
        </w:r>
        <w:r w:rsidR="00630DB3">
          <w:rPr>
            <w:noProof/>
            <w:webHidden/>
          </w:rPr>
          <w:instrText xml:space="preserve"> PAGEREF _Toc332363529 \h </w:instrText>
        </w:r>
        <w:r>
          <w:rPr>
            <w:noProof/>
            <w:webHidden/>
          </w:rPr>
        </w:r>
        <w:r>
          <w:rPr>
            <w:noProof/>
            <w:webHidden/>
          </w:rPr>
          <w:fldChar w:fldCharType="separate"/>
        </w:r>
        <w:r w:rsidR="00630DB3">
          <w:rPr>
            <w:noProof/>
            <w:webHidden/>
          </w:rPr>
          <w:t>13</w:t>
        </w:r>
        <w:r>
          <w:rPr>
            <w:noProof/>
            <w:webHidden/>
          </w:rPr>
          <w:fldChar w:fldCharType="end"/>
        </w:r>
      </w:hyperlink>
    </w:p>
    <w:p w:rsidR="00630DB3" w:rsidRDefault="00CF79EA">
      <w:pPr>
        <w:pStyle w:val="TOC4"/>
        <w:tabs>
          <w:tab w:val="left" w:pos="1540"/>
        </w:tabs>
        <w:rPr>
          <w:rFonts w:asciiTheme="minorHAnsi" w:eastAsiaTheme="minorEastAsia" w:hAnsiTheme="minorHAnsi" w:cstheme="minorBidi"/>
          <w:noProof/>
          <w:sz w:val="22"/>
          <w:szCs w:val="22"/>
        </w:rPr>
      </w:pPr>
      <w:hyperlink w:anchor="_Toc332363530" w:history="1">
        <w:r w:rsidR="00630DB3" w:rsidRPr="00D169AC">
          <w:rPr>
            <w:rStyle w:val="Hyperlink"/>
            <w:noProof/>
          </w:rPr>
          <w:t>4.1.3</w:t>
        </w:r>
        <w:r w:rsidR="00630DB3">
          <w:rPr>
            <w:rFonts w:asciiTheme="minorHAnsi" w:eastAsiaTheme="minorEastAsia" w:hAnsiTheme="minorHAnsi" w:cstheme="minorBidi"/>
            <w:noProof/>
            <w:sz w:val="22"/>
            <w:szCs w:val="22"/>
          </w:rPr>
          <w:tab/>
        </w:r>
        <w:r w:rsidR="00630DB3" w:rsidRPr="00D169AC">
          <w:rPr>
            <w:rStyle w:val="Hyperlink"/>
            <w:noProof/>
          </w:rPr>
          <w:t>Circumstances where an inquiry should not be undertaken</w:t>
        </w:r>
        <w:r w:rsidR="00630DB3">
          <w:rPr>
            <w:noProof/>
            <w:webHidden/>
          </w:rPr>
          <w:tab/>
        </w:r>
        <w:r>
          <w:rPr>
            <w:noProof/>
            <w:webHidden/>
          </w:rPr>
          <w:fldChar w:fldCharType="begin"/>
        </w:r>
        <w:r w:rsidR="00630DB3">
          <w:rPr>
            <w:noProof/>
            <w:webHidden/>
          </w:rPr>
          <w:instrText xml:space="preserve"> PAGEREF _Toc332363530 \h </w:instrText>
        </w:r>
        <w:r>
          <w:rPr>
            <w:noProof/>
            <w:webHidden/>
          </w:rPr>
        </w:r>
        <w:r>
          <w:rPr>
            <w:noProof/>
            <w:webHidden/>
          </w:rPr>
          <w:fldChar w:fldCharType="separate"/>
        </w:r>
        <w:r w:rsidR="00630DB3">
          <w:rPr>
            <w:noProof/>
            <w:webHidden/>
          </w:rPr>
          <w:t>14</w:t>
        </w:r>
        <w:r>
          <w:rPr>
            <w:noProof/>
            <w:webHidden/>
          </w:rPr>
          <w:fldChar w:fldCharType="end"/>
        </w:r>
      </w:hyperlink>
    </w:p>
    <w:p w:rsidR="00630DB3" w:rsidRDefault="00CF79EA">
      <w:pPr>
        <w:pStyle w:val="TOC3"/>
        <w:tabs>
          <w:tab w:val="left" w:pos="960"/>
        </w:tabs>
        <w:rPr>
          <w:rFonts w:asciiTheme="minorHAnsi" w:eastAsiaTheme="minorEastAsia" w:hAnsiTheme="minorHAnsi" w:cstheme="minorBidi"/>
          <w:noProof/>
          <w:sz w:val="22"/>
          <w:szCs w:val="22"/>
        </w:rPr>
      </w:pPr>
      <w:hyperlink w:anchor="_Toc332363531" w:history="1">
        <w:r w:rsidR="00630DB3" w:rsidRPr="00D169AC">
          <w:rPr>
            <w:rStyle w:val="Hyperlink"/>
            <w:noProof/>
          </w:rPr>
          <w:t>4.2</w:t>
        </w:r>
        <w:r w:rsidR="00630DB3">
          <w:rPr>
            <w:rFonts w:asciiTheme="minorHAnsi" w:eastAsiaTheme="minorEastAsia" w:hAnsiTheme="minorHAnsi" w:cstheme="minorBidi"/>
            <w:noProof/>
            <w:sz w:val="22"/>
            <w:szCs w:val="22"/>
          </w:rPr>
          <w:tab/>
        </w:r>
        <w:r w:rsidR="00630DB3" w:rsidRPr="00D169AC">
          <w:rPr>
            <w:rStyle w:val="Hyperlink"/>
            <w:noProof/>
          </w:rPr>
          <w:t>The Inquiry Assessment Stage</w:t>
        </w:r>
        <w:r w:rsidR="00630DB3">
          <w:rPr>
            <w:noProof/>
            <w:webHidden/>
          </w:rPr>
          <w:tab/>
        </w:r>
        <w:r>
          <w:rPr>
            <w:noProof/>
            <w:webHidden/>
          </w:rPr>
          <w:fldChar w:fldCharType="begin"/>
        </w:r>
        <w:r w:rsidR="00630DB3">
          <w:rPr>
            <w:noProof/>
            <w:webHidden/>
          </w:rPr>
          <w:instrText xml:space="preserve"> PAGEREF _Toc332363531 \h </w:instrText>
        </w:r>
        <w:r>
          <w:rPr>
            <w:noProof/>
            <w:webHidden/>
          </w:rPr>
        </w:r>
        <w:r>
          <w:rPr>
            <w:noProof/>
            <w:webHidden/>
          </w:rPr>
          <w:fldChar w:fldCharType="separate"/>
        </w:r>
        <w:r w:rsidR="00630DB3">
          <w:rPr>
            <w:noProof/>
            <w:webHidden/>
          </w:rPr>
          <w:t>14</w:t>
        </w:r>
        <w:r>
          <w:rPr>
            <w:noProof/>
            <w:webHidden/>
          </w:rPr>
          <w:fldChar w:fldCharType="end"/>
        </w:r>
      </w:hyperlink>
    </w:p>
    <w:p w:rsidR="00630DB3" w:rsidRDefault="00CF79EA">
      <w:pPr>
        <w:pStyle w:val="TOC4"/>
        <w:tabs>
          <w:tab w:val="left" w:pos="1540"/>
        </w:tabs>
        <w:rPr>
          <w:rFonts w:asciiTheme="minorHAnsi" w:eastAsiaTheme="minorEastAsia" w:hAnsiTheme="minorHAnsi" w:cstheme="minorBidi"/>
          <w:noProof/>
          <w:sz w:val="22"/>
          <w:szCs w:val="22"/>
        </w:rPr>
      </w:pPr>
      <w:hyperlink w:anchor="_Toc332363532" w:history="1">
        <w:r w:rsidR="00630DB3" w:rsidRPr="00D169AC">
          <w:rPr>
            <w:rStyle w:val="Hyperlink"/>
            <w:noProof/>
          </w:rPr>
          <w:t>4.2.1</w:t>
        </w:r>
        <w:r w:rsidR="00630DB3">
          <w:rPr>
            <w:rFonts w:asciiTheme="minorHAnsi" w:eastAsiaTheme="minorEastAsia" w:hAnsiTheme="minorHAnsi" w:cstheme="minorBidi"/>
            <w:noProof/>
            <w:sz w:val="22"/>
            <w:szCs w:val="22"/>
          </w:rPr>
          <w:tab/>
        </w:r>
        <w:r w:rsidR="00630DB3" w:rsidRPr="00D169AC">
          <w:rPr>
            <w:rStyle w:val="Hyperlink"/>
            <w:noProof/>
          </w:rPr>
          <w:t>Commencement of inquiry</w:t>
        </w:r>
        <w:r w:rsidR="00630DB3">
          <w:rPr>
            <w:noProof/>
            <w:webHidden/>
          </w:rPr>
          <w:tab/>
        </w:r>
        <w:r>
          <w:rPr>
            <w:noProof/>
            <w:webHidden/>
          </w:rPr>
          <w:fldChar w:fldCharType="begin"/>
        </w:r>
        <w:r w:rsidR="00630DB3">
          <w:rPr>
            <w:noProof/>
            <w:webHidden/>
          </w:rPr>
          <w:instrText xml:space="preserve"> PAGEREF _Toc332363532 \h </w:instrText>
        </w:r>
        <w:r>
          <w:rPr>
            <w:noProof/>
            <w:webHidden/>
          </w:rPr>
        </w:r>
        <w:r>
          <w:rPr>
            <w:noProof/>
            <w:webHidden/>
          </w:rPr>
          <w:fldChar w:fldCharType="separate"/>
        </w:r>
        <w:r w:rsidR="00630DB3">
          <w:rPr>
            <w:noProof/>
            <w:webHidden/>
          </w:rPr>
          <w:t>14</w:t>
        </w:r>
        <w:r>
          <w:rPr>
            <w:noProof/>
            <w:webHidden/>
          </w:rPr>
          <w:fldChar w:fldCharType="end"/>
        </w:r>
      </w:hyperlink>
    </w:p>
    <w:p w:rsidR="00630DB3" w:rsidRDefault="00CF79EA">
      <w:pPr>
        <w:pStyle w:val="TOC4"/>
        <w:tabs>
          <w:tab w:val="left" w:pos="1540"/>
        </w:tabs>
        <w:rPr>
          <w:rFonts w:asciiTheme="minorHAnsi" w:eastAsiaTheme="minorEastAsia" w:hAnsiTheme="minorHAnsi" w:cstheme="minorBidi"/>
          <w:noProof/>
          <w:sz w:val="22"/>
          <w:szCs w:val="22"/>
        </w:rPr>
      </w:pPr>
      <w:hyperlink w:anchor="_Toc332363533" w:history="1">
        <w:r w:rsidR="00630DB3" w:rsidRPr="00D169AC">
          <w:rPr>
            <w:rStyle w:val="Hyperlink"/>
            <w:noProof/>
          </w:rPr>
          <w:t>4.2.2</w:t>
        </w:r>
        <w:r w:rsidR="00630DB3">
          <w:rPr>
            <w:rFonts w:asciiTheme="minorHAnsi" w:eastAsiaTheme="minorEastAsia" w:hAnsiTheme="minorHAnsi" w:cstheme="minorBidi"/>
            <w:noProof/>
            <w:sz w:val="22"/>
            <w:szCs w:val="22"/>
          </w:rPr>
          <w:tab/>
        </w:r>
        <w:r w:rsidR="00630DB3" w:rsidRPr="00D169AC">
          <w:rPr>
            <w:rStyle w:val="Hyperlink"/>
            <w:noProof/>
          </w:rPr>
          <w:t>The case management meeting</w:t>
        </w:r>
        <w:r w:rsidR="00630DB3">
          <w:rPr>
            <w:noProof/>
            <w:webHidden/>
          </w:rPr>
          <w:tab/>
        </w:r>
        <w:r>
          <w:rPr>
            <w:noProof/>
            <w:webHidden/>
          </w:rPr>
          <w:fldChar w:fldCharType="begin"/>
        </w:r>
        <w:r w:rsidR="00630DB3">
          <w:rPr>
            <w:noProof/>
            <w:webHidden/>
          </w:rPr>
          <w:instrText xml:space="preserve"> PAGEREF _Toc332363533 \h </w:instrText>
        </w:r>
        <w:r>
          <w:rPr>
            <w:noProof/>
            <w:webHidden/>
          </w:rPr>
        </w:r>
        <w:r>
          <w:rPr>
            <w:noProof/>
            <w:webHidden/>
          </w:rPr>
          <w:fldChar w:fldCharType="separate"/>
        </w:r>
        <w:r w:rsidR="00630DB3">
          <w:rPr>
            <w:noProof/>
            <w:webHidden/>
          </w:rPr>
          <w:t>14</w:t>
        </w:r>
        <w:r>
          <w:rPr>
            <w:noProof/>
            <w:webHidden/>
          </w:rPr>
          <w:fldChar w:fldCharType="end"/>
        </w:r>
      </w:hyperlink>
    </w:p>
    <w:p w:rsidR="00630DB3" w:rsidRDefault="00CF79EA">
      <w:pPr>
        <w:pStyle w:val="TOC4"/>
        <w:tabs>
          <w:tab w:val="left" w:pos="1540"/>
        </w:tabs>
        <w:rPr>
          <w:rFonts w:asciiTheme="minorHAnsi" w:eastAsiaTheme="minorEastAsia" w:hAnsiTheme="minorHAnsi" w:cstheme="minorBidi"/>
          <w:noProof/>
          <w:sz w:val="22"/>
          <w:szCs w:val="22"/>
        </w:rPr>
      </w:pPr>
      <w:hyperlink w:anchor="_Toc332363534" w:history="1">
        <w:r w:rsidR="00630DB3" w:rsidRPr="00D169AC">
          <w:rPr>
            <w:rStyle w:val="Hyperlink"/>
            <w:noProof/>
          </w:rPr>
          <w:t>4.2.3</w:t>
        </w:r>
        <w:r w:rsidR="00630DB3">
          <w:rPr>
            <w:rFonts w:asciiTheme="minorHAnsi" w:eastAsiaTheme="minorEastAsia" w:hAnsiTheme="minorHAnsi" w:cstheme="minorBidi"/>
            <w:noProof/>
            <w:sz w:val="22"/>
            <w:szCs w:val="22"/>
          </w:rPr>
          <w:tab/>
        </w:r>
        <w:r w:rsidR="00630DB3" w:rsidRPr="00D169AC">
          <w:rPr>
            <w:rStyle w:val="Hyperlink"/>
            <w:noProof/>
          </w:rPr>
          <w:t>ACCC issues paper</w:t>
        </w:r>
        <w:r w:rsidR="00630DB3">
          <w:rPr>
            <w:noProof/>
            <w:webHidden/>
          </w:rPr>
          <w:tab/>
        </w:r>
        <w:r>
          <w:rPr>
            <w:noProof/>
            <w:webHidden/>
          </w:rPr>
          <w:fldChar w:fldCharType="begin"/>
        </w:r>
        <w:r w:rsidR="00630DB3">
          <w:rPr>
            <w:noProof/>
            <w:webHidden/>
          </w:rPr>
          <w:instrText xml:space="preserve"> PAGEREF _Toc332363534 \h </w:instrText>
        </w:r>
        <w:r>
          <w:rPr>
            <w:noProof/>
            <w:webHidden/>
          </w:rPr>
        </w:r>
        <w:r>
          <w:rPr>
            <w:noProof/>
            <w:webHidden/>
          </w:rPr>
          <w:fldChar w:fldCharType="separate"/>
        </w:r>
        <w:r w:rsidR="00630DB3">
          <w:rPr>
            <w:noProof/>
            <w:webHidden/>
          </w:rPr>
          <w:t>15</w:t>
        </w:r>
        <w:r>
          <w:rPr>
            <w:noProof/>
            <w:webHidden/>
          </w:rPr>
          <w:fldChar w:fldCharType="end"/>
        </w:r>
      </w:hyperlink>
    </w:p>
    <w:p w:rsidR="00630DB3" w:rsidRDefault="00CF79EA">
      <w:pPr>
        <w:pStyle w:val="TOC4"/>
        <w:tabs>
          <w:tab w:val="left" w:pos="1540"/>
        </w:tabs>
        <w:rPr>
          <w:rFonts w:asciiTheme="minorHAnsi" w:eastAsiaTheme="minorEastAsia" w:hAnsiTheme="minorHAnsi" w:cstheme="minorBidi"/>
          <w:noProof/>
          <w:sz w:val="22"/>
          <w:szCs w:val="22"/>
        </w:rPr>
      </w:pPr>
      <w:hyperlink w:anchor="_Toc332363535" w:history="1">
        <w:r w:rsidR="00630DB3" w:rsidRPr="00D169AC">
          <w:rPr>
            <w:rStyle w:val="Hyperlink"/>
            <w:noProof/>
          </w:rPr>
          <w:t>4.2.4</w:t>
        </w:r>
        <w:r w:rsidR="00630DB3">
          <w:rPr>
            <w:rFonts w:asciiTheme="minorHAnsi" w:eastAsiaTheme="minorEastAsia" w:hAnsiTheme="minorHAnsi" w:cstheme="minorBidi"/>
            <w:noProof/>
            <w:sz w:val="22"/>
            <w:szCs w:val="22"/>
          </w:rPr>
          <w:tab/>
        </w:r>
        <w:r w:rsidR="00630DB3" w:rsidRPr="00D169AC">
          <w:rPr>
            <w:rStyle w:val="Hyperlink"/>
            <w:noProof/>
          </w:rPr>
          <w:t>Information gathering – submissions, information notices, and information provided under Part VIIA of the CCA</w:t>
        </w:r>
        <w:r w:rsidR="00630DB3">
          <w:rPr>
            <w:noProof/>
            <w:webHidden/>
          </w:rPr>
          <w:tab/>
        </w:r>
        <w:r>
          <w:rPr>
            <w:noProof/>
            <w:webHidden/>
          </w:rPr>
          <w:fldChar w:fldCharType="begin"/>
        </w:r>
        <w:r w:rsidR="00630DB3">
          <w:rPr>
            <w:noProof/>
            <w:webHidden/>
          </w:rPr>
          <w:instrText xml:space="preserve"> PAGEREF _Toc332363535 \h </w:instrText>
        </w:r>
        <w:r>
          <w:rPr>
            <w:noProof/>
            <w:webHidden/>
          </w:rPr>
        </w:r>
        <w:r>
          <w:rPr>
            <w:noProof/>
            <w:webHidden/>
          </w:rPr>
          <w:fldChar w:fldCharType="separate"/>
        </w:r>
        <w:r w:rsidR="00630DB3">
          <w:rPr>
            <w:noProof/>
            <w:webHidden/>
          </w:rPr>
          <w:t>16</w:t>
        </w:r>
        <w:r>
          <w:rPr>
            <w:noProof/>
            <w:webHidden/>
          </w:rPr>
          <w:fldChar w:fldCharType="end"/>
        </w:r>
      </w:hyperlink>
    </w:p>
    <w:p w:rsidR="00630DB3" w:rsidRDefault="00CF79EA">
      <w:pPr>
        <w:pStyle w:val="TOC4"/>
        <w:tabs>
          <w:tab w:val="left" w:pos="1540"/>
        </w:tabs>
        <w:rPr>
          <w:rFonts w:asciiTheme="minorHAnsi" w:eastAsiaTheme="minorEastAsia" w:hAnsiTheme="minorHAnsi" w:cstheme="minorBidi"/>
          <w:noProof/>
          <w:sz w:val="22"/>
          <w:szCs w:val="22"/>
        </w:rPr>
      </w:pPr>
      <w:hyperlink w:anchor="_Toc332363536" w:history="1">
        <w:r w:rsidR="00630DB3" w:rsidRPr="00D169AC">
          <w:rPr>
            <w:rStyle w:val="Hyperlink"/>
            <w:noProof/>
          </w:rPr>
          <w:t>4.2.5</w:t>
        </w:r>
        <w:r w:rsidR="00630DB3">
          <w:rPr>
            <w:rFonts w:asciiTheme="minorHAnsi" w:eastAsiaTheme="minorEastAsia" w:hAnsiTheme="minorHAnsi" w:cstheme="minorBidi"/>
            <w:noProof/>
            <w:sz w:val="22"/>
            <w:szCs w:val="22"/>
          </w:rPr>
          <w:tab/>
        </w:r>
        <w:r w:rsidR="00630DB3" w:rsidRPr="00D169AC">
          <w:rPr>
            <w:rStyle w:val="Hyperlink"/>
            <w:noProof/>
          </w:rPr>
          <w:t>Alternative access pricing methodologies</w:t>
        </w:r>
        <w:r w:rsidR="00630DB3">
          <w:rPr>
            <w:noProof/>
            <w:webHidden/>
          </w:rPr>
          <w:tab/>
        </w:r>
        <w:r>
          <w:rPr>
            <w:noProof/>
            <w:webHidden/>
          </w:rPr>
          <w:fldChar w:fldCharType="begin"/>
        </w:r>
        <w:r w:rsidR="00630DB3">
          <w:rPr>
            <w:noProof/>
            <w:webHidden/>
          </w:rPr>
          <w:instrText xml:space="preserve"> PAGEREF _Toc332363536 \h </w:instrText>
        </w:r>
        <w:r>
          <w:rPr>
            <w:noProof/>
            <w:webHidden/>
          </w:rPr>
        </w:r>
        <w:r>
          <w:rPr>
            <w:noProof/>
            <w:webHidden/>
          </w:rPr>
          <w:fldChar w:fldCharType="separate"/>
        </w:r>
        <w:r w:rsidR="00630DB3">
          <w:rPr>
            <w:noProof/>
            <w:webHidden/>
          </w:rPr>
          <w:t>18</w:t>
        </w:r>
        <w:r>
          <w:rPr>
            <w:noProof/>
            <w:webHidden/>
          </w:rPr>
          <w:fldChar w:fldCharType="end"/>
        </w:r>
      </w:hyperlink>
    </w:p>
    <w:p w:rsidR="00630DB3" w:rsidRDefault="00CF79EA">
      <w:pPr>
        <w:pStyle w:val="TOC4"/>
        <w:tabs>
          <w:tab w:val="left" w:pos="1540"/>
        </w:tabs>
        <w:rPr>
          <w:rFonts w:asciiTheme="minorHAnsi" w:eastAsiaTheme="minorEastAsia" w:hAnsiTheme="minorHAnsi" w:cstheme="minorBidi"/>
          <w:noProof/>
          <w:sz w:val="22"/>
          <w:szCs w:val="22"/>
        </w:rPr>
      </w:pPr>
      <w:hyperlink w:anchor="_Toc332363537" w:history="1">
        <w:r w:rsidR="00630DB3" w:rsidRPr="00D169AC">
          <w:rPr>
            <w:rStyle w:val="Hyperlink"/>
            <w:noProof/>
          </w:rPr>
          <w:t>4.2.6</w:t>
        </w:r>
        <w:r w:rsidR="00630DB3">
          <w:rPr>
            <w:rFonts w:asciiTheme="minorHAnsi" w:eastAsiaTheme="minorEastAsia" w:hAnsiTheme="minorHAnsi" w:cstheme="minorBidi"/>
            <w:noProof/>
            <w:sz w:val="22"/>
            <w:szCs w:val="22"/>
          </w:rPr>
          <w:tab/>
        </w:r>
        <w:r w:rsidR="00630DB3" w:rsidRPr="00D169AC">
          <w:rPr>
            <w:rStyle w:val="Hyperlink"/>
            <w:noProof/>
          </w:rPr>
          <w:t>Possible Conference with the Commissioner(s)</w:t>
        </w:r>
        <w:r w:rsidR="00630DB3">
          <w:rPr>
            <w:noProof/>
            <w:webHidden/>
          </w:rPr>
          <w:tab/>
        </w:r>
        <w:r>
          <w:rPr>
            <w:noProof/>
            <w:webHidden/>
          </w:rPr>
          <w:fldChar w:fldCharType="begin"/>
        </w:r>
        <w:r w:rsidR="00630DB3">
          <w:rPr>
            <w:noProof/>
            <w:webHidden/>
          </w:rPr>
          <w:instrText xml:space="preserve"> PAGEREF _Toc332363537 \h </w:instrText>
        </w:r>
        <w:r>
          <w:rPr>
            <w:noProof/>
            <w:webHidden/>
          </w:rPr>
        </w:r>
        <w:r>
          <w:rPr>
            <w:noProof/>
            <w:webHidden/>
          </w:rPr>
          <w:fldChar w:fldCharType="separate"/>
        </w:r>
        <w:r w:rsidR="00630DB3">
          <w:rPr>
            <w:noProof/>
            <w:webHidden/>
          </w:rPr>
          <w:t>19</w:t>
        </w:r>
        <w:r>
          <w:rPr>
            <w:noProof/>
            <w:webHidden/>
          </w:rPr>
          <w:fldChar w:fldCharType="end"/>
        </w:r>
      </w:hyperlink>
    </w:p>
    <w:p w:rsidR="00630DB3" w:rsidRDefault="00CF79EA">
      <w:pPr>
        <w:pStyle w:val="TOC3"/>
        <w:tabs>
          <w:tab w:val="left" w:pos="960"/>
        </w:tabs>
        <w:rPr>
          <w:rFonts w:asciiTheme="minorHAnsi" w:eastAsiaTheme="minorEastAsia" w:hAnsiTheme="minorHAnsi" w:cstheme="minorBidi"/>
          <w:noProof/>
          <w:sz w:val="22"/>
          <w:szCs w:val="22"/>
        </w:rPr>
      </w:pPr>
      <w:hyperlink w:anchor="_Toc332363538" w:history="1">
        <w:r w:rsidR="00630DB3" w:rsidRPr="00D169AC">
          <w:rPr>
            <w:rStyle w:val="Hyperlink"/>
            <w:noProof/>
          </w:rPr>
          <w:t>4.3</w:t>
        </w:r>
        <w:r w:rsidR="00630DB3">
          <w:rPr>
            <w:rFonts w:asciiTheme="minorHAnsi" w:eastAsiaTheme="minorEastAsia" w:hAnsiTheme="minorHAnsi" w:cstheme="minorBidi"/>
            <w:noProof/>
            <w:sz w:val="22"/>
            <w:szCs w:val="22"/>
          </w:rPr>
          <w:tab/>
        </w:r>
        <w:r w:rsidR="00630DB3" w:rsidRPr="00D169AC">
          <w:rPr>
            <w:rStyle w:val="Hyperlink"/>
            <w:noProof/>
          </w:rPr>
          <w:t>ACCC recommendation</w:t>
        </w:r>
        <w:r w:rsidR="00630DB3">
          <w:rPr>
            <w:noProof/>
            <w:webHidden/>
          </w:rPr>
          <w:tab/>
        </w:r>
        <w:r>
          <w:rPr>
            <w:noProof/>
            <w:webHidden/>
          </w:rPr>
          <w:fldChar w:fldCharType="begin"/>
        </w:r>
        <w:r w:rsidR="00630DB3">
          <w:rPr>
            <w:noProof/>
            <w:webHidden/>
          </w:rPr>
          <w:instrText xml:space="preserve"> PAGEREF _Toc332363538 \h </w:instrText>
        </w:r>
        <w:r>
          <w:rPr>
            <w:noProof/>
            <w:webHidden/>
          </w:rPr>
        </w:r>
        <w:r>
          <w:rPr>
            <w:noProof/>
            <w:webHidden/>
          </w:rPr>
          <w:fldChar w:fldCharType="separate"/>
        </w:r>
        <w:r w:rsidR="00630DB3">
          <w:rPr>
            <w:noProof/>
            <w:webHidden/>
          </w:rPr>
          <w:t>20</w:t>
        </w:r>
        <w:r>
          <w:rPr>
            <w:noProof/>
            <w:webHidden/>
          </w:rPr>
          <w:fldChar w:fldCharType="end"/>
        </w:r>
      </w:hyperlink>
    </w:p>
    <w:p w:rsidR="00630DB3" w:rsidRDefault="00CF79EA">
      <w:pPr>
        <w:pStyle w:val="TOC2"/>
        <w:tabs>
          <w:tab w:val="left" w:pos="360"/>
        </w:tabs>
        <w:rPr>
          <w:rFonts w:asciiTheme="minorHAnsi" w:eastAsiaTheme="minorEastAsia" w:hAnsiTheme="minorHAnsi" w:cstheme="minorBidi"/>
          <w:noProof/>
          <w:sz w:val="22"/>
          <w:szCs w:val="22"/>
        </w:rPr>
      </w:pPr>
      <w:hyperlink w:anchor="_Toc332363539" w:history="1">
        <w:r w:rsidR="00630DB3" w:rsidRPr="00D169AC">
          <w:rPr>
            <w:rStyle w:val="Hyperlink"/>
            <w:noProof/>
          </w:rPr>
          <w:t>5</w:t>
        </w:r>
        <w:r w:rsidR="00630DB3">
          <w:rPr>
            <w:rFonts w:asciiTheme="minorHAnsi" w:eastAsiaTheme="minorEastAsia" w:hAnsiTheme="minorHAnsi" w:cstheme="minorBidi"/>
            <w:noProof/>
            <w:sz w:val="22"/>
            <w:szCs w:val="22"/>
          </w:rPr>
          <w:tab/>
        </w:r>
        <w:r w:rsidR="00630DB3" w:rsidRPr="00D169AC">
          <w:rPr>
            <w:rStyle w:val="Hyperlink"/>
            <w:noProof/>
          </w:rPr>
          <w:t>Ministerial consideration of reports and recommendations</w:t>
        </w:r>
        <w:r w:rsidR="00630DB3">
          <w:rPr>
            <w:noProof/>
            <w:webHidden/>
          </w:rPr>
          <w:tab/>
        </w:r>
        <w:r>
          <w:rPr>
            <w:noProof/>
            <w:webHidden/>
          </w:rPr>
          <w:fldChar w:fldCharType="begin"/>
        </w:r>
        <w:r w:rsidR="00630DB3">
          <w:rPr>
            <w:noProof/>
            <w:webHidden/>
          </w:rPr>
          <w:instrText xml:space="preserve"> PAGEREF _Toc332363539 \h </w:instrText>
        </w:r>
        <w:r>
          <w:rPr>
            <w:noProof/>
            <w:webHidden/>
          </w:rPr>
        </w:r>
        <w:r>
          <w:rPr>
            <w:noProof/>
            <w:webHidden/>
          </w:rPr>
          <w:fldChar w:fldCharType="separate"/>
        </w:r>
        <w:r w:rsidR="00630DB3">
          <w:rPr>
            <w:noProof/>
            <w:webHidden/>
          </w:rPr>
          <w:t>23</w:t>
        </w:r>
        <w:r>
          <w:rPr>
            <w:noProof/>
            <w:webHidden/>
          </w:rPr>
          <w:fldChar w:fldCharType="end"/>
        </w:r>
      </w:hyperlink>
    </w:p>
    <w:p w:rsidR="00630DB3" w:rsidRDefault="00CF79EA">
      <w:pPr>
        <w:pStyle w:val="TOC3"/>
        <w:tabs>
          <w:tab w:val="left" w:pos="960"/>
        </w:tabs>
        <w:rPr>
          <w:rFonts w:asciiTheme="minorHAnsi" w:eastAsiaTheme="minorEastAsia" w:hAnsiTheme="minorHAnsi" w:cstheme="minorBidi"/>
          <w:noProof/>
          <w:sz w:val="22"/>
          <w:szCs w:val="22"/>
        </w:rPr>
      </w:pPr>
      <w:hyperlink w:anchor="_Toc332363540" w:history="1">
        <w:r w:rsidR="00630DB3" w:rsidRPr="00D169AC">
          <w:rPr>
            <w:rStyle w:val="Hyperlink"/>
            <w:noProof/>
          </w:rPr>
          <w:t>5.1</w:t>
        </w:r>
        <w:r w:rsidR="00630DB3">
          <w:rPr>
            <w:rFonts w:asciiTheme="minorHAnsi" w:eastAsiaTheme="minorEastAsia" w:hAnsiTheme="minorHAnsi" w:cstheme="minorBidi"/>
            <w:noProof/>
            <w:sz w:val="22"/>
            <w:szCs w:val="22"/>
          </w:rPr>
          <w:tab/>
        </w:r>
        <w:r w:rsidR="00630DB3" w:rsidRPr="00D169AC">
          <w:rPr>
            <w:rStyle w:val="Hyperlink"/>
            <w:noProof/>
          </w:rPr>
          <w:t>Ministerial consideration of ACCC report</w:t>
        </w:r>
        <w:r w:rsidR="00630DB3">
          <w:rPr>
            <w:noProof/>
            <w:webHidden/>
          </w:rPr>
          <w:tab/>
        </w:r>
        <w:r>
          <w:rPr>
            <w:noProof/>
            <w:webHidden/>
          </w:rPr>
          <w:fldChar w:fldCharType="begin"/>
        </w:r>
        <w:r w:rsidR="00630DB3">
          <w:rPr>
            <w:noProof/>
            <w:webHidden/>
          </w:rPr>
          <w:instrText xml:space="preserve"> PAGEREF _Toc332363540 \h </w:instrText>
        </w:r>
        <w:r>
          <w:rPr>
            <w:noProof/>
            <w:webHidden/>
          </w:rPr>
        </w:r>
        <w:r>
          <w:rPr>
            <w:noProof/>
            <w:webHidden/>
          </w:rPr>
          <w:fldChar w:fldCharType="separate"/>
        </w:r>
        <w:r w:rsidR="00630DB3">
          <w:rPr>
            <w:noProof/>
            <w:webHidden/>
          </w:rPr>
          <w:t>23</w:t>
        </w:r>
        <w:r>
          <w:rPr>
            <w:noProof/>
            <w:webHidden/>
          </w:rPr>
          <w:fldChar w:fldCharType="end"/>
        </w:r>
      </w:hyperlink>
    </w:p>
    <w:p w:rsidR="00630DB3" w:rsidRDefault="00CF79EA">
      <w:pPr>
        <w:pStyle w:val="TOC3"/>
        <w:tabs>
          <w:tab w:val="left" w:pos="960"/>
        </w:tabs>
        <w:rPr>
          <w:rFonts w:asciiTheme="minorHAnsi" w:eastAsiaTheme="minorEastAsia" w:hAnsiTheme="minorHAnsi" w:cstheme="minorBidi"/>
          <w:noProof/>
          <w:sz w:val="22"/>
          <w:szCs w:val="22"/>
        </w:rPr>
      </w:pPr>
      <w:hyperlink w:anchor="_Toc332363541" w:history="1">
        <w:r w:rsidR="00630DB3" w:rsidRPr="00D169AC">
          <w:rPr>
            <w:rStyle w:val="Hyperlink"/>
            <w:noProof/>
          </w:rPr>
          <w:t>5.2</w:t>
        </w:r>
        <w:r w:rsidR="00630DB3">
          <w:rPr>
            <w:rFonts w:asciiTheme="minorHAnsi" w:eastAsiaTheme="minorEastAsia" w:hAnsiTheme="minorHAnsi" w:cstheme="minorBidi"/>
            <w:noProof/>
            <w:sz w:val="22"/>
            <w:szCs w:val="22"/>
          </w:rPr>
          <w:tab/>
        </w:r>
        <w:r w:rsidR="00630DB3" w:rsidRPr="00D169AC">
          <w:rPr>
            <w:rStyle w:val="Hyperlink"/>
            <w:noProof/>
          </w:rPr>
          <w:t>Ministerial Notification</w:t>
        </w:r>
        <w:r w:rsidR="00630DB3">
          <w:rPr>
            <w:noProof/>
            <w:webHidden/>
          </w:rPr>
          <w:tab/>
        </w:r>
        <w:r>
          <w:rPr>
            <w:noProof/>
            <w:webHidden/>
          </w:rPr>
          <w:fldChar w:fldCharType="begin"/>
        </w:r>
        <w:r w:rsidR="00630DB3">
          <w:rPr>
            <w:noProof/>
            <w:webHidden/>
          </w:rPr>
          <w:instrText xml:space="preserve"> PAGEREF _Toc332363541 \h </w:instrText>
        </w:r>
        <w:r>
          <w:rPr>
            <w:noProof/>
            <w:webHidden/>
          </w:rPr>
        </w:r>
        <w:r>
          <w:rPr>
            <w:noProof/>
            <w:webHidden/>
          </w:rPr>
          <w:fldChar w:fldCharType="separate"/>
        </w:r>
        <w:r w:rsidR="00630DB3">
          <w:rPr>
            <w:noProof/>
            <w:webHidden/>
          </w:rPr>
          <w:t>23</w:t>
        </w:r>
        <w:r>
          <w:rPr>
            <w:noProof/>
            <w:webHidden/>
          </w:rPr>
          <w:fldChar w:fldCharType="end"/>
        </w:r>
      </w:hyperlink>
    </w:p>
    <w:p w:rsidR="00630DB3" w:rsidRDefault="00CF79EA">
      <w:pPr>
        <w:pStyle w:val="TOC2"/>
        <w:tabs>
          <w:tab w:val="left" w:pos="360"/>
        </w:tabs>
        <w:rPr>
          <w:rFonts w:asciiTheme="minorHAnsi" w:eastAsiaTheme="minorEastAsia" w:hAnsiTheme="minorHAnsi" w:cstheme="minorBidi"/>
          <w:noProof/>
          <w:sz w:val="22"/>
          <w:szCs w:val="22"/>
        </w:rPr>
      </w:pPr>
      <w:hyperlink w:anchor="_Toc332363542" w:history="1">
        <w:r w:rsidR="00630DB3" w:rsidRPr="00D169AC">
          <w:rPr>
            <w:rStyle w:val="Hyperlink"/>
            <w:noProof/>
          </w:rPr>
          <w:t>6</w:t>
        </w:r>
        <w:r w:rsidR="00630DB3">
          <w:rPr>
            <w:rFonts w:asciiTheme="minorHAnsi" w:eastAsiaTheme="minorEastAsia" w:hAnsiTheme="minorHAnsi" w:cstheme="minorBidi"/>
            <w:noProof/>
            <w:sz w:val="22"/>
            <w:szCs w:val="22"/>
          </w:rPr>
          <w:tab/>
        </w:r>
        <w:r w:rsidR="00630DB3" w:rsidRPr="00D169AC">
          <w:rPr>
            <w:rStyle w:val="Hyperlink"/>
            <w:noProof/>
          </w:rPr>
          <w:t>Termination of an inquiry</w:t>
        </w:r>
        <w:r w:rsidR="00630DB3">
          <w:rPr>
            <w:noProof/>
            <w:webHidden/>
          </w:rPr>
          <w:tab/>
        </w:r>
        <w:r>
          <w:rPr>
            <w:noProof/>
            <w:webHidden/>
          </w:rPr>
          <w:fldChar w:fldCharType="begin"/>
        </w:r>
        <w:r w:rsidR="00630DB3">
          <w:rPr>
            <w:noProof/>
            <w:webHidden/>
          </w:rPr>
          <w:instrText xml:space="preserve"> PAGEREF _Toc332363542 \h </w:instrText>
        </w:r>
        <w:r>
          <w:rPr>
            <w:noProof/>
            <w:webHidden/>
          </w:rPr>
        </w:r>
        <w:r>
          <w:rPr>
            <w:noProof/>
            <w:webHidden/>
          </w:rPr>
          <w:fldChar w:fldCharType="separate"/>
        </w:r>
        <w:r w:rsidR="00630DB3">
          <w:rPr>
            <w:noProof/>
            <w:webHidden/>
          </w:rPr>
          <w:t>24</w:t>
        </w:r>
        <w:r>
          <w:rPr>
            <w:noProof/>
            <w:webHidden/>
          </w:rPr>
          <w:fldChar w:fldCharType="end"/>
        </w:r>
      </w:hyperlink>
    </w:p>
    <w:p w:rsidR="00630DB3" w:rsidRDefault="00CF79EA">
      <w:pPr>
        <w:pStyle w:val="TOC3"/>
        <w:tabs>
          <w:tab w:val="left" w:pos="960"/>
        </w:tabs>
        <w:rPr>
          <w:rFonts w:asciiTheme="minorHAnsi" w:eastAsiaTheme="minorEastAsia" w:hAnsiTheme="minorHAnsi" w:cstheme="minorBidi"/>
          <w:noProof/>
          <w:sz w:val="22"/>
          <w:szCs w:val="22"/>
        </w:rPr>
      </w:pPr>
      <w:hyperlink w:anchor="_Toc332363543" w:history="1">
        <w:r w:rsidR="00630DB3" w:rsidRPr="00D169AC">
          <w:rPr>
            <w:rStyle w:val="Hyperlink"/>
            <w:noProof/>
          </w:rPr>
          <w:t>6.1</w:t>
        </w:r>
        <w:r w:rsidR="00630DB3">
          <w:rPr>
            <w:rFonts w:asciiTheme="minorHAnsi" w:eastAsiaTheme="minorEastAsia" w:hAnsiTheme="minorHAnsi" w:cstheme="minorBidi"/>
            <w:noProof/>
            <w:sz w:val="22"/>
            <w:szCs w:val="22"/>
          </w:rPr>
          <w:tab/>
        </w:r>
        <w:r w:rsidR="00630DB3" w:rsidRPr="00D169AC">
          <w:rPr>
            <w:rStyle w:val="Hyperlink"/>
            <w:noProof/>
          </w:rPr>
          <w:t>Withdrawal of notification of a dispute</w:t>
        </w:r>
        <w:r w:rsidR="00630DB3">
          <w:rPr>
            <w:noProof/>
            <w:webHidden/>
          </w:rPr>
          <w:tab/>
        </w:r>
        <w:r>
          <w:rPr>
            <w:noProof/>
            <w:webHidden/>
          </w:rPr>
          <w:fldChar w:fldCharType="begin"/>
        </w:r>
        <w:r w:rsidR="00630DB3">
          <w:rPr>
            <w:noProof/>
            <w:webHidden/>
          </w:rPr>
          <w:instrText xml:space="preserve"> PAGEREF _Toc332363543 \h </w:instrText>
        </w:r>
        <w:r>
          <w:rPr>
            <w:noProof/>
            <w:webHidden/>
          </w:rPr>
        </w:r>
        <w:r>
          <w:rPr>
            <w:noProof/>
            <w:webHidden/>
          </w:rPr>
          <w:fldChar w:fldCharType="separate"/>
        </w:r>
        <w:r w:rsidR="00630DB3">
          <w:rPr>
            <w:noProof/>
            <w:webHidden/>
          </w:rPr>
          <w:t>24</w:t>
        </w:r>
        <w:r>
          <w:rPr>
            <w:noProof/>
            <w:webHidden/>
          </w:rPr>
          <w:fldChar w:fldCharType="end"/>
        </w:r>
      </w:hyperlink>
    </w:p>
    <w:p w:rsidR="00630DB3" w:rsidRDefault="00CF79EA">
      <w:pPr>
        <w:pStyle w:val="TOC3"/>
        <w:tabs>
          <w:tab w:val="left" w:pos="960"/>
        </w:tabs>
        <w:rPr>
          <w:rFonts w:asciiTheme="minorHAnsi" w:eastAsiaTheme="minorEastAsia" w:hAnsiTheme="minorHAnsi" w:cstheme="minorBidi"/>
          <w:noProof/>
          <w:sz w:val="22"/>
          <w:szCs w:val="22"/>
        </w:rPr>
      </w:pPr>
      <w:hyperlink w:anchor="_Toc332363544" w:history="1">
        <w:r w:rsidR="00630DB3" w:rsidRPr="00D169AC">
          <w:rPr>
            <w:rStyle w:val="Hyperlink"/>
            <w:noProof/>
          </w:rPr>
          <w:t>6.2</w:t>
        </w:r>
        <w:r w:rsidR="00630DB3">
          <w:rPr>
            <w:rFonts w:asciiTheme="minorHAnsi" w:eastAsiaTheme="minorEastAsia" w:hAnsiTheme="minorHAnsi" w:cstheme="minorBidi"/>
            <w:noProof/>
            <w:sz w:val="22"/>
            <w:szCs w:val="22"/>
          </w:rPr>
          <w:tab/>
        </w:r>
        <w:r w:rsidR="00630DB3" w:rsidRPr="00D169AC">
          <w:rPr>
            <w:rStyle w:val="Hyperlink"/>
            <w:noProof/>
          </w:rPr>
          <w:t>Compromise of disputes</w:t>
        </w:r>
        <w:r w:rsidR="00630DB3">
          <w:rPr>
            <w:noProof/>
            <w:webHidden/>
          </w:rPr>
          <w:tab/>
        </w:r>
        <w:r>
          <w:rPr>
            <w:noProof/>
            <w:webHidden/>
          </w:rPr>
          <w:fldChar w:fldCharType="begin"/>
        </w:r>
        <w:r w:rsidR="00630DB3">
          <w:rPr>
            <w:noProof/>
            <w:webHidden/>
          </w:rPr>
          <w:instrText xml:space="preserve"> PAGEREF _Toc332363544 \h </w:instrText>
        </w:r>
        <w:r>
          <w:rPr>
            <w:noProof/>
            <w:webHidden/>
          </w:rPr>
        </w:r>
        <w:r>
          <w:rPr>
            <w:noProof/>
            <w:webHidden/>
          </w:rPr>
          <w:fldChar w:fldCharType="separate"/>
        </w:r>
        <w:r w:rsidR="00630DB3">
          <w:rPr>
            <w:noProof/>
            <w:webHidden/>
          </w:rPr>
          <w:t>24</w:t>
        </w:r>
        <w:r>
          <w:rPr>
            <w:noProof/>
            <w:webHidden/>
          </w:rPr>
          <w:fldChar w:fldCharType="end"/>
        </w:r>
      </w:hyperlink>
    </w:p>
    <w:p w:rsidR="00630DB3" w:rsidRDefault="00CF79EA">
      <w:pPr>
        <w:pStyle w:val="TOC3"/>
        <w:tabs>
          <w:tab w:val="left" w:pos="960"/>
        </w:tabs>
        <w:rPr>
          <w:rFonts w:asciiTheme="minorHAnsi" w:eastAsiaTheme="minorEastAsia" w:hAnsiTheme="minorHAnsi" w:cstheme="minorBidi"/>
          <w:noProof/>
          <w:sz w:val="22"/>
          <w:szCs w:val="22"/>
        </w:rPr>
      </w:pPr>
      <w:hyperlink w:anchor="_Toc332363545" w:history="1">
        <w:r w:rsidR="00630DB3" w:rsidRPr="00D169AC">
          <w:rPr>
            <w:rStyle w:val="Hyperlink"/>
            <w:noProof/>
          </w:rPr>
          <w:t>6.3</w:t>
        </w:r>
        <w:r w:rsidR="00630DB3">
          <w:rPr>
            <w:rFonts w:asciiTheme="minorHAnsi" w:eastAsiaTheme="minorEastAsia" w:hAnsiTheme="minorHAnsi" w:cstheme="minorBidi"/>
            <w:noProof/>
            <w:sz w:val="22"/>
            <w:szCs w:val="22"/>
          </w:rPr>
          <w:tab/>
        </w:r>
        <w:r w:rsidR="00630DB3" w:rsidRPr="00D169AC">
          <w:rPr>
            <w:rStyle w:val="Hyperlink"/>
            <w:noProof/>
          </w:rPr>
          <w:t>Discontinuing an inquiry</w:t>
        </w:r>
        <w:r w:rsidR="00630DB3">
          <w:rPr>
            <w:noProof/>
            <w:webHidden/>
          </w:rPr>
          <w:tab/>
        </w:r>
        <w:r>
          <w:rPr>
            <w:noProof/>
            <w:webHidden/>
          </w:rPr>
          <w:fldChar w:fldCharType="begin"/>
        </w:r>
        <w:r w:rsidR="00630DB3">
          <w:rPr>
            <w:noProof/>
            <w:webHidden/>
          </w:rPr>
          <w:instrText xml:space="preserve"> PAGEREF _Toc332363545 \h </w:instrText>
        </w:r>
        <w:r>
          <w:rPr>
            <w:noProof/>
            <w:webHidden/>
          </w:rPr>
        </w:r>
        <w:r>
          <w:rPr>
            <w:noProof/>
            <w:webHidden/>
          </w:rPr>
          <w:fldChar w:fldCharType="separate"/>
        </w:r>
        <w:r w:rsidR="00630DB3">
          <w:rPr>
            <w:noProof/>
            <w:webHidden/>
          </w:rPr>
          <w:t>24</w:t>
        </w:r>
        <w:r>
          <w:rPr>
            <w:noProof/>
            <w:webHidden/>
          </w:rPr>
          <w:fldChar w:fldCharType="end"/>
        </w:r>
      </w:hyperlink>
    </w:p>
    <w:p w:rsidR="00630DB3" w:rsidRDefault="00CF79EA">
      <w:pPr>
        <w:pStyle w:val="TOC2"/>
        <w:tabs>
          <w:tab w:val="left" w:pos="360"/>
        </w:tabs>
        <w:rPr>
          <w:rFonts w:asciiTheme="minorHAnsi" w:eastAsiaTheme="minorEastAsia" w:hAnsiTheme="minorHAnsi" w:cstheme="minorBidi"/>
          <w:noProof/>
          <w:sz w:val="22"/>
          <w:szCs w:val="22"/>
        </w:rPr>
      </w:pPr>
      <w:hyperlink w:anchor="_Toc332363546" w:history="1">
        <w:r w:rsidR="00630DB3" w:rsidRPr="00D169AC">
          <w:rPr>
            <w:rStyle w:val="Hyperlink"/>
            <w:noProof/>
          </w:rPr>
          <w:t>7</w:t>
        </w:r>
        <w:r w:rsidR="00630DB3">
          <w:rPr>
            <w:rFonts w:asciiTheme="minorHAnsi" w:eastAsiaTheme="minorEastAsia" w:hAnsiTheme="minorHAnsi" w:cstheme="minorBidi"/>
            <w:noProof/>
            <w:sz w:val="22"/>
            <w:szCs w:val="22"/>
          </w:rPr>
          <w:tab/>
        </w:r>
        <w:r w:rsidR="00630DB3" w:rsidRPr="00D169AC">
          <w:rPr>
            <w:rStyle w:val="Hyperlink"/>
            <w:noProof/>
          </w:rPr>
          <w:t>Procedural matters</w:t>
        </w:r>
        <w:r w:rsidR="00630DB3">
          <w:rPr>
            <w:noProof/>
            <w:webHidden/>
          </w:rPr>
          <w:tab/>
        </w:r>
        <w:r>
          <w:rPr>
            <w:noProof/>
            <w:webHidden/>
          </w:rPr>
          <w:fldChar w:fldCharType="begin"/>
        </w:r>
        <w:r w:rsidR="00630DB3">
          <w:rPr>
            <w:noProof/>
            <w:webHidden/>
          </w:rPr>
          <w:instrText xml:space="preserve"> PAGEREF _Toc332363546 \h </w:instrText>
        </w:r>
        <w:r>
          <w:rPr>
            <w:noProof/>
            <w:webHidden/>
          </w:rPr>
        </w:r>
        <w:r>
          <w:rPr>
            <w:noProof/>
            <w:webHidden/>
          </w:rPr>
          <w:fldChar w:fldCharType="separate"/>
        </w:r>
        <w:r w:rsidR="00630DB3">
          <w:rPr>
            <w:noProof/>
            <w:webHidden/>
          </w:rPr>
          <w:t>26</w:t>
        </w:r>
        <w:r>
          <w:rPr>
            <w:noProof/>
            <w:webHidden/>
          </w:rPr>
          <w:fldChar w:fldCharType="end"/>
        </w:r>
      </w:hyperlink>
    </w:p>
    <w:p w:rsidR="00630DB3" w:rsidRDefault="00CF79EA">
      <w:pPr>
        <w:pStyle w:val="TOC3"/>
        <w:tabs>
          <w:tab w:val="left" w:pos="960"/>
        </w:tabs>
        <w:rPr>
          <w:rFonts w:asciiTheme="minorHAnsi" w:eastAsiaTheme="minorEastAsia" w:hAnsiTheme="minorHAnsi" w:cstheme="minorBidi"/>
          <w:noProof/>
          <w:sz w:val="22"/>
          <w:szCs w:val="22"/>
        </w:rPr>
      </w:pPr>
      <w:hyperlink w:anchor="_Toc332363547" w:history="1">
        <w:r w:rsidR="00630DB3" w:rsidRPr="00D169AC">
          <w:rPr>
            <w:rStyle w:val="Hyperlink"/>
            <w:noProof/>
          </w:rPr>
          <w:t>7.1</w:t>
        </w:r>
        <w:r w:rsidR="00630DB3">
          <w:rPr>
            <w:rFonts w:asciiTheme="minorHAnsi" w:eastAsiaTheme="minorEastAsia" w:hAnsiTheme="minorHAnsi" w:cstheme="minorBidi"/>
            <w:noProof/>
            <w:sz w:val="22"/>
            <w:szCs w:val="22"/>
          </w:rPr>
          <w:tab/>
        </w:r>
        <w:r w:rsidR="00630DB3" w:rsidRPr="00D169AC">
          <w:rPr>
            <w:rStyle w:val="Hyperlink"/>
            <w:noProof/>
          </w:rPr>
          <w:t>General</w:t>
        </w:r>
        <w:r w:rsidR="00630DB3">
          <w:rPr>
            <w:noProof/>
            <w:webHidden/>
          </w:rPr>
          <w:tab/>
        </w:r>
        <w:r>
          <w:rPr>
            <w:noProof/>
            <w:webHidden/>
          </w:rPr>
          <w:fldChar w:fldCharType="begin"/>
        </w:r>
        <w:r w:rsidR="00630DB3">
          <w:rPr>
            <w:noProof/>
            <w:webHidden/>
          </w:rPr>
          <w:instrText xml:space="preserve"> PAGEREF _Toc332363547 \h </w:instrText>
        </w:r>
        <w:r>
          <w:rPr>
            <w:noProof/>
            <w:webHidden/>
          </w:rPr>
        </w:r>
        <w:r>
          <w:rPr>
            <w:noProof/>
            <w:webHidden/>
          </w:rPr>
          <w:fldChar w:fldCharType="separate"/>
        </w:r>
        <w:r w:rsidR="00630DB3">
          <w:rPr>
            <w:noProof/>
            <w:webHidden/>
          </w:rPr>
          <w:t>26</w:t>
        </w:r>
        <w:r>
          <w:rPr>
            <w:noProof/>
            <w:webHidden/>
          </w:rPr>
          <w:fldChar w:fldCharType="end"/>
        </w:r>
      </w:hyperlink>
    </w:p>
    <w:p w:rsidR="00630DB3" w:rsidRDefault="00CF79EA">
      <w:pPr>
        <w:pStyle w:val="TOC3"/>
        <w:tabs>
          <w:tab w:val="left" w:pos="960"/>
        </w:tabs>
        <w:rPr>
          <w:rFonts w:asciiTheme="minorHAnsi" w:eastAsiaTheme="minorEastAsia" w:hAnsiTheme="minorHAnsi" w:cstheme="minorBidi"/>
          <w:noProof/>
          <w:sz w:val="22"/>
          <w:szCs w:val="22"/>
        </w:rPr>
      </w:pPr>
      <w:hyperlink w:anchor="_Toc332363548" w:history="1">
        <w:r w:rsidR="00630DB3" w:rsidRPr="00D169AC">
          <w:rPr>
            <w:rStyle w:val="Hyperlink"/>
            <w:noProof/>
          </w:rPr>
          <w:t>7.2</w:t>
        </w:r>
        <w:r w:rsidR="00630DB3">
          <w:rPr>
            <w:rFonts w:asciiTheme="minorHAnsi" w:eastAsiaTheme="minorEastAsia" w:hAnsiTheme="minorHAnsi" w:cstheme="minorBidi"/>
            <w:noProof/>
            <w:sz w:val="22"/>
            <w:szCs w:val="22"/>
          </w:rPr>
          <w:tab/>
        </w:r>
        <w:r w:rsidR="00630DB3" w:rsidRPr="00D169AC">
          <w:rPr>
            <w:rStyle w:val="Hyperlink"/>
            <w:noProof/>
          </w:rPr>
          <w:t>Evidence</w:t>
        </w:r>
        <w:r w:rsidR="00630DB3">
          <w:rPr>
            <w:noProof/>
            <w:webHidden/>
          </w:rPr>
          <w:tab/>
        </w:r>
        <w:r>
          <w:rPr>
            <w:noProof/>
            <w:webHidden/>
          </w:rPr>
          <w:fldChar w:fldCharType="begin"/>
        </w:r>
        <w:r w:rsidR="00630DB3">
          <w:rPr>
            <w:noProof/>
            <w:webHidden/>
          </w:rPr>
          <w:instrText xml:space="preserve"> PAGEREF _Toc332363548 \h </w:instrText>
        </w:r>
        <w:r>
          <w:rPr>
            <w:noProof/>
            <w:webHidden/>
          </w:rPr>
        </w:r>
        <w:r>
          <w:rPr>
            <w:noProof/>
            <w:webHidden/>
          </w:rPr>
          <w:fldChar w:fldCharType="separate"/>
        </w:r>
        <w:r w:rsidR="00630DB3">
          <w:rPr>
            <w:noProof/>
            <w:webHidden/>
          </w:rPr>
          <w:t>26</w:t>
        </w:r>
        <w:r>
          <w:rPr>
            <w:noProof/>
            <w:webHidden/>
          </w:rPr>
          <w:fldChar w:fldCharType="end"/>
        </w:r>
      </w:hyperlink>
    </w:p>
    <w:p w:rsidR="00630DB3" w:rsidRDefault="00CF79EA">
      <w:pPr>
        <w:pStyle w:val="TOC3"/>
        <w:tabs>
          <w:tab w:val="left" w:pos="960"/>
        </w:tabs>
        <w:rPr>
          <w:rFonts w:asciiTheme="minorHAnsi" w:eastAsiaTheme="minorEastAsia" w:hAnsiTheme="minorHAnsi" w:cstheme="minorBidi"/>
          <w:noProof/>
          <w:sz w:val="22"/>
          <w:szCs w:val="22"/>
        </w:rPr>
      </w:pPr>
      <w:hyperlink w:anchor="_Toc332363549" w:history="1">
        <w:r w:rsidR="00630DB3" w:rsidRPr="00D169AC">
          <w:rPr>
            <w:rStyle w:val="Hyperlink"/>
            <w:noProof/>
          </w:rPr>
          <w:t>7.3</w:t>
        </w:r>
        <w:r w:rsidR="00630DB3">
          <w:rPr>
            <w:rFonts w:asciiTheme="minorHAnsi" w:eastAsiaTheme="minorEastAsia" w:hAnsiTheme="minorHAnsi" w:cstheme="minorBidi"/>
            <w:noProof/>
            <w:sz w:val="22"/>
            <w:szCs w:val="22"/>
          </w:rPr>
          <w:tab/>
        </w:r>
        <w:r w:rsidR="00630DB3" w:rsidRPr="00D169AC">
          <w:rPr>
            <w:rStyle w:val="Hyperlink"/>
            <w:noProof/>
          </w:rPr>
          <w:t>Representation</w:t>
        </w:r>
        <w:r w:rsidR="00630DB3">
          <w:rPr>
            <w:noProof/>
            <w:webHidden/>
          </w:rPr>
          <w:tab/>
        </w:r>
        <w:r>
          <w:rPr>
            <w:noProof/>
            <w:webHidden/>
          </w:rPr>
          <w:fldChar w:fldCharType="begin"/>
        </w:r>
        <w:r w:rsidR="00630DB3">
          <w:rPr>
            <w:noProof/>
            <w:webHidden/>
          </w:rPr>
          <w:instrText xml:space="preserve"> PAGEREF _Toc332363549 \h </w:instrText>
        </w:r>
        <w:r>
          <w:rPr>
            <w:noProof/>
            <w:webHidden/>
          </w:rPr>
        </w:r>
        <w:r>
          <w:rPr>
            <w:noProof/>
            <w:webHidden/>
          </w:rPr>
          <w:fldChar w:fldCharType="separate"/>
        </w:r>
        <w:r w:rsidR="00630DB3">
          <w:rPr>
            <w:noProof/>
            <w:webHidden/>
          </w:rPr>
          <w:t>27</w:t>
        </w:r>
        <w:r>
          <w:rPr>
            <w:noProof/>
            <w:webHidden/>
          </w:rPr>
          <w:fldChar w:fldCharType="end"/>
        </w:r>
      </w:hyperlink>
    </w:p>
    <w:p w:rsidR="00630DB3" w:rsidRDefault="00CF79EA">
      <w:pPr>
        <w:pStyle w:val="TOC3"/>
        <w:tabs>
          <w:tab w:val="left" w:pos="960"/>
        </w:tabs>
        <w:rPr>
          <w:rFonts w:asciiTheme="minorHAnsi" w:eastAsiaTheme="minorEastAsia" w:hAnsiTheme="minorHAnsi" w:cstheme="minorBidi"/>
          <w:noProof/>
          <w:sz w:val="22"/>
          <w:szCs w:val="22"/>
        </w:rPr>
      </w:pPr>
      <w:hyperlink w:anchor="_Toc332363550" w:history="1">
        <w:r w:rsidR="00630DB3" w:rsidRPr="00D169AC">
          <w:rPr>
            <w:rStyle w:val="Hyperlink"/>
            <w:noProof/>
          </w:rPr>
          <w:t>7.4</w:t>
        </w:r>
        <w:r w:rsidR="00630DB3">
          <w:rPr>
            <w:rFonts w:asciiTheme="minorHAnsi" w:eastAsiaTheme="minorEastAsia" w:hAnsiTheme="minorHAnsi" w:cstheme="minorBidi"/>
            <w:noProof/>
            <w:sz w:val="22"/>
            <w:szCs w:val="22"/>
          </w:rPr>
          <w:tab/>
        </w:r>
        <w:r w:rsidR="00630DB3" w:rsidRPr="00D169AC">
          <w:rPr>
            <w:rStyle w:val="Hyperlink"/>
            <w:noProof/>
          </w:rPr>
          <w:t>Use of experts</w:t>
        </w:r>
        <w:r w:rsidR="00630DB3">
          <w:rPr>
            <w:noProof/>
            <w:webHidden/>
          </w:rPr>
          <w:tab/>
        </w:r>
        <w:r>
          <w:rPr>
            <w:noProof/>
            <w:webHidden/>
          </w:rPr>
          <w:fldChar w:fldCharType="begin"/>
        </w:r>
        <w:r w:rsidR="00630DB3">
          <w:rPr>
            <w:noProof/>
            <w:webHidden/>
          </w:rPr>
          <w:instrText xml:space="preserve"> PAGEREF _Toc332363550 \h </w:instrText>
        </w:r>
        <w:r>
          <w:rPr>
            <w:noProof/>
            <w:webHidden/>
          </w:rPr>
        </w:r>
        <w:r>
          <w:rPr>
            <w:noProof/>
            <w:webHidden/>
          </w:rPr>
          <w:fldChar w:fldCharType="separate"/>
        </w:r>
        <w:r w:rsidR="00630DB3">
          <w:rPr>
            <w:noProof/>
            <w:webHidden/>
          </w:rPr>
          <w:t>27</w:t>
        </w:r>
        <w:r>
          <w:rPr>
            <w:noProof/>
            <w:webHidden/>
          </w:rPr>
          <w:fldChar w:fldCharType="end"/>
        </w:r>
      </w:hyperlink>
    </w:p>
    <w:p w:rsidR="00630DB3" w:rsidRDefault="00CF79EA">
      <w:pPr>
        <w:pStyle w:val="TOC4"/>
        <w:tabs>
          <w:tab w:val="left" w:pos="1540"/>
        </w:tabs>
        <w:rPr>
          <w:rFonts w:asciiTheme="minorHAnsi" w:eastAsiaTheme="minorEastAsia" w:hAnsiTheme="minorHAnsi" w:cstheme="minorBidi"/>
          <w:noProof/>
          <w:sz w:val="22"/>
          <w:szCs w:val="22"/>
        </w:rPr>
      </w:pPr>
      <w:hyperlink w:anchor="_Toc332363551" w:history="1">
        <w:r w:rsidR="00630DB3" w:rsidRPr="00D169AC">
          <w:rPr>
            <w:rStyle w:val="Hyperlink"/>
            <w:noProof/>
          </w:rPr>
          <w:t>7.4.1</w:t>
        </w:r>
        <w:r w:rsidR="00630DB3">
          <w:rPr>
            <w:rFonts w:asciiTheme="minorHAnsi" w:eastAsiaTheme="minorEastAsia" w:hAnsiTheme="minorHAnsi" w:cstheme="minorBidi"/>
            <w:noProof/>
            <w:sz w:val="22"/>
            <w:szCs w:val="22"/>
          </w:rPr>
          <w:tab/>
        </w:r>
        <w:r w:rsidR="00630DB3" w:rsidRPr="00D169AC">
          <w:rPr>
            <w:rStyle w:val="Hyperlink"/>
            <w:noProof/>
          </w:rPr>
          <w:t>Expert appointed by a party</w:t>
        </w:r>
        <w:r w:rsidR="00630DB3">
          <w:rPr>
            <w:noProof/>
            <w:webHidden/>
          </w:rPr>
          <w:tab/>
        </w:r>
        <w:r>
          <w:rPr>
            <w:noProof/>
            <w:webHidden/>
          </w:rPr>
          <w:fldChar w:fldCharType="begin"/>
        </w:r>
        <w:r w:rsidR="00630DB3">
          <w:rPr>
            <w:noProof/>
            <w:webHidden/>
          </w:rPr>
          <w:instrText xml:space="preserve"> PAGEREF _Toc332363551 \h </w:instrText>
        </w:r>
        <w:r>
          <w:rPr>
            <w:noProof/>
            <w:webHidden/>
          </w:rPr>
        </w:r>
        <w:r>
          <w:rPr>
            <w:noProof/>
            <w:webHidden/>
          </w:rPr>
          <w:fldChar w:fldCharType="separate"/>
        </w:r>
        <w:r w:rsidR="00630DB3">
          <w:rPr>
            <w:noProof/>
            <w:webHidden/>
          </w:rPr>
          <w:t>27</w:t>
        </w:r>
        <w:r>
          <w:rPr>
            <w:noProof/>
            <w:webHidden/>
          </w:rPr>
          <w:fldChar w:fldCharType="end"/>
        </w:r>
      </w:hyperlink>
    </w:p>
    <w:p w:rsidR="00630DB3" w:rsidRDefault="00CF79EA">
      <w:pPr>
        <w:pStyle w:val="TOC4"/>
        <w:tabs>
          <w:tab w:val="left" w:pos="1540"/>
        </w:tabs>
        <w:rPr>
          <w:rFonts w:asciiTheme="minorHAnsi" w:eastAsiaTheme="minorEastAsia" w:hAnsiTheme="minorHAnsi" w:cstheme="minorBidi"/>
          <w:noProof/>
          <w:sz w:val="22"/>
          <w:szCs w:val="22"/>
        </w:rPr>
      </w:pPr>
      <w:hyperlink w:anchor="_Toc332363552" w:history="1">
        <w:r w:rsidR="00630DB3" w:rsidRPr="00D169AC">
          <w:rPr>
            <w:rStyle w:val="Hyperlink"/>
            <w:noProof/>
          </w:rPr>
          <w:t>7.4.2</w:t>
        </w:r>
        <w:r w:rsidR="00630DB3">
          <w:rPr>
            <w:rFonts w:asciiTheme="minorHAnsi" w:eastAsiaTheme="minorEastAsia" w:hAnsiTheme="minorHAnsi" w:cstheme="minorBidi"/>
            <w:noProof/>
            <w:sz w:val="22"/>
            <w:szCs w:val="22"/>
          </w:rPr>
          <w:tab/>
        </w:r>
        <w:r w:rsidR="00630DB3" w:rsidRPr="00D169AC">
          <w:rPr>
            <w:rStyle w:val="Hyperlink"/>
            <w:noProof/>
          </w:rPr>
          <w:t>Expert appointed by the ACCC</w:t>
        </w:r>
        <w:r w:rsidR="00630DB3">
          <w:rPr>
            <w:noProof/>
            <w:webHidden/>
          </w:rPr>
          <w:tab/>
        </w:r>
        <w:r>
          <w:rPr>
            <w:noProof/>
            <w:webHidden/>
          </w:rPr>
          <w:fldChar w:fldCharType="begin"/>
        </w:r>
        <w:r w:rsidR="00630DB3">
          <w:rPr>
            <w:noProof/>
            <w:webHidden/>
          </w:rPr>
          <w:instrText xml:space="preserve"> PAGEREF _Toc332363552 \h </w:instrText>
        </w:r>
        <w:r>
          <w:rPr>
            <w:noProof/>
            <w:webHidden/>
          </w:rPr>
        </w:r>
        <w:r>
          <w:rPr>
            <w:noProof/>
            <w:webHidden/>
          </w:rPr>
          <w:fldChar w:fldCharType="separate"/>
        </w:r>
        <w:r w:rsidR="00630DB3">
          <w:rPr>
            <w:noProof/>
            <w:webHidden/>
          </w:rPr>
          <w:t>27</w:t>
        </w:r>
        <w:r>
          <w:rPr>
            <w:noProof/>
            <w:webHidden/>
          </w:rPr>
          <w:fldChar w:fldCharType="end"/>
        </w:r>
      </w:hyperlink>
    </w:p>
    <w:p w:rsidR="00630DB3" w:rsidRDefault="00CF79EA">
      <w:pPr>
        <w:pStyle w:val="TOC4"/>
        <w:tabs>
          <w:tab w:val="left" w:pos="1540"/>
        </w:tabs>
        <w:rPr>
          <w:rFonts w:asciiTheme="minorHAnsi" w:eastAsiaTheme="minorEastAsia" w:hAnsiTheme="minorHAnsi" w:cstheme="minorBidi"/>
          <w:noProof/>
          <w:sz w:val="22"/>
          <w:szCs w:val="22"/>
        </w:rPr>
      </w:pPr>
      <w:hyperlink w:anchor="_Toc332363553" w:history="1">
        <w:r w:rsidR="00630DB3" w:rsidRPr="00D169AC">
          <w:rPr>
            <w:rStyle w:val="Hyperlink"/>
            <w:noProof/>
          </w:rPr>
          <w:t>7.4.3</w:t>
        </w:r>
        <w:r w:rsidR="00630DB3">
          <w:rPr>
            <w:rFonts w:asciiTheme="minorHAnsi" w:eastAsiaTheme="minorEastAsia" w:hAnsiTheme="minorHAnsi" w:cstheme="minorBidi"/>
            <w:noProof/>
            <w:sz w:val="22"/>
            <w:szCs w:val="22"/>
          </w:rPr>
          <w:tab/>
        </w:r>
        <w:r w:rsidR="00630DB3" w:rsidRPr="00D169AC">
          <w:rPr>
            <w:rStyle w:val="Hyperlink"/>
            <w:noProof/>
          </w:rPr>
          <w:t>Expert’s report</w:t>
        </w:r>
        <w:r w:rsidR="00630DB3">
          <w:rPr>
            <w:noProof/>
            <w:webHidden/>
          </w:rPr>
          <w:tab/>
        </w:r>
        <w:r>
          <w:rPr>
            <w:noProof/>
            <w:webHidden/>
          </w:rPr>
          <w:fldChar w:fldCharType="begin"/>
        </w:r>
        <w:r w:rsidR="00630DB3">
          <w:rPr>
            <w:noProof/>
            <w:webHidden/>
          </w:rPr>
          <w:instrText xml:space="preserve"> PAGEREF _Toc332363553 \h </w:instrText>
        </w:r>
        <w:r>
          <w:rPr>
            <w:noProof/>
            <w:webHidden/>
          </w:rPr>
        </w:r>
        <w:r>
          <w:rPr>
            <w:noProof/>
            <w:webHidden/>
          </w:rPr>
          <w:fldChar w:fldCharType="separate"/>
        </w:r>
        <w:r w:rsidR="00630DB3">
          <w:rPr>
            <w:noProof/>
            <w:webHidden/>
          </w:rPr>
          <w:t>28</w:t>
        </w:r>
        <w:r>
          <w:rPr>
            <w:noProof/>
            <w:webHidden/>
          </w:rPr>
          <w:fldChar w:fldCharType="end"/>
        </w:r>
      </w:hyperlink>
    </w:p>
    <w:p w:rsidR="00630DB3" w:rsidRDefault="00CF79EA">
      <w:pPr>
        <w:pStyle w:val="TOC3"/>
        <w:tabs>
          <w:tab w:val="left" w:pos="960"/>
        </w:tabs>
        <w:rPr>
          <w:rFonts w:asciiTheme="minorHAnsi" w:eastAsiaTheme="minorEastAsia" w:hAnsiTheme="minorHAnsi" w:cstheme="minorBidi"/>
          <w:noProof/>
          <w:sz w:val="22"/>
          <w:szCs w:val="22"/>
        </w:rPr>
      </w:pPr>
      <w:hyperlink w:anchor="_Toc332363554" w:history="1">
        <w:r w:rsidR="00630DB3" w:rsidRPr="00D169AC">
          <w:rPr>
            <w:rStyle w:val="Hyperlink"/>
            <w:noProof/>
          </w:rPr>
          <w:t>7.5</w:t>
        </w:r>
        <w:r w:rsidR="00630DB3">
          <w:rPr>
            <w:rFonts w:asciiTheme="minorHAnsi" w:eastAsiaTheme="minorEastAsia" w:hAnsiTheme="minorHAnsi" w:cstheme="minorBidi"/>
            <w:noProof/>
            <w:sz w:val="22"/>
            <w:szCs w:val="22"/>
          </w:rPr>
          <w:tab/>
        </w:r>
        <w:r w:rsidR="00630DB3" w:rsidRPr="00D169AC">
          <w:rPr>
            <w:rStyle w:val="Hyperlink"/>
            <w:noProof/>
          </w:rPr>
          <w:t>Joint inquiries</w:t>
        </w:r>
        <w:r w:rsidR="00630DB3">
          <w:rPr>
            <w:noProof/>
            <w:webHidden/>
          </w:rPr>
          <w:tab/>
        </w:r>
        <w:r>
          <w:rPr>
            <w:noProof/>
            <w:webHidden/>
          </w:rPr>
          <w:fldChar w:fldCharType="begin"/>
        </w:r>
        <w:r w:rsidR="00630DB3">
          <w:rPr>
            <w:noProof/>
            <w:webHidden/>
          </w:rPr>
          <w:instrText xml:space="preserve"> PAGEREF _Toc332363554 \h </w:instrText>
        </w:r>
        <w:r>
          <w:rPr>
            <w:noProof/>
            <w:webHidden/>
          </w:rPr>
        </w:r>
        <w:r>
          <w:rPr>
            <w:noProof/>
            <w:webHidden/>
          </w:rPr>
          <w:fldChar w:fldCharType="separate"/>
        </w:r>
        <w:r w:rsidR="00630DB3">
          <w:rPr>
            <w:noProof/>
            <w:webHidden/>
          </w:rPr>
          <w:t>30</w:t>
        </w:r>
        <w:r>
          <w:rPr>
            <w:noProof/>
            <w:webHidden/>
          </w:rPr>
          <w:fldChar w:fldCharType="end"/>
        </w:r>
      </w:hyperlink>
    </w:p>
    <w:p w:rsidR="00630DB3" w:rsidRDefault="00CF79EA">
      <w:pPr>
        <w:pStyle w:val="TOC2"/>
        <w:tabs>
          <w:tab w:val="left" w:pos="360"/>
        </w:tabs>
        <w:rPr>
          <w:rFonts w:asciiTheme="minorHAnsi" w:eastAsiaTheme="minorEastAsia" w:hAnsiTheme="minorHAnsi" w:cstheme="minorBidi"/>
          <w:noProof/>
          <w:sz w:val="22"/>
          <w:szCs w:val="22"/>
        </w:rPr>
      </w:pPr>
      <w:hyperlink w:anchor="_Toc332363555" w:history="1">
        <w:r w:rsidR="00630DB3" w:rsidRPr="00D169AC">
          <w:rPr>
            <w:rStyle w:val="Hyperlink"/>
            <w:noProof/>
          </w:rPr>
          <w:t>8</w:t>
        </w:r>
        <w:r w:rsidR="00630DB3">
          <w:rPr>
            <w:rFonts w:asciiTheme="minorHAnsi" w:eastAsiaTheme="minorEastAsia" w:hAnsiTheme="minorHAnsi" w:cstheme="minorBidi"/>
            <w:noProof/>
            <w:sz w:val="22"/>
            <w:szCs w:val="22"/>
          </w:rPr>
          <w:tab/>
        </w:r>
        <w:r w:rsidR="00630DB3" w:rsidRPr="00D169AC">
          <w:rPr>
            <w:rStyle w:val="Hyperlink"/>
            <w:noProof/>
          </w:rPr>
          <w:t>Confidentiality</w:t>
        </w:r>
        <w:r w:rsidR="00630DB3">
          <w:rPr>
            <w:noProof/>
            <w:webHidden/>
          </w:rPr>
          <w:tab/>
        </w:r>
        <w:r>
          <w:rPr>
            <w:noProof/>
            <w:webHidden/>
          </w:rPr>
          <w:fldChar w:fldCharType="begin"/>
        </w:r>
        <w:r w:rsidR="00630DB3">
          <w:rPr>
            <w:noProof/>
            <w:webHidden/>
          </w:rPr>
          <w:instrText xml:space="preserve"> PAGEREF _Toc332363555 \h </w:instrText>
        </w:r>
        <w:r>
          <w:rPr>
            <w:noProof/>
            <w:webHidden/>
          </w:rPr>
        </w:r>
        <w:r>
          <w:rPr>
            <w:noProof/>
            <w:webHidden/>
          </w:rPr>
          <w:fldChar w:fldCharType="separate"/>
        </w:r>
        <w:r w:rsidR="00630DB3">
          <w:rPr>
            <w:noProof/>
            <w:webHidden/>
          </w:rPr>
          <w:t>31</w:t>
        </w:r>
        <w:r>
          <w:rPr>
            <w:noProof/>
            <w:webHidden/>
          </w:rPr>
          <w:fldChar w:fldCharType="end"/>
        </w:r>
      </w:hyperlink>
    </w:p>
    <w:p w:rsidR="00630DB3" w:rsidRDefault="00CF79EA">
      <w:pPr>
        <w:pStyle w:val="TOC3"/>
        <w:tabs>
          <w:tab w:val="left" w:pos="960"/>
        </w:tabs>
        <w:rPr>
          <w:rFonts w:asciiTheme="minorHAnsi" w:eastAsiaTheme="minorEastAsia" w:hAnsiTheme="minorHAnsi" w:cstheme="minorBidi"/>
          <w:noProof/>
          <w:sz w:val="22"/>
          <w:szCs w:val="22"/>
        </w:rPr>
      </w:pPr>
      <w:hyperlink w:anchor="_Toc332363556" w:history="1">
        <w:r w:rsidR="00630DB3" w:rsidRPr="00D169AC">
          <w:rPr>
            <w:rStyle w:val="Hyperlink"/>
            <w:noProof/>
          </w:rPr>
          <w:t>8.1</w:t>
        </w:r>
        <w:r w:rsidR="00630DB3">
          <w:rPr>
            <w:rFonts w:asciiTheme="minorHAnsi" w:eastAsiaTheme="minorEastAsia" w:hAnsiTheme="minorHAnsi" w:cstheme="minorBidi"/>
            <w:noProof/>
            <w:sz w:val="22"/>
            <w:szCs w:val="22"/>
          </w:rPr>
          <w:tab/>
        </w:r>
        <w:r w:rsidR="00630DB3" w:rsidRPr="00D169AC">
          <w:rPr>
            <w:rStyle w:val="Hyperlink"/>
            <w:noProof/>
          </w:rPr>
          <w:t>General confidentiality direction</w:t>
        </w:r>
        <w:r w:rsidR="00630DB3">
          <w:rPr>
            <w:noProof/>
            <w:webHidden/>
          </w:rPr>
          <w:tab/>
        </w:r>
        <w:r>
          <w:rPr>
            <w:noProof/>
            <w:webHidden/>
          </w:rPr>
          <w:fldChar w:fldCharType="begin"/>
        </w:r>
        <w:r w:rsidR="00630DB3">
          <w:rPr>
            <w:noProof/>
            <w:webHidden/>
          </w:rPr>
          <w:instrText xml:space="preserve"> PAGEREF _Toc332363556 \h </w:instrText>
        </w:r>
        <w:r>
          <w:rPr>
            <w:noProof/>
            <w:webHidden/>
          </w:rPr>
        </w:r>
        <w:r>
          <w:rPr>
            <w:noProof/>
            <w:webHidden/>
          </w:rPr>
          <w:fldChar w:fldCharType="separate"/>
        </w:r>
        <w:r w:rsidR="00630DB3">
          <w:rPr>
            <w:noProof/>
            <w:webHidden/>
          </w:rPr>
          <w:t>31</w:t>
        </w:r>
        <w:r>
          <w:rPr>
            <w:noProof/>
            <w:webHidden/>
          </w:rPr>
          <w:fldChar w:fldCharType="end"/>
        </w:r>
      </w:hyperlink>
    </w:p>
    <w:p w:rsidR="00630DB3" w:rsidRDefault="00CF79EA">
      <w:pPr>
        <w:pStyle w:val="TOC3"/>
        <w:tabs>
          <w:tab w:val="left" w:pos="960"/>
        </w:tabs>
        <w:rPr>
          <w:rFonts w:asciiTheme="minorHAnsi" w:eastAsiaTheme="minorEastAsia" w:hAnsiTheme="minorHAnsi" w:cstheme="minorBidi"/>
          <w:noProof/>
          <w:sz w:val="22"/>
          <w:szCs w:val="22"/>
        </w:rPr>
      </w:pPr>
      <w:hyperlink w:anchor="_Toc332363557" w:history="1">
        <w:r w:rsidR="00630DB3" w:rsidRPr="00D169AC">
          <w:rPr>
            <w:rStyle w:val="Hyperlink"/>
            <w:noProof/>
          </w:rPr>
          <w:t>8.2</w:t>
        </w:r>
        <w:r w:rsidR="00630DB3">
          <w:rPr>
            <w:rFonts w:asciiTheme="minorHAnsi" w:eastAsiaTheme="minorEastAsia" w:hAnsiTheme="minorHAnsi" w:cstheme="minorBidi"/>
            <w:noProof/>
            <w:sz w:val="22"/>
            <w:szCs w:val="22"/>
          </w:rPr>
          <w:tab/>
        </w:r>
        <w:r w:rsidR="00630DB3" w:rsidRPr="00D169AC">
          <w:rPr>
            <w:rStyle w:val="Hyperlink"/>
            <w:noProof/>
          </w:rPr>
          <w:t>Requests for confidentiality from other parties</w:t>
        </w:r>
        <w:r w:rsidR="00630DB3">
          <w:rPr>
            <w:noProof/>
            <w:webHidden/>
          </w:rPr>
          <w:tab/>
        </w:r>
        <w:r>
          <w:rPr>
            <w:noProof/>
            <w:webHidden/>
          </w:rPr>
          <w:fldChar w:fldCharType="begin"/>
        </w:r>
        <w:r w:rsidR="00630DB3">
          <w:rPr>
            <w:noProof/>
            <w:webHidden/>
          </w:rPr>
          <w:instrText xml:space="preserve"> PAGEREF _Toc332363557 \h </w:instrText>
        </w:r>
        <w:r>
          <w:rPr>
            <w:noProof/>
            <w:webHidden/>
          </w:rPr>
        </w:r>
        <w:r>
          <w:rPr>
            <w:noProof/>
            <w:webHidden/>
          </w:rPr>
          <w:fldChar w:fldCharType="separate"/>
        </w:r>
        <w:r w:rsidR="00630DB3">
          <w:rPr>
            <w:noProof/>
            <w:webHidden/>
          </w:rPr>
          <w:t>31</w:t>
        </w:r>
        <w:r>
          <w:rPr>
            <w:noProof/>
            <w:webHidden/>
          </w:rPr>
          <w:fldChar w:fldCharType="end"/>
        </w:r>
      </w:hyperlink>
    </w:p>
    <w:p w:rsidR="00630DB3" w:rsidRDefault="00CF79EA">
      <w:pPr>
        <w:pStyle w:val="TOC3"/>
        <w:tabs>
          <w:tab w:val="left" w:pos="960"/>
        </w:tabs>
        <w:rPr>
          <w:rFonts w:asciiTheme="minorHAnsi" w:eastAsiaTheme="minorEastAsia" w:hAnsiTheme="minorHAnsi" w:cstheme="minorBidi"/>
          <w:noProof/>
          <w:sz w:val="22"/>
          <w:szCs w:val="22"/>
        </w:rPr>
      </w:pPr>
      <w:hyperlink w:anchor="_Toc332363558" w:history="1">
        <w:r w:rsidR="00630DB3" w:rsidRPr="00D169AC">
          <w:rPr>
            <w:rStyle w:val="Hyperlink"/>
            <w:noProof/>
          </w:rPr>
          <w:t>8.3</w:t>
        </w:r>
        <w:r w:rsidR="00630DB3">
          <w:rPr>
            <w:rFonts w:asciiTheme="minorHAnsi" w:eastAsiaTheme="minorEastAsia" w:hAnsiTheme="minorHAnsi" w:cstheme="minorBidi"/>
            <w:noProof/>
            <w:sz w:val="22"/>
            <w:szCs w:val="22"/>
          </w:rPr>
          <w:tab/>
        </w:r>
        <w:r w:rsidR="00630DB3" w:rsidRPr="00D169AC">
          <w:rPr>
            <w:rStyle w:val="Hyperlink"/>
            <w:noProof/>
          </w:rPr>
          <w:t>Other matters relevant to claims of confidentiality</w:t>
        </w:r>
        <w:r w:rsidR="00630DB3">
          <w:rPr>
            <w:noProof/>
            <w:webHidden/>
          </w:rPr>
          <w:tab/>
        </w:r>
        <w:r>
          <w:rPr>
            <w:noProof/>
            <w:webHidden/>
          </w:rPr>
          <w:fldChar w:fldCharType="begin"/>
        </w:r>
        <w:r w:rsidR="00630DB3">
          <w:rPr>
            <w:noProof/>
            <w:webHidden/>
          </w:rPr>
          <w:instrText xml:space="preserve"> PAGEREF _Toc332363558 \h </w:instrText>
        </w:r>
        <w:r>
          <w:rPr>
            <w:noProof/>
            <w:webHidden/>
          </w:rPr>
        </w:r>
        <w:r>
          <w:rPr>
            <w:noProof/>
            <w:webHidden/>
          </w:rPr>
          <w:fldChar w:fldCharType="separate"/>
        </w:r>
        <w:r w:rsidR="00630DB3">
          <w:rPr>
            <w:noProof/>
            <w:webHidden/>
          </w:rPr>
          <w:t>32</w:t>
        </w:r>
        <w:r>
          <w:rPr>
            <w:noProof/>
            <w:webHidden/>
          </w:rPr>
          <w:fldChar w:fldCharType="end"/>
        </w:r>
      </w:hyperlink>
    </w:p>
    <w:p w:rsidR="00630DB3" w:rsidRDefault="00CF79EA">
      <w:pPr>
        <w:pStyle w:val="TOC2"/>
        <w:rPr>
          <w:rFonts w:asciiTheme="minorHAnsi" w:eastAsiaTheme="minorEastAsia" w:hAnsiTheme="minorHAnsi" w:cstheme="minorBidi"/>
          <w:noProof/>
          <w:sz w:val="22"/>
          <w:szCs w:val="22"/>
        </w:rPr>
      </w:pPr>
      <w:hyperlink w:anchor="_Toc332363559" w:history="1">
        <w:r w:rsidR="00630DB3" w:rsidRPr="00D169AC">
          <w:rPr>
            <w:rStyle w:val="Hyperlink"/>
            <w:noProof/>
          </w:rPr>
          <w:t>Appendix A:  Questions for submissions</w:t>
        </w:r>
        <w:r w:rsidR="00630DB3">
          <w:rPr>
            <w:noProof/>
            <w:webHidden/>
          </w:rPr>
          <w:tab/>
        </w:r>
        <w:r>
          <w:rPr>
            <w:noProof/>
            <w:webHidden/>
          </w:rPr>
          <w:fldChar w:fldCharType="begin"/>
        </w:r>
        <w:r w:rsidR="00630DB3">
          <w:rPr>
            <w:noProof/>
            <w:webHidden/>
          </w:rPr>
          <w:instrText xml:space="preserve"> PAGEREF _Toc332363559 \h </w:instrText>
        </w:r>
        <w:r>
          <w:rPr>
            <w:noProof/>
            <w:webHidden/>
          </w:rPr>
        </w:r>
        <w:r>
          <w:rPr>
            <w:noProof/>
            <w:webHidden/>
          </w:rPr>
          <w:fldChar w:fldCharType="separate"/>
        </w:r>
        <w:r w:rsidR="00630DB3">
          <w:rPr>
            <w:noProof/>
            <w:webHidden/>
          </w:rPr>
          <w:t>33</w:t>
        </w:r>
        <w:r>
          <w:rPr>
            <w:noProof/>
            <w:webHidden/>
          </w:rPr>
          <w:fldChar w:fldCharType="end"/>
        </w:r>
      </w:hyperlink>
    </w:p>
    <w:p w:rsidR="00630DB3" w:rsidRDefault="00CF79EA">
      <w:pPr>
        <w:pStyle w:val="TOC2"/>
        <w:rPr>
          <w:rFonts w:asciiTheme="minorHAnsi" w:eastAsiaTheme="minorEastAsia" w:hAnsiTheme="minorHAnsi" w:cstheme="minorBidi"/>
          <w:noProof/>
          <w:sz w:val="22"/>
          <w:szCs w:val="22"/>
        </w:rPr>
      </w:pPr>
      <w:hyperlink w:anchor="_Toc332363560" w:history="1">
        <w:r w:rsidR="00630DB3" w:rsidRPr="00D169AC">
          <w:rPr>
            <w:rStyle w:val="Hyperlink"/>
            <w:noProof/>
          </w:rPr>
          <w:t>Appendix B:  Notification of bulk interconnection service dispute (template)</w:t>
        </w:r>
        <w:r w:rsidR="00630DB3">
          <w:rPr>
            <w:noProof/>
            <w:webHidden/>
          </w:rPr>
          <w:tab/>
        </w:r>
        <w:r>
          <w:rPr>
            <w:noProof/>
            <w:webHidden/>
          </w:rPr>
          <w:fldChar w:fldCharType="begin"/>
        </w:r>
        <w:r w:rsidR="00630DB3">
          <w:rPr>
            <w:noProof/>
            <w:webHidden/>
          </w:rPr>
          <w:instrText xml:space="preserve"> PAGEREF _Toc332363560 \h </w:instrText>
        </w:r>
        <w:r>
          <w:rPr>
            <w:noProof/>
            <w:webHidden/>
          </w:rPr>
        </w:r>
        <w:r>
          <w:rPr>
            <w:noProof/>
            <w:webHidden/>
          </w:rPr>
          <w:fldChar w:fldCharType="separate"/>
        </w:r>
        <w:r w:rsidR="00630DB3">
          <w:rPr>
            <w:noProof/>
            <w:webHidden/>
          </w:rPr>
          <w:t>35</w:t>
        </w:r>
        <w:r>
          <w:rPr>
            <w:noProof/>
            <w:webHidden/>
          </w:rPr>
          <w:fldChar w:fldCharType="end"/>
        </w:r>
      </w:hyperlink>
    </w:p>
    <w:p w:rsidR="00630DB3" w:rsidRDefault="00CF79EA">
      <w:pPr>
        <w:pStyle w:val="TOC3"/>
        <w:tabs>
          <w:tab w:val="left" w:pos="1100"/>
        </w:tabs>
        <w:rPr>
          <w:rFonts w:asciiTheme="minorHAnsi" w:eastAsiaTheme="minorEastAsia" w:hAnsiTheme="minorHAnsi" w:cstheme="minorBidi"/>
          <w:noProof/>
          <w:sz w:val="22"/>
          <w:szCs w:val="22"/>
        </w:rPr>
      </w:pPr>
      <w:hyperlink w:anchor="_Toc332363561" w:history="1">
        <w:r w:rsidR="00630DB3" w:rsidRPr="00D169AC">
          <w:rPr>
            <w:rStyle w:val="Hyperlink"/>
            <w:noProof/>
          </w:rPr>
          <w:t xml:space="preserve">A.1 </w:t>
        </w:r>
        <w:r w:rsidR="00630DB3">
          <w:rPr>
            <w:rFonts w:asciiTheme="minorHAnsi" w:eastAsiaTheme="minorEastAsia" w:hAnsiTheme="minorHAnsi" w:cstheme="minorBidi"/>
            <w:noProof/>
            <w:sz w:val="22"/>
            <w:szCs w:val="22"/>
          </w:rPr>
          <w:tab/>
        </w:r>
        <w:r w:rsidR="00630DB3" w:rsidRPr="00D169AC">
          <w:rPr>
            <w:rStyle w:val="Hyperlink"/>
            <w:noProof/>
          </w:rPr>
          <w:t>Covering letter</w:t>
        </w:r>
        <w:r w:rsidR="00630DB3">
          <w:rPr>
            <w:noProof/>
            <w:webHidden/>
          </w:rPr>
          <w:tab/>
        </w:r>
        <w:r>
          <w:rPr>
            <w:noProof/>
            <w:webHidden/>
          </w:rPr>
          <w:fldChar w:fldCharType="begin"/>
        </w:r>
        <w:r w:rsidR="00630DB3">
          <w:rPr>
            <w:noProof/>
            <w:webHidden/>
          </w:rPr>
          <w:instrText xml:space="preserve"> PAGEREF _Toc332363561 \h </w:instrText>
        </w:r>
        <w:r>
          <w:rPr>
            <w:noProof/>
            <w:webHidden/>
          </w:rPr>
        </w:r>
        <w:r>
          <w:rPr>
            <w:noProof/>
            <w:webHidden/>
          </w:rPr>
          <w:fldChar w:fldCharType="separate"/>
        </w:r>
        <w:r w:rsidR="00630DB3">
          <w:rPr>
            <w:noProof/>
            <w:webHidden/>
          </w:rPr>
          <w:t>35</w:t>
        </w:r>
        <w:r>
          <w:rPr>
            <w:noProof/>
            <w:webHidden/>
          </w:rPr>
          <w:fldChar w:fldCharType="end"/>
        </w:r>
      </w:hyperlink>
    </w:p>
    <w:p w:rsidR="00630DB3" w:rsidRDefault="00CF79EA">
      <w:pPr>
        <w:pStyle w:val="TOC3"/>
        <w:tabs>
          <w:tab w:val="left" w:pos="960"/>
        </w:tabs>
        <w:rPr>
          <w:rFonts w:asciiTheme="minorHAnsi" w:eastAsiaTheme="minorEastAsia" w:hAnsiTheme="minorHAnsi" w:cstheme="minorBidi"/>
          <w:noProof/>
          <w:sz w:val="22"/>
          <w:szCs w:val="22"/>
        </w:rPr>
      </w:pPr>
      <w:hyperlink w:anchor="_Toc332363562" w:history="1">
        <w:r w:rsidR="00630DB3" w:rsidRPr="00D169AC">
          <w:rPr>
            <w:rStyle w:val="Hyperlink"/>
            <w:noProof/>
          </w:rPr>
          <w:t>B2</w:t>
        </w:r>
        <w:r w:rsidR="00630DB3">
          <w:rPr>
            <w:rFonts w:asciiTheme="minorHAnsi" w:eastAsiaTheme="minorEastAsia" w:hAnsiTheme="minorHAnsi" w:cstheme="minorBidi"/>
            <w:noProof/>
            <w:sz w:val="22"/>
            <w:szCs w:val="22"/>
          </w:rPr>
          <w:tab/>
        </w:r>
        <w:r w:rsidR="00630DB3" w:rsidRPr="00D169AC">
          <w:rPr>
            <w:rStyle w:val="Hyperlink"/>
            <w:noProof/>
          </w:rPr>
          <w:t>Notification of dispute to ACCC (template)</w:t>
        </w:r>
        <w:r w:rsidR="00630DB3">
          <w:rPr>
            <w:noProof/>
            <w:webHidden/>
          </w:rPr>
          <w:tab/>
        </w:r>
        <w:r>
          <w:rPr>
            <w:noProof/>
            <w:webHidden/>
          </w:rPr>
          <w:fldChar w:fldCharType="begin"/>
        </w:r>
        <w:r w:rsidR="00630DB3">
          <w:rPr>
            <w:noProof/>
            <w:webHidden/>
          </w:rPr>
          <w:instrText xml:space="preserve"> PAGEREF _Toc332363562 \h </w:instrText>
        </w:r>
        <w:r>
          <w:rPr>
            <w:noProof/>
            <w:webHidden/>
          </w:rPr>
        </w:r>
        <w:r>
          <w:rPr>
            <w:noProof/>
            <w:webHidden/>
          </w:rPr>
          <w:fldChar w:fldCharType="separate"/>
        </w:r>
        <w:r w:rsidR="00630DB3">
          <w:rPr>
            <w:noProof/>
            <w:webHidden/>
          </w:rPr>
          <w:t>36</w:t>
        </w:r>
        <w:r>
          <w:rPr>
            <w:noProof/>
            <w:webHidden/>
          </w:rPr>
          <w:fldChar w:fldCharType="end"/>
        </w:r>
      </w:hyperlink>
    </w:p>
    <w:p w:rsidR="00630DB3" w:rsidRDefault="00CF79EA">
      <w:pPr>
        <w:pStyle w:val="TOC2"/>
        <w:rPr>
          <w:rFonts w:asciiTheme="minorHAnsi" w:eastAsiaTheme="minorEastAsia" w:hAnsiTheme="minorHAnsi" w:cstheme="minorBidi"/>
          <w:noProof/>
          <w:sz w:val="22"/>
          <w:szCs w:val="22"/>
        </w:rPr>
      </w:pPr>
      <w:hyperlink w:anchor="_Toc332363563" w:history="1">
        <w:r w:rsidR="00630DB3" w:rsidRPr="00D169AC">
          <w:rPr>
            <w:rStyle w:val="Hyperlink"/>
            <w:noProof/>
          </w:rPr>
          <w:t>ACCC contacts</w:t>
        </w:r>
        <w:r w:rsidR="00630DB3">
          <w:rPr>
            <w:noProof/>
            <w:webHidden/>
          </w:rPr>
          <w:tab/>
        </w:r>
        <w:r>
          <w:rPr>
            <w:noProof/>
            <w:webHidden/>
          </w:rPr>
          <w:fldChar w:fldCharType="begin"/>
        </w:r>
        <w:r w:rsidR="00630DB3">
          <w:rPr>
            <w:noProof/>
            <w:webHidden/>
          </w:rPr>
          <w:instrText xml:space="preserve"> PAGEREF _Toc332363563 \h </w:instrText>
        </w:r>
        <w:r>
          <w:rPr>
            <w:noProof/>
            <w:webHidden/>
          </w:rPr>
        </w:r>
        <w:r>
          <w:rPr>
            <w:noProof/>
            <w:webHidden/>
          </w:rPr>
          <w:fldChar w:fldCharType="separate"/>
        </w:r>
        <w:r w:rsidR="00630DB3">
          <w:rPr>
            <w:noProof/>
            <w:webHidden/>
          </w:rPr>
          <w:t>38</w:t>
        </w:r>
        <w:r>
          <w:rPr>
            <w:noProof/>
            <w:webHidden/>
          </w:rPr>
          <w:fldChar w:fldCharType="end"/>
        </w:r>
      </w:hyperlink>
    </w:p>
    <w:p w:rsidR="00936C48" w:rsidRPr="00DA2E8F" w:rsidRDefault="00CF79EA" w:rsidP="00936C48">
      <w:pPr>
        <w:pStyle w:val="ListBullet"/>
        <w:numPr>
          <w:ilvl w:val="0"/>
          <w:numId w:val="0"/>
        </w:numPr>
      </w:pPr>
      <w:r>
        <w:rPr>
          <w:b/>
        </w:rPr>
        <w:fldChar w:fldCharType="end"/>
      </w:r>
    </w:p>
    <w:p w:rsidR="00936C48" w:rsidRDefault="00936C48" w:rsidP="00936C48"/>
    <w:p w:rsidR="00936C48" w:rsidRDefault="00936C48" w:rsidP="00936C48">
      <w:pPr>
        <w:pStyle w:val="Heading2"/>
        <w:numPr>
          <w:ilvl w:val="0"/>
          <w:numId w:val="0"/>
        </w:numPr>
      </w:pPr>
      <w:r>
        <w:br w:type="page"/>
      </w:r>
      <w:bookmarkStart w:id="0" w:name="_Toc332363508"/>
      <w:r w:rsidRPr="0049662D">
        <w:t>Glossary of terms</w:t>
      </w:r>
      <w:bookmarkEnd w:id="0"/>
      <w:r>
        <w:t xml:space="preserve"> </w:t>
      </w:r>
    </w:p>
    <w:p w:rsidR="00936C48" w:rsidRDefault="00936C48" w:rsidP="006E0723">
      <w:pPr>
        <w:spacing w:after="480"/>
        <w:ind w:left="2160" w:hanging="2160"/>
      </w:pPr>
      <w:proofErr w:type="spellStart"/>
      <w:r>
        <w:t>ACCC</w:t>
      </w:r>
      <w:proofErr w:type="spellEnd"/>
      <w:r>
        <w:tab/>
        <w:t>Australian Competition and Consumer Commission</w:t>
      </w:r>
    </w:p>
    <w:p w:rsidR="006E0723" w:rsidRDefault="006E0723" w:rsidP="006E0723">
      <w:pPr>
        <w:spacing w:after="480"/>
      </w:pPr>
      <w:proofErr w:type="spellStart"/>
      <w:r>
        <w:t>APCA</w:t>
      </w:r>
      <w:proofErr w:type="spellEnd"/>
      <w:r w:rsidRPr="0049662D">
        <w:t xml:space="preserve"> </w:t>
      </w:r>
      <w:r w:rsidRPr="0049662D">
        <w:tab/>
      </w:r>
      <w:r>
        <w:tab/>
      </w:r>
      <w:r>
        <w:tab/>
      </w:r>
      <w:r w:rsidRPr="00D7378A">
        <w:rPr>
          <w:i/>
        </w:rPr>
        <w:t xml:space="preserve">Australian Postal Corporation </w:t>
      </w:r>
      <w:r w:rsidRPr="00C72456">
        <w:rPr>
          <w:i/>
        </w:rPr>
        <w:t>Act 1989</w:t>
      </w:r>
      <w:r>
        <w:t xml:space="preserve"> </w:t>
      </w:r>
    </w:p>
    <w:p w:rsidR="006E0723" w:rsidRPr="00DA2E8F" w:rsidRDefault="006E0723" w:rsidP="006E0723">
      <w:pPr>
        <w:spacing w:after="480"/>
      </w:pPr>
      <w:proofErr w:type="spellStart"/>
      <w:r>
        <w:t>APCR</w:t>
      </w:r>
      <w:proofErr w:type="spellEnd"/>
      <w:r w:rsidRPr="0049662D">
        <w:t xml:space="preserve"> </w:t>
      </w:r>
      <w:r w:rsidRPr="0049662D">
        <w:tab/>
      </w:r>
      <w:r>
        <w:tab/>
      </w:r>
      <w:r>
        <w:tab/>
      </w:r>
      <w:r w:rsidRPr="00D7378A">
        <w:rPr>
          <w:i/>
        </w:rPr>
        <w:t>Australian Postal Corporation Regulations 1996</w:t>
      </w:r>
    </w:p>
    <w:p w:rsidR="002C47F6" w:rsidRPr="002C47F6" w:rsidRDefault="002C47F6" w:rsidP="006E0723">
      <w:pPr>
        <w:spacing w:after="480"/>
        <w:ind w:left="2160" w:hanging="2160"/>
      </w:pPr>
      <w:smartTag w:uri="urn:schemas-microsoft-com:office:smarttags" w:element="place">
        <w:smartTag w:uri="urn:schemas-microsoft-com:office:smarttags" w:element="country-region">
          <w:r>
            <w:t>Australia</w:t>
          </w:r>
        </w:smartTag>
      </w:smartTag>
      <w:r>
        <w:t xml:space="preserve"> Post </w:t>
      </w:r>
      <w:r>
        <w:tab/>
      </w:r>
      <w:r w:rsidRPr="002C47F6">
        <w:t>Australian Postal Corporation</w:t>
      </w:r>
    </w:p>
    <w:p w:rsidR="000E08E3" w:rsidRDefault="000E08E3" w:rsidP="006E0723">
      <w:pPr>
        <w:spacing w:after="480"/>
        <w:ind w:left="2160" w:hanging="2160"/>
      </w:pPr>
      <w:proofErr w:type="spellStart"/>
      <w:r>
        <w:t>CCA</w:t>
      </w:r>
      <w:proofErr w:type="spellEnd"/>
      <w:r>
        <w:t xml:space="preserve"> </w:t>
      </w:r>
      <w:r>
        <w:tab/>
      </w:r>
      <w:r w:rsidRPr="000E08E3">
        <w:rPr>
          <w:i/>
        </w:rPr>
        <w:t>Competition and Consumer Act 2010</w:t>
      </w:r>
    </w:p>
    <w:p w:rsidR="00936C48" w:rsidRDefault="00936C48" w:rsidP="006E0723">
      <w:pPr>
        <w:spacing w:after="480"/>
        <w:ind w:left="2160" w:hanging="2160"/>
      </w:pPr>
      <w:r>
        <w:t>Commission</w:t>
      </w:r>
      <w:r>
        <w:tab/>
        <w:t xml:space="preserve">Refers to those members of the </w:t>
      </w:r>
      <w:proofErr w:type="spellStart"/>
      <w:r>
        <w:t>ACCC</w:t>
      </w:r>
      <w:proofErr w:type="spellEnd"/>
      <w:r>
        <w:t xml:space="preserve"> who are constituted to conduct the inquiry</w:t>
      </w:r>
    </w:p>
    <w:p w:rsidR="00936C48" w:rsidRDefault="00936C48" w:rsidP="006E0723">
      <w:pPr>
        <w:spacing w:after="480"/>
      </w:pPr>
      <w:r>
        <w:t>Conference</w:t>
      </w:r>
      <w:r>
        <w:tab/>
      </w:r>
      <w:r>
        <w:tab/>
        <w:t xml:space="preserve">A meeting between the parties and one or more </w:t>
      </w:r>
      <w:r w:rsidR="00BE755D">
        <w:t>Commissioner</w:t>
      </w:r>
    </w:p>
    <w:p w:rsidR="00936C48" w:rsidRDefault="00936C48" w:rsidP="006E0723">
      <w:pPr>
        <w:spacing w:after="480"/>
        <w:ind w:left="2160" w:hanging="2160"/>
      </w:pPr>
      <w:r>
        <w:t>Minister</w:t>
      </w:r>
      <w:r>
        <w:tab/>
      </w:r>
      <w:r w:rsidR="00607C14" w:rsidRPr="00607C14">
        <w:t>Within the Australian Government, the Minister for Broadband, Communications and the Digital Economy has portfolio responsibility for Australia Post</w:t>
      </w:r>
    </w:p>
    <w:p w:rsidR="00936C48" w:rsidRPr="0049662D" w:rsidRDefault="00936C48" w:rsidP="006E0723">
      <w:pPr>
        <w:spacing w:after="480"/>
        <w:ind w:left="2160" w:hanging="2160"/>
      </w:pPr>
      <w:r w:rsidRPr="0049662D">
        <w:t>Party</w:t>
      </w:r>
      <w:r w:rsidRPr="0049662D">
        <w:tab/>
        <w:t xml:space="preserve">A person who is formally recognised as a party to an inquiry under Part 3 of the Australian Postal Corporation Regulations 1996 </w:t>
      </w:r>
    </w:p>
    <w:p w:rsidR="00936C48" w:rsidRDefault="00936C48" w:rsidP="00936C48">
      <w:pPr>
        <w:pStyle w:val="Heading2"/>
        <w:numPr>
          <w:ilvl w:val="0"/>
          <w:numId w:val="0"/>
        </w:numPr>
      </w:pPr>
      <w:r>
        <w:br w:type="page"/>
      </w:r>
      <w:bookmarkStart w:id="1" w:name="_Toc332363509"/>
      <w:r>
        <w:t>Preface</w:t>
      </w:r>
      <w:bookmarkEnd w:id="1"/>
    </w:p>
    <w:p w:rsidR="008810E5" w:rsidRDefault="003C40D1" w:rsidP="00FB74AB">
      <w:r>
        <w:t>The</w:t>
      </w:r>
      <w:r w:rsidRPr="003C40D1">
        <w:t xml:space="preserve"> </w:t>
      </w:r>
      <w:r>
        <w:t>Australian Postal Corporation (</w:t>
      </w:r>
      <w:r w:rsidR="003D4742" w:rsidRPr="00A11400">
        <w:rPr>
          <w:rFonts w:cs="Arial"/>
          <w:color w:val="333333"/>
        </w:rPr>
        <w:t>Australia Post</w:t>
      </w:r>
      <w:r>
        <w:rPr>
          <w:rFonts w:cs="Arial"/>
          <w:color w:val="333333"/>
        </w:rPr>
        <w:t>)</w:t>
      </w:r>
      <w:r w:rsidR="003D4742" w:rsidRPr="00A11400">
        <w:rPr>
          <w:rFonts w:cs="Arial"/>
          <w:color w:val="333333"/>
        </w:rPr>
        <w:t xml:space="preserve"> provides a bulk interconnection service where it supplies a service under which bulk quantities of letters are delivered within </w:t>
      </w:r>
      <w:smartTag w:uri="urn:schemas-microsoft-com:office:smarttags" w:element="place">
        <w:smartTag w:uri="urn:schemas-microsoft-com:office:smarttags" w:element="country-region">
          <w:r w:rsidR="003D4742" w:rsidRPr="00A11400">
            <w:rPr>
              <w:rFonts w:cs="Arial"/>
              <w:color w:val="333333"/>
            </w:rPr>
            <w:t>Australia</w:t>
          </w:r>
        </w:smartTag>
      </w:smartTag>
      <w:r w:rsidR="003D4742" w:rsidRPr="00A11400">
        <w:rPr>
          <w:rFonts w:cs="Arial"/>
          <w:color w:val="333333"/>
        </w:rPr>
        <w:t xml:space="preserve"> at reduced rates</w:t>
      </w:r>
      <w:r w:rsidR="00FB74AB">
        <w:rPr>
          <w:rFonts w:cs="Arial"/>
          <w:color w:val="333333"/>
        </w:rPr>
        <w:t>.</w:t>
      </w:r>
      <w:r w:rsidR="003D4742" w:rsidRPr="00A11400">
        <w:rPr>
          <w:rFonts w:cs="Arial"/>
          <w:color w:val="333333"/>
        </w:rPr>
        <w:t xml:space="preserve"> </w:t>
      </w:r>
    </w:p>
    <w:p w:rsidR="00F76BA0" w:rsidRDefault="000B471C" w:rsidP="008810E5">
      <w:r>
        <w:t>T</w:t>
      </w:r>
      <w:r w:rsidRPr="000B471C">
        <w:t>he</w:t>
      </w:r>
      <w:r w:rsidRPr="00C72456">
        <w:rPr>
          <w:i/>
        </w:rPr>
        <w:t xml:space="preserve"> Australian Postal Corporation Regulations 1996</w:t>
      </w:r>
      <w:r>
        <w:t xml:space="preserve"> (</w:t>
      </w:r>
      <w:proofErr w:type="spellStart"/>
      <w:r>
        <w:t>APCR</w:t>
      </w:r>
      <w:proofErr w:type="spellEnd"/>
      <w:r>
        <w:t xml:space="preserve">) were </w:t>
      </w:r>
      <w:r w:rsidR="001815A1">
        <w:t xml:space="preserve">made </w:t>
      </w:r>
      <w:r>
        <w:t xml:space="preserve">under the </w:t>
      </w:r>
      <w:r w:rsidR="006C102F" w:rsidRPr="00D7378A">
        <w:rPr>
          <w:i/>
        </w:rPr>
        <w:t xml:space="preserve">Australian Postal Corporation </w:t>
      </w:r>
      <w:r w:rsidR="006C102F" w:rsidRPr="00C72456">
        <w:rPr>
          <w:i/>
        </w:rPr>
        <w:t>Act 1989</w:t>
      </w:r>
      <w:r w:rsidR="006C102F">
        <w:t xml:space="preserve"> (</w:t>
      </w:r>
      <w:proofErr w:type="spellStart"/>
      <w:r>
        <w:t>APCA</w:t>
      </w:r>
      <w:proofErr w:type="spellEnd"/>
      <w:r w:rsidR="006C102F">
        <w:t>)</w:t>
      </w:r>
      <w:r>
        <w:t xml:space="preserve">. </w:t>
      </w:r>
      <w:r w:rsidR="00A671FB">
        <w:t xml:space="preserve">The object of </w:t>
      </w:r>
      <w:r w:rsidR="00F76BA0">
        <w:t>P</w:t>
      </w:r>
      <w:r w:rsidR="00F76BA0" w:rsidRPr="00C72456">
        <w:t>art 3 of</w:t>
      </w:r>
      <w:r>
        <w:t xml:space="preserve"> the </w:t>
      </w:r>
      <w:proofErr w:type="spellStart"/>
      <w:r>
        <w:t>APCR</w:t>
      </w:r>
      <w:proofErr w:type="spellEnd"/>
      <w:r w:rsidR="00F76BA0" w:rsidRPr="00C72456">
        <w:rPr>
          <w:i/>
        </w:rPr>
        <w:t xml:space="preserve"> </w:t>
      </w:r>
      <w:r w:rsidR="00A671FB">
        <w:t xml:space="preserve">is that </w:t>
      </w:r>
      <w:r w:rsidR="00F76BA0">
        <w:t>persons who use a bulk interconnection service receive fair and reasonable rate reductions for use of the service</w:t>
      </w:r>
      <w:r w:rsidR="00F75F13">
        <w:t xml:space="preserve"> by making </w:t>
      </w:r>
      <w:r w:rsidR="00F76BA0">
        <w:t>provision for the Australian Competition and Consumer Commission (</w:t>
      </w:r>
      <w:proofErr w:type="spellStart"/>
      <w:r w:rsidR="00F76BA0">
        <w:t>ACCC</w:t>
      </w:r>
      <w:proofErr w:type="spellEnd"/>
      <w:r w:rsidR="00F76BA0">
        <w:t>)</w:t>
      </w:r>
      <w:r w:rsidR="00813337">
        <w:t xml:space="preserve"> to</w:t>
      </w:r>
      <w:r w:rsidR="00F76BA0">
        <w:t>:</w:t>
      </w:r>
    </w:p>
    <w:p w:rsidR="00F76BA0" w:rsidRDefault="00F76BA0" w:rsidP="00A671FB">
      <w:pPr>
        <w:numPr>
          <w:ilvl w:val="0"/>
          <w:numId w:val="31"/>
        </w:numPr>
      </w:pPr>
      <w:r>
        <w:t>inquire into a dispute about the terms and conditions on which a rate reduction</w:t>
      </w:r>
      <w:r w:rsidR="007B08A6">
        <w:t xml:space="preserve"> in relation to </w:t>
      </w:r>
      <w:r w:rsidR="00F75F13">
        <w:t>the</w:t>
      </w:r>
      <w:r w:rsidR="00A3067D">
        <w:t xml:space="preserve"> bulk interconnection</w:t>
      </w:r>
      <w:r w:rsidR="007B08A6">
        <w:t xml:space="preserve"> service</w:t>
      </w:r>
      <w:r>
        <w:t xml:space="preserve"> is or </w:t>
      </w:r>
      <w:r w:rsidR="006A5F56">
        <w:t xml:space="preserve">will </w:t>
      </w:r>
      <w:r>
        <w:t>be provided to a person (including the amount of the rate reduction and the period for which it should apply); and</w:t>
      </w:r>
    </w:p>
    <w:p w:rsidR="00F76BA0" w:rsidRDefault="00F76BA0" w:rsidP="00A671FB">
      <w:pPr>
        <w:numPr>
          <w:ilvl w:val="0"/>
          <w:numId w:val="31"/>
        </w:numPr>
      </w:pPr>
      <w:proofErr w:type="gramStart"/>
      <w:r>
        <w:t>make</w:t>
      </w:r>
      <w:proofErr w:type="gramEnd"/>
      <w:r>
        <w:t xml:space="preserve"> a recommendation to the Minister about the terms and conditions </w:t>
      </w:r>
      <w:r w:rsidR="006A5F56">
        <w:t xml:space="preserve">on which a rate reduction is or will be provided to a person. </w:t>
      </w:r>
    </w:p>
    <w:p w:rsidR="008810E5" w:rsidRDefault="007B08A6" w:rsidP="008810E5">
      <w:r>
        <w:t>A ‘bulk interconnection service’</w:t>
      </w:r>
      <w:r w:rsidR="00F75F13">
        <w:t xml:space="preserve"> for the purpose of the </w:t>
      </w:r>
      <w:proofErr w:type="spellStart"/>
      <w:r w:rsidR="00F75F13">
        <w:t>APCR</w:t>
      </w:r>
      <w:proofErr w:type="spellEnd"/>
      <w:r w:rsidR="00F75F13">
        <w:t xml:space="preserve"> has the same meaning as in </w:t>
      </w:r>
      <w:r>
        <w:t xml:space="preserve">section 32A of the </w:t>
      </w:r>
      <w:proofErr w:type="spellStart"/>
      <w:r>
        <w:t>APCA</w:t>
      </w:r>
      <w:proofErr w:type="spellEnd"/>
      <w:r>
        <w:t xml:space="preserve">. </w:t>
      </w:r>
    </w:p>
    <w:p w:rsidR="00156901" w:rsidRDefault="00F76BA0" w:rsidP="00936C48">
      <w:r>
        <w:t xml:space="preserve">The purpose </w:t>
      </w:r>
      <w:r w:rsidR="00156901">
        <w:t xml:space="preserve">of the guide is to </w:t>
      </w:r>
      <w:r w:rsidR="000B471C">
        <w:t xml:space="preserve">inform </w:t>
      </w:r>
      <w:r>
        <w:t xml:space="preserve">the </w:t>
      </w:r>
      <w:r w:rsidR="00156901">
        <w:t xml:space="preserve">public and stakeholders </w:t>
      </w:r>
      <w:r w:rsidR="000B471C">
        <w:t xml:space="preserve">about </w:t>
      </w:r>
      <w:r w:rsidR="00156901">
        <w:t xml:space="preserve">how </w:t>
      </w:r>
      <w:r>
        <w:t xml:space="preserve">the </w:t>
      </w:r>
      <w:proofErr w:type="spellStart"/>
      <w:r w:rsidR="00A671FB">
        <w:t>ACCC</w:t>
      </w:r>
      <w:proofErr w:type="spellEnd"/>
      <w:r w:rsidR="00A671FB">
        <w:t xml:space="preserve"> </w:t>
      </w:r>
      <w:r w:rsidR="007B08A6">
        <w:t xml:space="preserve">will </w:t>
      </w:r>
      <w:r w:rsidR="00156901">
        <w:t>conduct an inquiry</w:t>
      </w:r>
      <w:r>
        <w:t xml:space="preserve"> under Part 3 of the </w:t>
      </w:r>
      <w:proofErr w:type="spellStart"/>
      <w:r>
        <w:t>APCR</w:t>
      </w:r>
      <w:proofErr w:type="spellEnd"/>
      <w:r w:rsidR="00802BE0">
        <w:t xml:space="preserve">. The </w:t>
      </w:r>
      <w:proofErr w:type="spellStart"/>
      <w:r w:rsidR="00802BE0">
        <w:t>ACCC</w:t>
      </w:r>
      <w:proofErr w:type="spellEnd"/>
      <w:r w:rsidR="00802BE0">
        <w:t xml:space="preserve"> considers that having a guide will </w:t>
      </w:r>
      <w:r w:rsidR="0074743B">
        <w:t xml:space="preserve">help an </w:t>
      </w:r>
      <w:r>
        <w:t>inquiry</w:t>
      </w:r>
      <w:r w:rsidR="0074743B">
        <w:t xml:space="preserve"> to</w:t>
      </w:r>
      <w:r>
        <w:t xml:space="preserve"> </w:t>
      </w:r>
      <w:r w:rsidR="00A671FB">
        <w:t>procee</w:t>
      </w:r>
      <w:r>
        <w:t>d in a timely and efficient manner</w:t>
      </w:r>
      <w:r w:rsidR="00C87855">
        <w:t>.</w:t>
      </w:r>
    </w:p>
    <w:p w:rsidR="00387A68" w:rsidRDefault="00387A68" w:rsidP="00387A68">
      <w:r>
        <w:t xml:space="preserve">To date no dispute about the terms and conditions for Australia Post’s bulk interconnection services has been notified to the </w:t>
      </w:r>
      <w:proofErr w:type="spellStart"/>
      <w:r>
        <w:t>ACCC</w:t>
      </w:r>
      <w:proofErr w:type="spellEnd"/>
      <w:r>
        <w:t xml:space="preserve">.  </w:t>
      </w:r>
    </w:p>
    <w:p w:rsidR="006E0723" w:rsidRDefault="00764525" w:rsidP="006E0723">
      <w:r>
        <w:t xml:space="preserve">Following </w:t>
      </w:r>
      <w:r w:rsidR="00387A68">
        <w:t>recent change</w:t>
      </w:r>
      <w:r w:rsidR="0074743B">
        <w:t>s</w:t>
      </w:r>
      <w:r w:rsidR="00387A68">
        <w:t xml:space="preserve"> to </w:t>
      </w:r>
      <w:r w:rsidR="00387A68" w:rsidRPr="00B26692">
        <w:t>prices surveillance of Australia Post</w:t>
      </w:r>
      <w:r w:rsidR="00AE3811">
        <w:t>’s</w:t>
      </w:r>
      <w:r w:rsidR="00387A68" w:rsidRPr="00B26692">
        <w:t xml:space="preserve"> letter services</w:t>
      </w:r>
      <w:r w:rsidR="00387A68">
        <w:t xml:space="preserve"> </w:t>
      </w:r>
      <w:r w:rsidR="00AE3811">
        <w:t xml:space="preserve">which </w:t>
      </w:r>
      <w:r w:rsidR="00387A68">
        <w:t>remov</w:t>
      </w:r>
      <w:r w:rsidR="00AE3811">
        <w:t>ed</w:t>
      </w:r>
      <w:r w:rsidR="00387A68">
        <w:t xml:space="preserve"> bulk interconnection services from </w:t>
      </w:r>
      <w:proofErr w:type="spellStart"/>
      <w:r w:rsidR="00387A68">
        <w:t>ACCC</w:t>
      </w:r>
      <w:proofErr w:type="spellEnd"/>
      <w:r w:rsidR="00387A68">
        <w:t xml:space="preserve"> price notification requirements</w:t>
      </w:r>
      <w:r w:rsidR="00AE3811">
        <w:t xml:space="preserve">, the </w:t>
      </w:r>
      <w:proofErr w:type="spellStart"/>
      <w:r w:rsidR="00AE3811">
        <w:t>ACCC</w:t>
      </w:r>
      <w:proofErr w:type="spellEnd"/>
      <w:r w:rsidR="00AE3811">
        <w:t xml:space="preserve"> has decided to prepare this draft guide.</w:t>
      </w:r>
    </w:p>
    <w:p w:rsidR="003B62EF" w:rsidRDefault="00B65E92" w:rsidP="006E0723">
      <w:pPr>
        <w:rPr>
          <w:szCs w:val="24"/>
        </w:rPr>
      </w:pPr>
      <w:r>
        <w:t xml:space="preserve">The </w:t>
      </w:r>
      <w:proofErr w:type="spellStart"/>
      <w:r>
        <w:t>ACCC</w:t>
      </w:r>
      <w:proofErr w:type="spellEnd"/>
      <w:r>
        <w:t xml:space="preserve"> </w:t>
      </w:r>
      <w:r w:rsidR="00B57F27">
        <w:t>seeks</w:t>
      </w:r>
      <w:r>
        <w:t xml:space="preserve"> submissions in response to its draft guide. </w:t>
      </w:r>
      <w:r w:rsidR="003B62EF">
        <w:rPr>
          <w:szCs w:val="24"/>
        </w:rPr>
        <w:t xml:space="preserve">A number of general questions for submissions are included at the end of </w:t>
      </w:r>
      <w:r w:rsidR="00D1452D">
        <w:rPr>
          <w:szCs w:val="24"/>
        </w:rPr>
        <w:t>chapter</w:t>
      </w:r>
      <w:r w:rsidR="003B62EF">
        <w:rPr>
          <w:szCs w:val="24"/>
        </w:rPr>
        <w:t xml:space="preserve">s 2-8 of the draft guide, and </w:t>
      </w:r>
      <w:r w:rsidR="0038549E">
        <w:rPr>
          <w:szCs w:val="24"/>
        </w:rPr>
        <w:t xml:space="preserve">are </w:t>
      </w:r>
      <w:r w:rsidR="003B62EF">
        <w:rPr>
          <w:szCs w:val="24"/>
        </w:rPr>
        <w:t xml:space="preserve">also attached in the form of a list at </w:t>
      </w:r>
      <w:r w:rsidR="003B62EF" w:rsidRPr="00AB02A9">
        <w:rPr>
          <w:b/>
          <w:szCs w:val="24"/>
        </w:rPr>
        <w:t>Appendix A</w:t>
      </w:r>
      <w:r w:rsidR="003B62EF">
        <w:rPr>
          <w:szCs w:val="24"/>
        </w:rPr>
        <w:t>.</w:t>
      </w:r>
    </w:p>
    <w:p w:rsidR="00B65E92" w:rsidRDefault="00B65E92" w:rsidP="00B65E92">
      <w:r>
        <w:t xml:space="preserve">Submissions should be provided to the </w:t>
      </w:r>
      <w:proofErr w:type="spellStart"/>
      <w:r>
        <w:t>ACCC</w:t>
      </w:r>
      <w:proofErr w:type="spellEnd"/>
      <w:r>
        <w:t xml:space="preserve"> no later than close of business </w:t>
      </w:r>
      <w:r w:rsidR="0038549E">
        <w:t>21 September</w:t>
      </w:r>
      <w:r w:rsidR="006E0723">
        <w:t xml:space="preserve"> </w:t>
      </w:r>
      <w:r>
        <w:t xml:space="preserve">2012. </w:t>
      </w:r>
    </w:p>
    <w:p w:rsidR="007D48CF" w:rsidRDefault="007D48CF" w:rsidP="007D48CF">
      <w:r>
        <w:t xml:space="preserve">To facilitate an informed, transparent and robust consultation process, the </w:t>
      </w:r>
      <w:proofErr w:type="spellStart"/>
      <w:r>
        <w:t>ACCC</w:t>
      </w:r>
      <w:proofErr w:type="spellEnd"/>
      <w:r>
        <w:t xml:space="preserve"> prefers that all submissions are publicly available. </w:t>
      </w:r>
      <w:r w:rsidR="00F75F13">
        <w:t>S</w:t>
      </w:r>
      <w:r>
        <w:t>ubmissions will be treated as public documents and</w:t>
      </w:r>
      <w:r w:rsidR="00B57F27">
        <w:t xml:space="preserve"> will be</w:t>
      </w:r>
      <w:r>
        <w:t xml:space="preserve"> posted on the </w:t>
      </w:r>
      <w:proofErr w:type="spellStart"/>
      <w:r>
        <w:t>ACCC’s</w:t>
      </w:r>
      <w:proofErr w:type="spellEnd"/>
      <w:r>
        <w:t xml:space="preserve"> website unless prior arrangements are made with the </w:t>
      </w:r>
      <w:proofErr w:type="spellStart"/>
      <w:r>
        <w:t>ACCC</w:t>
      </w:r>
      <w:proofErr w:type="spellEnd"/>
      <w:r>
        <w:t xml:space="preserve"> to treat </w:t>
      </w:r>
      <w:r w:rsidR="00B57F27">
        <w:t xml:space="preserve">a </w:t>
      </w:r>
      <w:r>
        <w:t xml:space="preserve">submission, or portions of </w:t>
      </w:r>
      <w:r w:rsidR="00B57F27">
        <w:t>a submission</w:t>
      </w:r>
      <w:r>
        <w:t>, as confidential.</w:t>
      </w:r>
    </w:p>
    <w:p w:rsidR="007D48CF" w:rsidRDefault="007D48CF" w:rsidP="007D48CF">
      <w:r>
        <w:t xml:space="preserve">The </w:t>
      </w:r>
      <w:proofErr w:type="spellStart"/>
      <w:r>
        <w:t>ACCC</w:t>
      </w:r>
      <w:proofErr w:type="spellEnd"/>
      <w:r>
        <w:t xml:space="preserve"> will accept submissions by email or by post. However, it is preferred that submissions be made by email. If submissions are provided in PDF format, parties are asked, for accessibility reasons, to also provide a copy in Microsoft Word format.</w:t>
      </w:r>
    </w:p>
    <w:p w:rsidR="00936C48" w:rsidRDefault="00936C48" w:rsidP="00936C48">
      <w:r>
        <w:t>Submissions should be addressed to:</w:t>
      </w:r>
    </w:p>
    <w:p w:rsidR="00C85D2D" w:rsidRDefault="00156901" w:rsidP="00C85D2D">
      <w:r>
        <w:t>By email:</w:t>
      </w:r>
    </w:p>
    <w:p w:rsidR="00C85D2D" w:rsidRDefault="00C85D2D" w:rsidP="00C85D2D">
      <w:pPr>
        <w:ind w:firstLine="720"/>
      </w:pPr>
      <w:r>
        <w:t>postalservices@accc.gov.au</w:t>
      </w:r>
    </w:p>
    <w:p w:rsidR="00C85D2D" w:rsidRDefault="00C85D2D" w:rsidP="00936C48">
      <w:r>
        <w:t>By post</w:t>
      </w:r>
      <w:r w:rsidR="00C87855">
        <w:t>:</w:t>
      </w:r>
    </w:p>
    <w:p w:rsidR="00424B56" w:rsidRDefault="00936C48" w:rsidP="00C85D2D">
      <w:pPr>
        <w:ind w:left="720"/>
      </w:pPr>
      <w:bookmarkStart w:id="2" w:name="OLE_LINK34"/>
      <w:bookmarkStart w:id="3" w:name="OLE_LINK35"/>
      <w:r>
        <w:t>General Manager</w:t>
      </w:r>
      <w:bookmarkEnd w:id="2"/>
      <w:bookmarkEnd w:id="3"/>
    </w:p>
    <w:p w:rsidR="00936C48" w:rsidRDefault="000C26AD" w:rsidP="00C85D2D">
      <w:pPr>
        <w:ind w:left="720"/>
      </w:pPr>
      <w:r>
        <w:t xml:space="preserve">Fuel, </w:t>
      </w:r>
      <w:r w:rsidR="00936C48">
        <w:t xml:space="preserve">Transport and Prices Oversight </w:t>
      </w:r>
      <w:r w:rsidR="00424B56">
        <w:t>Branch</w:t>
      </w:r>
    </w:p>
    <w:p w:rsidR="00936C48" w:rsidRDefault="00936C48" w:rsidP="00C85D2D">
      <w:pPr>
        <w:ind w:left="720"/>
      </w:pPr>
      <w:r>
        <w:t xml:space="preserve">Australian Competition and Consumer Commission </w:t>
      </w:r>
    </w:p>
    <w:p w:rsidR="00936C48" w:rsidRDefault="00936C48" w:rsidP="00C85D2D">
      <w:pPr>
        <w:ind w:left="720"/>
      </w:pPr>
      <w:r>
        <w:t xml:space="preserve">GPO </w:t>
      </w:r>
      <w:smartTag w:uri="urn:schemas-microsoft-com:office:smarttags" w:element="address">
        <w:smartTag w:uri="urn:schemas-microsoft-com:office:smarttags" w:element="Street">
          <w:r>
            <w:t>Box</w:t>
          </w:r>
        </w:smartTag>
        <w:r>
          <w:t xml:space="preserve"> 520</w:t>
        </w:r>
      </w:smartTag>
      <w:r>
        <w:t xml:space="preserve"> </w:t>
      </w:r>
    </w:p>
    <w:p w:rsidR="00936C48" w:rsidRDefault="00936C48" w:rsidP="00C85D2D">
      <w:pPr>
        <w:ind w:left="720"/>
      </w:pPr>
      <w:smartTag w:uri="urn:schemas-microsoft-com:office:smarttags" w:element="place">
        <w:smartTag w:uri="urn:schemas-microsoft-com:office:smarttags" w:element="City">
          <w:r>
            <w:t>MELBOURNE</w:t>
          </w:r>
        </w:smartTag>
      </w:smartTag>
      <w:r>
        <w:t xml:space="preserve"> VIC 3001</w:t>
      </w:r>
    </w:p>
    <w:p w:rsidR="00936C48" w:rsidRDefault="00936C48" w:rsidP="00936C48">
      <w:r>
        <w:t xml:space="preserve">If you have any further questions about the process, or about making a submission to the </w:t>
      </w:r>
      <w:proofErr w:type="spellStart"/>
      <w:r>
        <w:t>ACCC</w:t>
      </w:r>
      <w:proofErr w:type="spellEnd"/>
      <w:r>
        <w:t xml:space="preserve">, please send an email to </w:t>
      </w:r>
      <w:hyperlink r:id="rId10" w:history="1">
        <w:r w:rsidR="002104F3" w:rsidRPr="00411683">
          <w:rPr>
            <w:rStyle w:val="Hyperlink"/>
          </w:rPr>
          <w:t>postalservices@accc.gov.au</w:t>
        </w:r>
      </w:hyperlink>
      <w:r>
        <w:t>.</w:t>
      </w:r>
    </w:p>
    <w:p w:rsidR="002104F3" w:rsidRDefault="001E690F" w:rsidP="00936C48">
      <w:bookmarkStart w:id="4" w:name="OLE_LINK5"/>
      <w:r>
        <w:t>T</w:t>
      </w:r>
      <w:r w:rsidR="002104F3">
        <w:t xml:space="preserve">he </w:t>
      </w:r>
      <w:proofErr w:type="spellStart"/>
      <w:r w:rsidR="002104F3">
        <w:t>ACCC</w:t>
      </w:r>
      <w:proofErr w:type="spellEnd"/>
      <w:r w:rsidR="002104F3">
        <w:t xml:space="preserve"> will publish a final guide after consideration of submissions to this draft guide.</w:t>
      </w:r>
    </w:p>
    <w:bookmarkEnd w:id="4"/>
    <w:p w:rsidR="00936C48" w:rsidRDefault="00936C48" w:rsidP="00936C48">
      <w:pPr>
        <w:pStyle w:val="Heading2"/>
        <w:numPr>
          <w:ilvl w:val="1"/>
          <w:numId w:val="0"/>
        </w:numPr>
        <w:tabs>
          <w:tab w:val="num" w:pos="576"/>
        </w:tabs>
        <w:ind w:left="576" w:hanging="576"/>
        <w:sectPr w:rsidR="00936C48" w:rsidSect="00B01572">
          <w:headerReference w:type="even" r:id="rId11"/>
          <w:headerReference w:type="default" r:id="rId12"/>
          <w:footerReference w:type="even" r:id="rId13"/>
          <w:footerReference w:type="default" r:id="rId14"/>
          <w:headerReference w:type="first" r:id="rId15"/>
          <w:footerReference w:type="first" r:id="rId16"/>
          <w:pgSz w:w="11906" w:h="16838" w:code="9"/>
          <w:pgMar w:top="1440" w:right="1729" w:bottom="1582" w:left="1729" w:header="720" w:footer="1009" w:gutter="0"/>
          <w:pgNumType w:fmt="lowerRoman" w:start="1"/>
          <w:cols w:space="720"/>
          <w:titlePg/>
        </w:sectPr>
      </w:pPr>
    </w:p>
    <w:p w:rsidR="00936C48" w:rsidRDefault="000E08E3" w:rsidP="00936C48">
      <w:pPr>
        <w:pStyle w:val="Heading2"/>
        <w:numPr>
          <w:ilvl w:val="0"/>
          <w:numId w:val="0"/>
        </w:numPr>
        <w:ind w:left="720" w:hanging="720"/>
      </w:pPr>
      <w:bookmarkStart w:id="5" w:name="_Toc332363510"/>
      <w:r>
        <w:t>1</w:t>
      </w:r>
      <w:r>
        <w:tab/>
      </w:r>
      <w:r w:rsidR="00936C48">
        <w:t>Introduction</w:t>
      </w:r>
      <w:bookmarkEnd w:id="5"/>
    </w:p>
    <w:p w:rsidR="00936C48" w:rsidRDefault="00936C48" w:rsidP="00936C48">
      <w:r>
        <w:t xml:space="preserve">The </w:t>
      </w:r>
      <w:proofErr w:type="spellStart"/>
      <w:r>
        <w:t>ACCC</w:t>
      </w:r>
      <w:proofErr w:type="spellEnd"/>
      <w:r>
        <w:t xml:space="preserve"> has a role under </w:t>
      </w:r>
      <w:r w:rsidR="005F5A80">
        <w:t xml:space="preserve">Part 3 of the </w:t>
      </w:r>
      <w:proofErr w:type="spellStart"/>
      <w:r w:rsidR="001815A1">
        <w:t>APCR</w:t>
      </w:r>
      <w:proofErr w:type="spellEnd"/>
      <w:r w:rsidR="001815A1">
        <w:t xml:space="preserve"> </w:t>
      </w:r>
      <w:r>
        <w:t>to inquire into disputes about the terms and conditions on which Australia Post provides</w:t>
      </w:r>
      <w:r w:rsidR="001642A6">
        <w:t xml:space="preserve"> or will provide a rate reduction for</w:t>
      </w:r>
      <w:r w:rsidR="001B61C0">
        <w:t xml:space="preserve"> </w:t>
      </w:r>
      <w:r>
        <w:t>bulk interconnection service</w:t>
      </w:r>
      <w:r w:rsidR="000D4DA3">
        <w:t>s</w:t>
      </w:r>
      <w:r>
        <w:t xml:space="preserve">. </w:t>
      </w:r>
      <w:r w:rsidR="00B10C43">
        <w:rPr>
          <w:szCs w:val="24"/>
        </w:rPr>
        <w:t>The intention of these provisions is to ensure</w:t>
      </w:r>
      <w:r w:rsidR="00B10C43" w:rsidRPr="00FC618C">
        <w:rPr>
          <w:szCs w:val="24"/>
        </w:rPr>
        <w:t xml:space="preserve"> that Australia Post does not set unreasonable terms and conditions for its bulk </w:t>
      </w:r>
      <w:r w:rsidR="00A364CE">
        <w:rPr>
          <w:szCs w:val="24"/>
        </w:rPr>
        <w:t>letter</w:t>
      </w:r>
      <w:r w:rsidR="00B10C43" w:rsidRPr="00FC618C">
        <w:rPr>
          <w:szCs w:val="24"/>
        </w:rPr>
        <w:t xml:space="preserve"> service</w:t>
      </w:r>
      <w:r w:rsidR="00B10C43">
        <w:rPr>
          <w:szCs w:val="24"/>
        </w:rPr>
        <w:t>.</w:t>
      </w:r>
      <w:r w:rsidR="00B10C43">
        <w:rPr>
          <w:rStyle w:val="FootnoteReference"/>
          <w:szCs w:val="24"/>
        </w:rPr>
        <w:footnoteReference w:id="1"/>
      </w:r>
      <w:r w:rsidR="00B10C43">
        <w:rPr>
          <w:szCs w:val="24"/>
        </w:rPr>
        <w:t xml:space="preserve"> If the </w:t>
      </w:r>
      <w:proofErr w:type="spellStart"/>
      <w:r w:rsidR="00B10C43">
        <w:rPr>
          <w:szCs w:val="24"/>
        </w:rPr>
        <w:t>ACCC</w:t>
      </w:r>
      <w:proofErr w:type="spellEnd"/>
      <w:r w:rsidR="00B10C43">
        <w:rPr>
          <w:szCs w:val="24"/>
        </w:rPr>
        <w:t xml:space="preserve"> undertakes an inquiry into a </w:t>
      </w:r>
      <w:r w:rsidR="00B10C43">
        <w:t>bulk interconnection service</w:t>
      </w:r>
      <w:r w:rsidR="00B10C43">
        <w:rPr>
          <w:szCs w:val="24"/>
        </w:rPr>
        <w:t xml:space="preserve"> dispute, it is required to report to the Minister with</w:t>
      </w:r>
      <w:r w:rsidR="00B10C43">
        <w:t xml:space="preserve"> recommendations about the terms and conditions on which a service is or will be provided to </w:t>
      </w:r>
      <w:r w:rsidR="006935DA">
        <w:t xml:space="preserve">that </w:t>
      </w:r>
      <w:r w:rsidR="00B10C43">
        <w:t>person.</w:t>
      </w:r>
    </w:p>
    <w:p w:rsidR="009E5CD3" w:rsidRDefault="009E5CD3" w:rsidP="009E5CD3">
      <w:r>
        <w:t xml:space="preserve">The purpose of the guide is to </w:t>
      </w:r>
      <w:r w:rsidR="00875F5F">
        <w:t xml:space="preserve">inform </w:t>
      </w:r>
      <w:r>
        <w:t xml:space="preserve">the public and stakeholders </w:t>
      </w:r>
      <w:r w:rsidR="00875F5F">
        <w:t xml:space="preserve">about </w:t>
      </w:r>
      <w:r>
        <w:t xml:space="preserve">how the </w:t>
      </w:r>
      <w:proofErr w:type="spellStart"/>
      <w:r>
        <w:t>ACCC</w:t>
      </w:r>
      <w:proofErr w:type="spellEnd"/>
      <w:r>
        <w:t xml:space="preserve"> </w:t>
      </w:r>
      <w:r w:rsidR="005F5A80">
        <w:t xml:space="preserve">will </w:t>
      </w:r>
      <w:r>
        <w:t xml:space="preserve">conduct an inquiry under Part 3 of the </w:t>
      </w:r>
      <w:proofErr w:type="spellStart"/>
      <w:r>
        <w:t>APCR</w:t>
      </w:r>
      <w:proofErr w:type="spellEnd"/>
      <w:r>
        <w:t xml:space="preserve"> </w:t>
      </w:r>
      <w:r w:rsidR="005F5A80">
        <w:t xml:space="preserve">in order to </w:t>
      </w:r>
      <w:r w:rsidR="000C277B">
        <w:t>help</w:t>
      </w:r>
      <w:r>
        <w:t xml:space="preserve"> </w:t>
      </w:r>
      <w:r w:rsidR="005F5A80">
        <w:t>inquiries</w:t>
      </w:r>
      <w:r w:rsidR="000C277B">
        <w:t xml:space="preserve"> to</w:t>
      </w:r>
      <w:r w:rsidR="005F5A80">
        <w:t xml:space="preserve"> </w:t>
      </w:r>
      <w:r>
        <w:t>proceed in a timely and efficient manner.</w:t>
      </w:r>
    </w:p>
    <w:p w:rsidR="00936C48" w:rsidRDefault="00936C48" w:rsidP="00936C48">
      <w:pPr>
        <w:pStyle w:val="Heading3"/>
        <w:numPr>
          <w:ilvl w:val="1"/>
          <w:numId w:val="28"/>
        </w:numPr>
      </w:pPr>
      <w:bookmarkStart w:id="6" w:name="_Toc317019395"/>
      <w:bookmarkStart w:id="7" w:name="_Toc317019495"/>
      <w:bookmarkStart w:id="8" w:name="_Toc317060155"/>
      <w:bookmarkStart w:id="9" w:name="_Toc317078898"/>
      <w:bookmarkStart w:id="10" w:name="_Toc317094338"/>
      <w:bookmarkStart w:id="11" w:name="_Toc317094518"/>
      <w:bookmarkStart w:id="12" w:name="_Toc317094676"/>
      <w:bookmarkStart w:id="13" w:name="_Toc317106954"/>
      <w:bookmarkStart w:id="14" w:name="_Toc317107281"/>
      <w:bookmarkStart w:id="15" w:name="_Toc317108128"/>
      <w:bookmarkStart w:id="16" w:name="_Toc317253241"/>
      <w:bookmarkStart w:id="17" w:name="_Toc332363511"/>
      <w:bookmarkEnd w:id="6"/>
      <w:bookmarkEnd w:id="7"/>
      <w:bookmarkEnd w:id="8"/>
      <w:bookmarkEnd w:id="9"/>
      <w:bookmarkEnd w:id="10"/>
      <w:bookmarkEnd w:id="11"/>
      <w:bookmarkEnd w:id="12"/>
      <w:bookmarkEnd w:id="13"/>
      <w:bookmarkEnd w:id="14"/>
      <w:bookmarkEnd w:id="15"/>
      <w:bookmarkEnd w:id="16"/>
      <w:r>
        <w:t xml:space="preserve">Australia Post’s </w:t>
      </w:r>
      <w:r w:rsidR="001E7052">
        <w:t>bulk interconnection service</w:t>
      </w:r>
      <w:bookmarkEnd w:id="17"/>
    </w:p>
    <w:p w:rsidR="00C42F71" w:rsidRDefault="00F75F13" w:rsidP="00CF3E57">
      <w:r>
        <w:t xml:space="preserve">Part 3 of the </w:t>
      </w:r>
      <w:proofErr w:type="spellStart"/>
      <w:r>
        <w:t>APCR</w:t>
      </w:r>
      <w:proofErr w:type="spellEnd"/>
      <w:r>
        <w:t xml:space="preserve"> allows the </w:t>
      </w:r>
      <w:proofErr w:type="spellStart"/>
      <w:r>
        <w:t>ACCC</w:t>
      </w:r>
      <w:proofErr w:type="spellEnd"/>
      <w:r>
        <w:t xml:space="preserve"> to inquire into disputes about the bulk interconnection service. The bulk interconnection service referred to in the </w:t>
      </w:r>
      <w:proofErr w:type="spellStart"/>
      <w:r>
        <w:t>AP</w:t>
      </w:r>
      <w:r w:rsidR="00503B5E">
        <w:t>C</w:t>
      </w:r>
      <w:r>
        <w:t>R</w:t>
      </w:r>
      <w:proofErr w:type="spellEnd"/>
      <w:r>
        <w:t xml:space="preserve"> has the same meaning as in section 32A of the </w:t>
      </w:r>
      <w:proofErr w:type="spellStart"/>
      <w:r>
        <w:t>APCA</w:t>
      </w:r>
      <w:proofErr w:type="spellEnd"/>
      <w:r>
        <w:t>.</w:t>
      </w:r>
      <w:r>
        <w:rPr>
          <w:rStyle w:val="FootnoteReference"/>
        </w:rPr>
        <w:footnoteReference w:id="2"/>
      </w:r>
      <w:r>
        <w:t xml:space="preserve"> </w:t>
      </w:r>
      <w:r w:rsidR="00D523E1">
        <w:t xml:space="preserve">Section 32A of the </w:t>
      </w:r>
      <w:proofErr w:type="spellStart"/>
      <w:r w:rsidR="00D523E1">
        <w:t>APCA</w:t>
      </w:r>
      <w:proofErr w:type="spellEnd"/>
      <w:r w:rsidR="00D523E1">
        <w:t xml:space="preserve"> </w:t>
      </w:r>
      <w:bookmarkStart w:id="18" w:name="OLE_LINK1"/>
      <w:bookmarkStart w:id="19" w:name="OLE_LINK2"/>
      <w:r w:rsidR="00D523E1">
        <w:t xml:space="preserve">defines a </w:t>
      </w:r>
      <w:r w:rsidR="00666348">
        <w:t>‘</w:t>
      </w:r>
      <w:r w:rsidR="00936C48">
        <w:t>bulk interconnection service</w:t>
      </w:r>
      <w:r w:rsidR="00666348">
        <w:t>’</w:t>
      </w:r>
      <w:r w:rsidR="000572C7">
        <w:t xml:space="preserve"> </w:t>
      </w:r>
      <w:bookmarkEnd w:id="18"/>
      <w:bookmarkEnd w:id="19"/>
      <w:r w:rsidR="00D523E1">
        <w:t xml:space="preserve">as a service </w:t>
      </w:r>
      <w:r w:rsidR="00CF3E57">
        <w:t>provided by Australia Post under which bulk quantities of letters are delivered within Australia at reduced rates</w:t>
      </w:r>
      <w:r w:rsidR="00C42F71">
        <w:t xml:space="preserve"> provided that:</w:t>
      </w:r>
    </w:p>
    <w:p w:rsidR="00C42F71" w:rsidRDefault="00CF3E57" w:rsidP="00C42F71">
      <w:pPr>
        <w:numPr>
          <w:ilvl w:val="0"/>
          <w:numId w:val="60"/>
        </w:numPr>
      </w:pPr>
      <w:r>
        <w:t xml:space="preserve">the letters have been </w:t>
      </w:r>
      <w:r w:rsidR="00D523E1">
        <w:t xml:space="preserve">lodged </w:t>
      </w:r>
      <w:r w:rsidR="00C42F71">
        <w:t xml:space="preserve">at specified Australia Post offices, </w:t>
      </w:r>
      <w:r w:rsidR="00D523E1">
        <w:t>and</w:t>
      </w:r>
    </w:p>
    <w:p w:rsidR="00CF3E57" w:rsidRDefault="00C42F71" w:rsidP="00C42F71">
      <w:pPr>
        <w:numPr>
          <w:ilvl w:val="0"/>
          <w:numId w:val="60"/>
        </w:numPr>
      </w:pPr>
      <w:proofErr w:type="gramStart"/>
      <w:r>
        <w:t>the</w:t>
      </w:r>
      <w:proofErr w:type="gramEnd"/>
      <w:r>
        <w:t xml:space="preserve"> letters have been</w:t>
      </w:r>
      <w:r w:rsidR="00D523E1">
        <w:t xml:space="preserve"> </w:t>
      </w:r>
      <w:r w:rsidR="00CF3E57">
        <w:t>sorted in accordance with the terms and conditions of the service</w:t>
      </w:r>
      <w:r w:rsidR="00783272">
        <w:t xml:space="preserve"> as specified by Australia Post</w:t>
      </w:r>
      <w:r w:rsidR="00CF3E57">
        <w:t xml:space="preserve">. </w:t>
      </w:r>
    </w:p>
    <w:p w:rsidR="00B7567E" w:rsidRDefault="000F2226" w:rsidP="00182F44">
      <w:pPr>
        <w:spacing w:before="120" w:after="120"/>
      </w:pPr>
      <w:r>
        <w:t xml:space="preserve">At the time of writing this document, </w:t>
      </w:r>
      <w:r w:rsidR="00D9323A">
        <w:t xml:space="preserve">the </w:t>
      </w:r>
      <w:proofErr w:type="spellStart"/>
      <w:r w:rsidR="00D9323A">
        <w:t>ACCC</w:t>
      </w:r>
      <w:proofErr w:type="spellEnd"/>
      <w:r w:rsidR="00D9323A">
        <w:t xml:space="preserve"> considers </w:t>
      </w:r>
      <w:r>
        <w:t xml:space="preserve">Australia Post’s </w:t>
      </w:r>
      <w:proofErr w:type="spellStart"/>
      <w:r>
        <w:t>PreSort</w:t>
      </w:r>
      <w:proofErr w:type="spellEnd"/>
      <w:r>
        <w:t xml:space="preserve"> Letters</w:t>
      </w:r>
      <w:r w:rsidR="00F47991">
        <w:t xml:space="preserve"> service</w:t>
      </w:r>
      <w:r w:rsidR="00595FFE">
        <w:t>, Charity Mail service</w:t>
      </w:r>
      <w:r>
        <w:t xml:space="preserve"> and Acquisition Mail service</w:t>
      </w:r>
      <w:r w:rsidR="00F47991">
        <w:t xml:space="preserve"> </w:t>
      </w:r>
      <w:r>
        <w:t>meet the definition of a ‘bulk interconnection service’ under section 32A.</w:t>
      </w:r>
      <w:r w:rsidR="001B61C0" w:rsidRPr="001B61C0">
        <w:rPr>
          <w:rStyle w:val="FootnoteReference"/>
        </w:rPr>
        <w:t xml:space="preserve"> </w:t>
      </w:r>
      <w:r w:rsidR="001B61C0">
        <w:rPr>
          <w:rStyle w:val="FootnoteReference"/>
        </w:rPr>
        <w:footnoteReference w:id="3"/>
      </w:r>
      <w:r w:rsidR="001B61C0">
        <w:t xml:space="preserve"> </w:t>
      </w:r>
      <w:r w:rsidR="00F47991">
        <w:t>In terms of volume, t</w:t>
      </w:r>
      <w:r w:rsidR="00CF3E57">
        <w:t xml:space="preserve">he </w:t>
      </w:r>
      <w:r w:rsidR="00F47991">
        <w:t xml:space="preserve">majority </w:t>
      </w:r>
      <w:proofErr w:type="gramStart"/>
      <w:r w:rsidR="00F47991">
        <w:t xml:space="preserve">of  </w:t>
      </w:r>
      <w:r w:rsidR="00CF3E57">
        <w:t>bulk</w:t>
      </w:r>
      <w:proofErr w:type="gramEnd"/>
      <w:r w:rsidR="00CF3E57">
        <w:t xml:space="preserve"> interconnection service</w:t>
      </w:r>
      <w:r>
        <w:t>s</w:t>
      </w:r>
      <w:r w:rsidR="00CF3E57">
        <w:t xml:space="preserve"> offered by Australia Post</w:t>
      </w:r>
      <w:r>
        <w:t xml:space="preserve"> </w:t>
      </w:r>
      <w:r w:rsidR="005A4567">
        <w:t xml:space="preserve">are </w:t>
      </w:r>
      <w:r w:rsidR="00CF3E57">
        <w:t xml:space="preserve">its </w:t>
      </w:r>
      <w:proofErr w:type="spellStart"/>
      <w:r w:rsidR="0019520B">
        <w:t>PreSort</w:t>
      </w:r>
      <w:proofErr w:type="spellEnd"/>
      <w:r w:rsidR="0019520B">
        <w:t xml:space="preserve"> </w:t>
      </w:r>
      <w:r w:rsidR="00A364CE">
        <w:t>letter</w:t>
      </w:r>
      <w:r w:rsidR="004F3983">
        <w:t xml:space="preserve"> </w:t>
      </w:r>
      <w:r w:rsidR="00CF3E57">
        <w:t>services</w:t>
      </w:r>
      <w:r w:rsidR="00B7567E">
        <w:t>.</w:t>
      </w:r>
      <w:r w:rsidR="001B61C0" w:rsidRPr="001B61C0">
        <w:rPr>
          <w:rStyle w:val="FootnoteReference"/>
        </w:rPr>
        <w:t xml:space="preserve"> </w:t>
      </w:r>
      <w:r w:rsidR="001B61C0">
        <w:rPr>
          <w:rStyle w:val="FootnoteReference"/>
        </w:rPr>
        <w:footnoteReference w:id="4"/>
      </w:r>
      <w:r w:rsidR="001B61C0">
        <w:t xml:space="preserve"> </w:t>
      </w:r>
      <w:r w:rsidR="00182F44">
        <w:t xml:space="preserve"> </w:t>
      </w:r>
      <w:proofErr w:type="spellStart"/>
      <w:r w:rsidR="00657C85">
        <w:t>PreSort</w:t>
      </w:r>
      <w:proofErr w:type="spellEnd"/>
      <w:r w:rsidR="00657C85">
        <w:t xml:space="preserve"> has a minimum lodgement </w:t>
      </w:r>
      <w:r w:rsidR="00C83F46">
        <w:t xml:space="preserve">requirement </w:t>
      </w:r>
      <w:r w:rsidR="00657C85">
        <w:t xml:space="preserve">of 300 letters. </w:t>
      </w:r>
      <w:r w:rsidR="005E5118">
        <w:t>Prices</w:t>
      </w:r>
      <w:r w:rsidR="00E125BD">
        <w:t xml:space="preserve"> for </w:t>
      </w:r>
      <w:proofErr w:type="spellStart"/>
      <w:r w:rsidR="0019520B">
        <w:t>PreSort</w:t>
      </w:r>
      <w:proofErr w:type="spellEnd"/>
      <w:r w:rsidR="0019520B">
        <w:t xml:space="preserve"> </w:t>
      </w:r>
      <w:r w:rsidR="00A364CE">
        <w:t>letter</w:t>
      </w:r>
      <w:r w:rsidR="00ED6FC3">
        <w:t xml:space="preserve"> services</w:t>
      </w:r>
      <w:r w:rsidR="00E125BD">
        <w:t xml:space="preserve"> depend on the size and weight of the article</w:t>
      </w:r>
      <w:r w:rsidR="00CF3E57">
        <w:t xml:space="preserve">, </w:t>
      </w:r>
      <w:r w:rsidR="00CF3E57" w:rsidRPr="00CF3E57">
        <w:t xml:space="preserve">whether it is </w:t>
      </w:r>
      <w:proofErr w:type="spellStart"/>
      <w:r w:rsidR="00CF3E57" w:rsidRPr="00CF3E57">
        <w:t>barcoded</w:t>
      </w:r>
      <w:proofErr w:type="spellEnd"/>
      <w:r w:rsidR="00CF3E57" w:rsidRPr="00CF3E57">
        <w:t xml:space="preserve"> and the choice of delivery standard (surface or regular delivery) required.</w:t>
      </w:r>
      <w:r w:rsidR="00E125BD">
        <w:t xml:space="preserve"> </w:t>
      </w:r>
      <w:proofErr w:type="spellStart"/>
      <w:r w:rsidR="00B7567E">
        <w:t>Pre</w:t>
      </w:r>
      <w:r w:rsidR="0019520B">
        <w:t>S</w:t>
      </w:r>
      <w:r w:rsidR="00B7567E">
        <w:t>ort</w:t>
      </w:r>
      <w:proofErr w:type="spellEnd"/>
      <w:r w:rsidR="00B7567E">
        <w:t xml:space="preserve"> </w:t>
      </w:r>
      <w:r w:rsidR="00A364CE">
        <w:t>letter</w:t>
      </w:r>
      <w:r w:rsidR="006E3A66">
        <w:t>s</w:t>
      </w:r>
      <w:r w:rsidR="00B7567E">
        <w:t xml:space="preserve"> comprise </w:t>
      </w:r>
      <w:r w:rsidR="00815E07">
        <w:t>around</w:t>
      </w:r>
      <w:r w:rsidR="00EF6E68">
        <w:t xml:space="preserve"> 5</w:t>
      </w:r>
      <w:r w:rsidR="00191557">
        <w:t>7</w:t>
      </w:r>
      <w:r w:rsidR="00EF6E68">
        <w:t xml:space="preserve"> </w:t>
      </w:r>
      <w:r w:rsidR="00B7567E">
        <w:t>percent of Australia Post’s total letter volumes.</w:t>
      </w:r>
      <w:r w:rsidR="00657C85">
        <w:t xml:space="preserve"> In contrast</w:t>
      </w:r>
      <w:r w:rsidR="00F47991">
        <w:t>,</w:t>
      </w:r>
      <w:r w:rsidR="00657C85">
        <w:t xml:space="preserve"> Acquisition mail has a minimum lodgement of 30,000 letters with prices dependent on the size and weight of the article.  </w:t>
      </w:r>
    </w:p>
    <w:p w:rsidR="00936C48" w:rsidRDefault="005E5118" w:rsidP="00936C48">
      <w:r>
        <w:t>The</w:t>
      </w:r>
      <w:r w:rsidR="00936C48">
        <w:t xml:space="preserve"> </w:t>
      </w:r>
      <w:r>
        <w:t xml:space="preserve">users of bulk interconnection services </w:t>
      </w:r>
      <w:r w:rsidR="006978F3">
        <w:t xml:space="preserve">include </w:t>
      </w:r>
      <w:r w:rsidR="00936C48">
        <w:t xml:space="preserve">mail houses that produce and deliver </w:t>
      </w:r>
      <w:r w:rsidR="008C1163">
        <w:t xml:space="preserve">letters </w:t>
      </w:r>
      <w:r w:rsidR="00936C48">
        <w:t xml:space="preserve">in very large quantities on behalf of firms that produce large amounts of </w:t>
      </w:r>
      <w:r w:rsidR="008C1163">
        <w:t>letters</w:t>
      </w:r>
      <w:r w:rsidR="00595FFE">
        <w:t>,</w:t>
      </w:r>
      <w:r w:rsidR="008C1163">
        <w:t xml:space="preserve"> </w:t>
      </w:r>
      <w:r w:rsidR="00936C48">
        <w:t>such as banks, utility companies and marketing firms</w:t>
      </w:r>
      <w:r w:rsidR="00595FFE">
        <w:t>,</w:t>
      </w:r>
      <w:r w:rsidR="00503B5E">
        <w:t xml:space="preserve"> </w:t>
      </w:r>
      <w:r w:rsidR="00E82DB4">
        <w:t xml:space="preserve">and </w:t>
      </w:r>
      <w:r w:rsidR="00503B5E">
        <w:t xml:space="preserve">such firms </w:t>
      </w:r>
      <w:r w:rsidR="00815E07">
        <w:t>themselves</w:t>
      </w:r>
      <w:r w:rsidR="00936C48">
        <w:t xml:space="preserve">. </w:t>
      </w:r>
    </w:p>
    <w:p w:rsidR="00936C48" w:rsidRPr="00075D81" w:rsidRDefault="00936C48" w:rsidP="00936C48">
      <w:pPr>
        <w:pStyle w:val="Heading3"/>
        <w:numPr>
          <w:ilvl w:val="1"/>
          <w:numId w:val="28"/>
        </w:numPr>
      </w:pPr>
      <w:bookmarkStart w:id="20" w:name="_Toc332363512"/>
      <w:proofErr w:type="spellStart"/>
      <w:r w:rsidRPr="00075D81">
        <w:t>ACCC</w:t>
      </w:r>
      <w:proofErr w:type="spellEnd"/>
      <w:r w:rsidRPr="00075D81">
        <w:t xml:space="preserve"> role in the regulation of postal services</w:t>
      </w:r>
      <w:bookmarkEnd w:id="20"/>
    </w:p>
    <w:p w:rsidR="00B10C43" w:rsidRDefault="00B10C43" w:rsidP="00B10C43">
      <w:r>
        <w:t xml:space="preserve">The </w:t>
      </w:r>
      <w:proofErr w:type="spellStart"/>
      <w:r>
        <w:t>ACCC</w:t>
      </w:r>
      <w:proofErr w:type="spellEnd"/>
      <w:r>
        <w:t xml:space="preserve"> has three key roles in the regulation of postal services under the </w:t>
      </w:r>
      <w:r w:rsidRPr="000E08E3">
        <w:rPr>
          <w:i/>
        </w:rPr>
        <w:t>Competition and Consumer Act 2010</w:t>
      </w:r>
      <w:r>
        <w:rPr>
          <w:i/>
        </w:rPr>
        <w:t xml:space="preserve"> </w:t>
      </w:r>
      <w:r>
        <w:t>(</w:t>
      </w:r>
      <w:proofErr w:type="spellStart"/>
      <w:r>
        <w:t>CCA</w:t>
      </w:r>
      <w:proofErr w:type="spellEnd"/>
      <w:r>
        <w:t xml:space="preserve">) and the </w:t>
      </w:r>
      <w:proofErr w:type="spellStart"/>
      <w:r>
        <w:t>APCA</w:t>
      </w:r>
      <w:proofErr w:type="spellEnd"/>
      <w:r>
        <w:t xml:space="preserve">. </w:t>
      </w:r>
    </w:p>
    <w:p w:rsidR="00B10C43" w:rsidRDefault="00B10C43" w:rsidP="00B10C43">
      <w:r w:rsidRPr="009E3B98">
        <w:t xml:space="preserve">This </w:t>
      </w:r>
      <w:r>
        <w:t>guide deals only with one of these roles</w:t>
      </w:r>
      <w:r w:rsidR="005A7962">
        <w:t>:</w:t>
      </w:r>
      <w:r>
        <w:t xml:space="preserve"> inquiries into disputes about bulk interconnection services. Part 3 of the </w:t>
      </w:r>
      <w:proofErr w:type="spellStart"/>
      <w:r>
        <w:t>APCR</w:t>
      </w:r>
      <w:proofErr w:type="spellEnd"/>
      <w:r>
        <w:t xml:space="preserve"> allows the </w:t>
      </w:r>
      <w:proofErr w:type="spellStart"/>
      <w:r>
        <w:t>ACCC</w:t>
      </w:r>
      <w:proofErr w:type="spellEnd"/>
      <w:r>
        <w:t xml:space="preserve"> to inquire into disputes about the terms and conditions on which a rate reduction is or </w:t>
      </w:r>
      <w:r w:rsidR="00B9045D">
        <w:t xml:space="preserve">would </w:t>
      </w:r>
      <w:r>
        <w:t xml:space="preserve">be provided to a person for a bulk interconnection service, including the amount of the rate reduction and the period for which it will apply.  </w:t>
      </w:r>
    </w:p>
    <w:p w:rsidR="00B10C43" w:rsidRDefault="00B10C43" w:rsidP="00B10C43">
      <w:r>
        <w:t xml:space="preserve">The </w:t>
      </w:r>
      <w:proofErr w:type="spellStart"/>
      <w:r>
        <w:t>ACCC</w:t>
      </w:r>
      <w:proofErr w:type="spellEnd"/>
      <w:r>
        <w:t xml:space="preserve"> also has two other roles under the </w:t>
      </w:r>
      <w:proofErr w:type="spellStart"/>
      <w:r>
        <w:t>CCA</w:t>
      </w:r>
      <w:proofErr w:type="spellEnd"/>
      <w:r>
        <w:t xml:space="preserve"> and the </w:t>
      </w:r>
      <w:proofErr w:type="spellStart"/>
      <w:r>
        <w:t>APCA</w:t>
      </w:r>
      <w:proofErr w:type="spellEnd"/>
      <w:r>
        <w:t>:</w:t>
      </w:r>
    </w:p>
    <w:p w:rsidR="00B10C43" w:rsidRDefault="00B10C43" w:rsidP="00B10C43">
      <w:pPr>
        <w:pStyle w:val="ListBullet"/>
        <w:tabs>
          <w:tab w:val="clear" w:pos="360"/>
        </w:tabs>
        <w:spacing w:before="120" w:after="120"/>
        <w:ind w:left="567" w:right="1077" w:hanging="567"/>
      </w:pPr>
      <w:r>
        <w:t>assessing proposed price increases of Australia Post’s declared</w:t>
      </w:r>
      <w:r w:rsidRPr="00CD351F">
        <w:rPr>
          <w:rStyle w:val="FootnoteReference"/>
        </w:rPr>
        <w:footnoteReference w:id="5"/>
      </w:r>
      <w:r>
        <w:t xml:space="preserve"> services under Part </w:t>
      </w:r>
      <w:proofErr w:type="spellStart"/>
      <w:r>
        <w:t>VIIA</w:t>
      </w:r>
      <w:proofErr w:type="spellEnd"/>
      <w:r>
        <w:t xml:space="preserve"> of the </w:t>
      </w:r>
      <w:proofErr w:type="spellStart"/>
      <w:r>
        <w:t>CCA</w:t>
      </w:r>
      <w:proofErr w:type="spellEnd"/>
    </w:p>
    <w:p w:rsidR="006E2F48" w:rsidRDefault="00B10C43" w:rsidP="00AE7F11">
      <w:pPr>
        <w:pStyle w:val="ListBullet"/>
        <w:tabs>
          <w:tab w:val="clear" w:pos="360"/>
          <w:tab w:val="num" w:pos="567"/>
        </w:tabs>
        <w:spacing w:before="120" w:after="120"/>
      </w:pPr>
      <w:r>
        <w:t>monitoring Australia Post’s regulatory accounts for the presence of cross-subsidy</w:t>
      </w:r>
      <w:r>
        <w:br/>
        <w:t xml:space="preserve"> </w:t>
      </w:r>
      <w:r>
        <w:tab/>
        <w:t xml:space="preserve">under Part 4A of the </w:t>
      </w:r>
      <w:proofErr w:type="spellStart"/>
      <w:r>
        <w:t>APCA</w:t>
      </w:r>
      <w:proofErr w:type="spellEnd"/>
    </w:p>
    <w:p w:rsidR="00E515FD" w:rsidRDefault="00E515FD" w:rsidP="00183128">
      <w:pPr>
        <w:pStyle w:val="Heading3"/>
        <w:numPr>
          <w:ilvl w:val="1"/>
          <w:numId w:val="28"/>
        </w:numPr>
      </w:pPr>
      <w:bookmarkStart w:id="21" w:name="_Toc323888689"/>
      <w:bookmarkStart w:id="22" w:name="_Toc323888752"/>
      <w:bookmarkStart w:id="23" w:name="_Toc323899704"/>
      <w:bookmarkStart w:id="24" w:name="_Toc323899790"/>
      <w:bookmarkStart w:id="25" w:name="_Toc323900066"/>
      <w:bookmarkStart w:id="26" w:name="_Toc323905727"/>
      <w:bookmarkStart w:id="27" w:name="_Toc323905885"/>
      <w:bookmarkStart w:id="28" w:name="_Toc323906401"/>
      <w:bookmarkStart w:id="29" w:name="_Toc323906469"/>
      <w:bookmarkStart w:id="30" w:name="_Toc323916341"/>
      <w:bookmarkStart w:id="31" w:name="_Toc323916444"/>
      <w:bookmarkStart w:id="32" w:name="_Toc323917892"/>
      <w:bookmarkStart w:id="33" w:name="_Toc323888690"/>
      <w:bookmarkStart w:id="34" w:name="_Toc323888753"/>
      <w:bookmarkStart w:id="35" w:name="_Toc323899705"/>
      <w:bookmarkStart w:id="36" w:name="_Toc323899791"/>
      <w:bookmarkStart w:id="37" w:name="_Toc323900067"/>
      <w:bookmarkStart w:id="38" w:name="_Toc323905728"/>
      <w:bookmarkStart w:id="39" w:name="_Toc323905886"/>
      <w:bookmarkStart w:id="40" w:name="_Toc323906402"/>
      <w:bookmarkStart w:id="41" w:name="_Toc323906470"/>
      <w:bookmarkStart w:id="42" w:name="_Toc323916342"/>
      <w:bookmarkStart w:id="43" w:name="_Toc323916445"/>
      <w:bookmarkStart w:id="44" w:name="_Toc323917893"/>
      <w:bookmarkStart w:id="45" w:name="_Toc317019501"/>
      <w:bookmarkStart w:id="46" w:name="_Toc317060161"/>
      <w:bookmarkStart w:id="47" w:name="_Toc317078904"/>
      <w:bookmarkStart w:id="48" w:name="_Toc317094344"/>
      <w:bookmarkStart w:id="49" w:name="_Toc317094524"/>
      <w:bookmarkStart w:id="50" w:name="_Toc317094682"/>
      <w:bookmarkStart w:id="51" w:name="_Toc317106960"/>
      <w:bookmarkStart w:id="52" w:name="_Toc317107287"/>
      <w:bookmarkStart w:id="53" w:name="_Toc317108134"/>
      <w:bookmarkStart w:id="54" w:name="_Toc317253247"/>
      <w:bookmarkStart w:id="55" w:name="_Toc323916343"/>
      <w:bookmarkStart w:id="56" w:name="_Toc323916446"/>
      <w:bookmarkStart w:id="57" w:name="_Toc323917894"/>
      <w:bookmarkStart w:id="58" w:name="_Toc317094346"/>
      <w:bookmarkStart w:id="59" w:name="_Toc317094526"/>
      <w:bookmarkStart w:id="60" w:name="_Toc317094684"/>
      <w:bookmarkStart w:id="61" w:name="_Toc317106962"/>
      <w:bookmarkStart w:id="62" w:name="_Toc317107289"/>
      <w:bookmarkStart w:id="63" w:name="_Toc317108136"/>
      <w:bookmarkStart w:id="64" w:name="_Toc317253249"/>
      <w:bookmarkStart w:id="65" w:name="_Toc332363513"/>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t>Structure of this document</w:t>
      </w:r>
      <w:bookmarkEnd w:id="65"/>
    </w:p>
    <w:p w:rsidR="00B14B82" w:rsidRDefault="00B14B82" w:rsidP="00B14B82">
      <w:r>
        <w:t>Chapter 2</w:t>
      </w:r>
      <w:r w:rsidR="00CC546E">
        <w:t xml:space="preserve"> – Overview: this chapter</w:t>
      </w:r>
      <w:r>
        <w:t xml:space="preserve"> provides an overview of the structure and process of an inquiry the </w:t>
      </w:r>
      <w:proofErr w:type="spellStart"/>
      <w:r>
        <w:t>ACCC</w:t>
      </w:r>
      <w:proofErr w:type="spellEnd"/>
      <w:r>
        <w:t xml:space="preserve"> may undertake to resolve a bulk interconnection dispute under the </w:t>
      </w:r>
      <w:proofErr w:type="spellStart"/>
      <w:r>
        <w:t>APCR</w:t>
      </w:r>
      <w:proofErr w:type="spellEnd"/>
      <w:r>
        <w:t xml:space="preserve">. </w:t>
      </w:r>
    </w:p>
    <w:p w:rsidR="00B14B82" w:rsidRDefault="00B14B82" w:rsidP="00B14B82">
      <w:r w:rsidRPr="00B14B82">
        <w:t xml:space="preserve">Chapter 3 </w:t>
      </w:r>
      <w:r>
        <w:t xml:space="preserve">— </w:t>
      </w:r>
      <w:r w:rsidRPr="00B14B82">
        <w:t>Commencement of an inquiry:</w:t>
      </w:r>
      <w:r>
        <w:t xml:space="preserve"> </w:t>
      </w:r>
      <w:r w:rsidR="00F42C59">
        <w:t xml:space="preserve">this </w:t>
      </w:r>
      <w:r>
        <w:t xml:space="preserve">chapter provides guidance </w:t>
      </w:r>
      <w:r w:rsidR="004A713C">
        <w:t>about</w:t>
      </w:r>
      <w:r>
        <w:t xml:space="preserve"> how the </w:t>
      </w:r>
      <w:proofErr w:type="spellStart"/>
      <w:r>
        <w:t>ACCC</w:t>
      </w:r>
      <w:proofErr w:type="spellEnd"/>
      <w:r>
        <w:t xml:space="preserve"> would </w:t>
      </w:r>
      <w:r w:rsidR="002B0141">
        <w:t xml:space="preserve">commence </w:t>
      </w:r>
      <w:r>
        <w:t xml:space="preserve">an inquiry into a bulk interconnection dispute. </w:t>
      </w:r>
    </w:p>
    <w:p w:rsidR="00B14B82" w:rsidRDefault="00B14B82" w:rsidP="00B14B82">
      <w:r w:rsidRPr="00B14B82">
        <w:t xml:space="preserve">Chapter </w:t>
      </w:r>
      <w:r>
        <w:t>4</w:t>
      </w:r>
      <w:r w:rsidRPr="00B14B82">
        <w:t xml:space="preserve"> </w:t>
      </w:r>
      <w:r>
        <w:t xml:space="preserve">— </w:t>
      </w:r>
      <w:r w:rsidR="00CC546E">
        <w:t>Stages</w:t>
      </w:r>
      <w:r w:rsidR="00CC546E" w:rsidRPr="00703D65">
        <w:t xml:space="preserve"> </w:t>
      </w:r>
      <w:r w:rsidRPr="00703D65">
        <w:t>of an inquiry</w:t>
      </w:r>
      <w:r w:rsidRPr="00B14B82">
        <w:t>:</w:t>
      </w:r>
      <w:r>
        <w:t xml:space="preserve"> </w:t>
      </w:r>
      <w:r w:rsidR="00F42C59">
        <w:t xml:space="preserve">this </w:t>
      </w:r>
      <w:r>
        <w:t xml:space="preserve">chapter outlines the main </w:t>
      </w:r>
      <w:r w:rsidR="00CC546E">
        <w:t>steps</w:t>
      </w:r>
      <w:r>
        <w:t xml:space="preserve"> </w:t>
      </w:r>
      <w:r w:rsidR="00896919">
        <w:t xml:space="preserve">of </w:t>
      </w:r>
      <w:r>
        <w:t>an inquiry.</w:t>
      </w:r>
    </w:p>
    <w:p w:rsidR="00CD0CC7" w:rsidRDefault="00CD0CC7" w:rsidP="00CD0CC7">
      <w:r w:rsidRPr="00B14B82">
        <w:t xml:space="preserve">Chapter </w:t>
      </w:r>
      <w:r>
        <w:t>5</w:t>
      </w:r>
      <w:r w:rsidRPr="00B14B82">
        <w:t xml:space="preserve"> </w:t>
      </w:r>
      <w:r>
        <w:t>—Ministerial consideration:</w:t>
      </w:r>
      <w:r w:rsidRPr="007B508D">
        <w:t xml:space="preserve"> </w:t>
      </w:r>
      <w:r>
        <w:t xml:space="preserve">this chapter provides information related to ministerial consideration of the </w:t>
      </w:r>
      <w:proofErr w:type="spellStart"/>
      <w:r>
        <w:t>ACCC’s</w:t>
      </w:r>
      <w:proofErr w:type="spellEnd"/>
      <w:r>
        <w:t xml:space="preserve"> report.   </w:t>
      </w:r>
    </w:p>
    <w:p w:rsidR="00CD0CC7" w:rsidRDefault="00CD0CC7" w:rsidP="00CD0CC7">
      <w:r w:rsidRPr="00B14B82">
        <w:t xml:space="preserve">Chapter </w:t>
      </w:r>
      <w:r>
        <w:t>6 —Termination</w:t>
      </w:r>
      <w:r w:rsidRPr="00183128">
        <w:t xml:space="preserve"> </w:t>
      </w:r>
      <w:r w:rsidR="00CC546E">
        <w:t xml:space="preserve">of </w:t>
      </w:r>
      <w:r w:rsidRPr="00183128">
        <w:t>an inquiry</w:t>
      </w:r>
      <w:r>
        <w:t xml:space="preserve">: this chapter outlines the circumstances under which an inquiry </w:t>
      </w:r>
      <w:r w:rsidRPr="00FD1251">
        <w:t xml:space="preserve">may be terminated by the </w:t>
      </w:r>
      <w:proofErr w:type="spellStart"/>
      <w:r>
        <w:t>ACCC</w:t>
      </w:r>
      <w:proofErr w:type="spellEnd"/>
      <w:r w:rsidRPr="00FD1251">
        <w:t xml:space="preserve"> </w:t>
      </w:r>
      <w:r>
        <w:t xml:space="preserve">and the </w:t>
      </w:r>
      <w:r w:rsidRPr="00FD1251">
        <w:t xml:space="preserve">circumstances </w:t>
      </w:r>
      <w:r>
        <w:t xml:space="preserve">under which a dispute may be </w:t>
      </w:r>
      <w:r w:rsidRPr="00FD1251">
        <w:t>withdrawn.</w:t>
      </w:r>
    </w:p>
    <w:p w:rsidR="00033C9A" w:rsidRDefault="000D5422" w:rsidP="00033C9A">
      <w:r w:rsidRPr="00B14B82">
        <w:t xml:space="preserve">Chapter </w:t>
      </w:r>
      <w:r w:rsidR="00CD0CC7">
        <w:t>7</w:t>
      </w:r>
      <w:r w:rsidR="00CD0CC7" w:rsidRPr="00B14B82">
        <w:t xml:space="preserve"> </w:t>
      </w:r>
      <w:r>
        <w:t>— Procedur</w:t>
      </w:r>
      <w:r w:rsidR="00336957">
        <w:t>al matters</w:t>
      </w:r>
      <w:r>
        <w:t xml:space="preserve">: </w:t>
      </w:r>
      <w:r w:rsidR="00F42C59">
        <w:t>t</w:t>
      </w:r>
      <w:r>
        <w:t xml:space="preserve">his chapter </w:t>
      </w:r>
      <w:r w:rsidR="004D4605">
        <w:t xml:space="preserve">identifies </w:t>
      </w:r>
      <w:r>
        <w:t xml:space="preserve">the </w:t>
      </w:r>
      <w:r w:rsidR="004D4605">
        <w:t xml:space="preserve">major </w:t>
      </w:r>
      <w:r>
        <w:t xml:space="preserve">administrative procedures associated with </w:t>
      </w:r>
      <w:r w:rsidR="00675991">
        <w:t xml:space="preserve">conducting an inquiry into a bulk interconnection </w:t>
      </w:r>
      <w:r w:rsidR="00E82DB4">
        <w:t xml:space="preserve">service </w:t>
      </w:r>
      <w:r w:rsidR="00675991">
        <w:t>dispute</w:t>
      </w:r>
      <w:r>
        <w:t xml:space="preserve">. </w:t>
      </w:r>
      <w:r w:rsidRPr="00703D65">
        <w:t xml:space="preserve"> </w:t>
      </w:r>
    </w:p>
    <w:p w:rsidR="00183128" w:rsidRPr="00033C9A" w:rsidRDefault="00441AA1" w:rsidP="00033C9A">
      <w:r w:rsidRPr="00033C9A">
        <w:t xml:space="preserve">Chapter </w:t>
      </w:r>
      <w:r w:rsidR="00CD0CC7">
        <w:t>8</w:t>
      </w:r>
      <w:r w:rsidR="00CD0CC7" w:rsidRPr="00033C9A">
        <w:t xml:space="preserve"> </w:t>
      </w:r>
      <w:r w:rsidR="00183128" w:rsidRPr="00033C9A">
        <w:t>—</w:t>
      </w:r>
      <w:r w:rsidR="004D4605" w:rsidRPr="00033C9A">
        <w:t xml:space="preserve"> </w:t>
      </w:r>
      <w:r w:rsidR="00675991">
        <w:t>C</w:t>
      </w:r>
      <w:r w:rsidR="004D4605" w:rsidRPr="00033C9A">
        <w:t>onfidentiality</w:t>
      </w:r>
      <w:r w:rsidR="00033C9A" w:rsidRPr="00033C9A">
        <w:t xml:space="preserve">: </w:t>
      </w:r>
      <w:r w:rsidR="00415DCC">
        <w:t>t</w:t>
      </w:r>
      <w:r w:rsidR="00033C9A" w:rsidRPr="00033C9A">
        <w:t xml:space="preserve">his chapter outlines </w:t>
      </w:r>
      <w:r w:rsidR="00D14274">
        <w:t xml:space="preserve">the </w:t>
      </w:r>
      <w:r w:rsidR="00033C9A" w:rsidRPr="00033C9A">
        <w:t xml:space="preserve">procedures to be adopted </w:t>
      </w:r>
      <w:r w:rsidR="00D14274">
        <w:t xml:space="preserve">by the </w:t>
      </w:r>
      <w:proofErr w:type="spellStart"/>
      <w:r w:rsidR="00D14274">
        <w:t>ACCC</w:t>
      </w:r>
      <w:proofErr w:type="spellEnd"/>
      <w:r w:rsidR="00D14274">
        <w:t xml:space="preserve"> </w:t>
      </w:r>
      <w:r w:rsidR="00033C9A" w:rsidRPr="00033C9A">
        <w:t>for ma</w:t>
      </w:r>
      <w:r w:rsidR="00033C9A">
        <w:t>naging</w:t>
      </w:r>
      <w:r w:rsidR="00033C9A" w:rsidRPr="00033C9A">
        <w:t xml:space="preserve"> confidential information</w:t>
      </w:r>
      <w:r w:rsidR="00D14274">
        <w:t xml:space="preserve"> during an inquiry into a </w:t>
      </w:r>
      <w:r w:rsidR="009E748C">
        <w:t>bulk interconnection service</w:t>
      </w:r>
      <w:r w:rsidR="00D14274">
        <w:t xml:space="preserve"> dispute.</w:t>
      </w:r>
    </w:p>
    <w:p w:rsidR="00936C48" w:rsidRDefault="00936C48" w:rsidP="009E628D">
      <w:pPr>
        <w:pStyle w:val="Heading2"/>
        <w:pageBreakBefore/>
        <w:numPr>
          <w:ilvl w:val="0"/>
          <w:numId w:val="0"/>
        </w:numPr>
        <w:ind w:left="720" w:hanging="720"/>
      </w:pPr>
      <w:bookmarkStart w:id="66" w:name="_Toc332363514"/>
      <w:r>
        <w:t>2</w:t>
      </w:r>
      <w:r>
        <w:tab/>
      </w:r>
      <w:r w:rsidR="00665604">
        <w:t xml:space="preserve">Overview </w:t>
      </w:r>
      <w:r>
        <w:t xml:space="preserve">of an </w:t>
      </w:r>
      <w:proofErr w:type="spellStart"/>
      <w:r>
        <w:t>ACCC</w:t>
      </w:r>
      <w:proofErr w:type="spellEnd"/>
      <w:r>
        <w:t xml:space="preserve"> inquiry into a bulk interconnection</w:t>
      </w:r>
      <w:r w:rsidR="00EC653F">
        <w:t xml:space="preserve"> service</w:t>
      </w:r>
      <w:r>
        <w:t xml:space="preserve"> dispute</w:t>
      </w:r>
      <w:bookmarkEnd w:id="66"/>
    </w:p>
    <w:p w:rsidR="00936C48" w:rsidRPr="00FB448C" w:rsidRDefault="00936C48" w:rsidP="00936C48">
      <w:bookmarkStart w:id="67" w:name="OLE_LINK21"/>
      <w:r>
        <w:t xml:space="preserve">This chapter provides </w:t>
      </w:r>
      <w:r w:rsidR="00665604">
        <w:t>an overview of</w:t>
      </w:r>
      <w:r>
        <w:t xml:space="preserve"> the structure and process of an inquiry </w:t>
      </w:r>
      <w:r w:rsidR="00595FFE">
        <w:t xml:space="preserve">that </w:t>
      </w:r>
      <w:r>
        <w:t xml:space="preserve">the </w:t>
      </w:r>
      <w:proofErr w:type="spellStart"/>
      <w:r>
        <w:t>ACCC</w:t>
      </w:r>
      <w:proofErr w:type="spellEnd"/>
      <w:r>
        <w:t xml:space="preserve"> may undertake to resolve a bulk interconnection </w:t>
      </w:r>
      <w:r w:rsidR="009A2C56">
        <w:t xml:space="preserve">service </w:t>
      </w:r>
      <w:r>
        <w:t xml:space="preserve">dispute under the </w:t>
      </w:r>
      <w:proofErr w:type="spellStart"/>
      <w:r>
        <w:t>APCR</w:t>
      </w:r>
      <w:proofErr w:type="spellEnd"/>
      <w:r w:rsidR="00665604">
        <w:t>. Subsequent chapters discuss the inquiry process in detail.</w:t>
      </w:r>
    </w:p>
    <w:p w:rsidR="00936C48" w:rsidRPr="00FB448C" w:rsidRDefault="00936C48" w:rsidP="002B0141">
      <w:pPr>
        <w:pStyle w:val="Heading3"/>
        <w:numPr>
          <w:ilvl w:val="0"/>
          <w:numId w:val="0"/>
        </w:numPr>
      </w:pPr>
      <w:bookmarkStart w:id="68" w:name="_Toc332363515"/>
      <w:bookmarkEnd w:id="67"/>
      <w:proofErr w:type="spellStart"/>
      <w:r>
        <w:t>ACCC</w:t>
      </w:r>
      <w:proofErr w:type="spellEnd"/>
      <w:r>
        <w:t xml:space="preserve"> assessment process</w:t>
      </w:r>
      <w:bookmarkEnd w:id="68"/>
    </w:p>
    <w:p w:rsidR="00D52746" w:rsidRDefault="00C21A08" w:rsidP="000C26AD">
      <w:r>
        <w:t xml:space="preserve">Under the </w:t>
      </w:r>
      <w:proofErr w:type="spellStart"/>
      <w:r>
        <w:t>APCR</w:t>
      </w:r>
      <w:proofErr w:type="spellEnd"/>
      <w:r>
        <w:t xml:space="preserve"> </w:t>
      </w:r>
      <w:r w:rsidR="003E057A">
        <w:t xml:space="preserve">only a </w:t>
      </w:r>
      <w:r w:rsidR="00165DE8">
        <w:t>complainant (</w:t>
      </w:r>
      <w:r w:rsidR="00697F17">
        <w:t>that</w:t>
      </w:r>
      <w:r w:rsidR="003E057A">
        <w:t xml:space="preserve"> is</w:t>
      </w:r>
      <w:r w:rsidR="00697F17">
        <w:t>,</w:t>
      </w:r>
      <w:r w:rsidR="003E057A">
        <w:t xml:space="preserve"> a user or a person intending to use a bulk interconnection service</w:t>
      </w:r>
      <w:r w:rsidR="00165DE8">
        <w:t>)</w:t>
      </w:r>
      <w:r w:rsidR="003E057A">
        <w:t xml:space="preserve"> can lodge a dispute notification with the </w:t>
      </w:r>
      <w:proofErr w:type="spellStart"/>
      <w:r w:rsidR="003E057A">
        <w:t>ACCC</w:t>
      </w:r>
      <w:proofErr w:type="spellEnd"/>
      <w:r w:rsidR="003E057A">
        <w:t>.</w:t>
      </w:r>
      <w:r>
        <w:t xml:space="preserve"> </w:t>
      </w:r>
      <w:r w:rsidR="00D52746">
        <w:t xml:space="preserve">The </w:t>
      </w:r>
      <w:proofErr w:type="spellStart"/>
      <w:r w:rsidR="00D52746">
        <w:t>APCR</w:t>
      </w:r>
      <w:proofErr w:type="spellEnd"/>
      <w:r w:rsidR="00D52746">
        <w:t xml:space="preserve"> </w:t>
      </w:r>
      <w:r>
        <w:t xml:space="preserve">also </w:t>
      </w:r>
      <w:r w:rsidR="00D52746">
        <w:t xml:space="preserve">requires the </w:t>
      </w:r>
      <w:proofErr w:type="spellStart"/>
      <w:r w:rsidR="00D52746">
        <w:t>ACCC</w:t>
      </w:r>
      <w:proofErr w:type="spellEnd"/>
      <w:r w:rsidR="00D52746">
        <w:t xml:space="preserve"> to</w:t>
      </w:r>
      <w:r w:rsidR="000C26AD">
        <w:t xml:space="preserve"> </w:t>
      </w:r>
      <w:r w:rsidR="00296562">
        <w:t xml:space="preserve">make </w:t>
      </w:r>
      <w:r w:rsidR="00D52746">
        <w:t xml:space="preserve">a </w:t>
      </w:r>
      <w:r w:rsidR="002A3FA7">
        <w:t xml:space="preserve">recommendation </w:t>
      </w:r>
      <w:r w:rsidR="00D52746">
        <w:t>in relation to a dispute inquiry within</w:t>
      </w:r>
      <w:r w:rsidR="000C26AD">
        <w:t xml:space="preserve"> a </w:t>
      </w:r>
      <w:r w:rsidR="002C6ADD">
        <w:t xml:space="preserve">specified </w:t>
      </w:r>
      <w:r w:rsidR="000C26AD">
        <w:t>timeframe</w:t>
      </w:r>
      <w:r w:rsidR="00D52746">
        <w:t xml:space="preserve"> commencing on the date </w:t>
      </w:r>
      <w:r w:rsidR="00296562">
        <w:t xml:space="preserve">the </w:t>
      </w:r>
      <w:proofErr w:type="spellStart"/>
      <w:r w:rsidR="00296562">
        <w:t>ACCC</w:t>
      </w:r>
      <w:proofErr w:type="spellEnd"/>
      <w:r w:rsidR="00296562">
        <w:t xml:space="preserve"> </w:t>
      </w:r>
      <w:r w:rsidR="00D52746">
        <w:t>receives a</w:t>
      </w:r>
      <w:r w:rsidR="00296562">
        <w:t xml:space="preserve"> dispute</w:t>
      </w:r>
      <w:r w:rsidR="00D52746">
        <w:t xml:space="preserve"> notification. </w:t>
      </w:r>
    </w:p>
    <w:p w:rsidR="00665604" w:rsidRPr="00665604" w:rsidRDefault="00665604" w:rsidP="00936C48">
      <w:pPr>
        <w:rPr>
          <w:i/>
        </w:rPr>
      </w:pPr>
      <w:r>
        <w:rPr>
          <w:i/>
        </w:rPr>
        <w:t>Inquiry time periods</w:t>
      </w:r>
    </w:p>
    <w:p w:rsidR="00936C48" w:rsidRDefault="00BA7D5C" w:rsidP="00936C48">
      <w:r>
        <w:t>T</w:t>
      </w:r>
      <w:r w:rsidR="00936C48">
        <w:t xml:space="preserve">he </w:t>
      </w:r>
      <w:proofErr w:type="spellStart"/>
      <w:r w:rsidR="00936C48">
        <w:t>ACCC</w:t>
      </w:r>
      <w:proofErr w:type="spellEnd"/>
      <w:r w:rsidR="00936C48">
        <w:t xml:space="preserve"> is required within 21 days of receiving </w:t>
      </w:r>
      <w:r w:rsidR="004A713C">
        <w:t>a valid</w:t>
      </w:r>
      <w:r>
        <w:t xml:space="preserve"> </w:t>
      </w:r>
      <w:r w:rsidR="00936C48">
        <w:t xml:space="preserve">notification of a dispute to commence an inquiry </w:t>
      </w:r>
      <w:r w:rsidR="00432284">
        <w:t xml:space="preserve">into the dispute </w:t>
      </w:r>
      <w:r w:rsidR="00936C48">
        <w:t xml:space="preserve">and notify the Minister </w:t>
      </w:r>
      <w:r w:rsidR="009A2C56">
        <w:t xml:space="preserve">of the commencement of the inquiry </w:t>
      </w:r>
      <w:r w:rsidR="00936C48">
        <w:t>(r. 14 (1)).</w:t>
      </w:r>
    </w:p>
    <w:p w:rsidR="00D532AB" w:rsidRDefault="00936C48" w:rsidP="00936C48">
      <w:r>
        <w:t xml:space="preserve">The </w:t>
      </w:r>
      <w:proofErr w:type="spellStart"/>
      <w:r>
        <w:t>ACCC</w:t>
      </w:r>
      <w:proofErr w:type="spellEnd"/>
      <w:r>
        <w:t xml:space="preserve"> </w:t>
      </w:r>
      <w:r w:rsidR="003A0356">
        <w:t>is generally required to</w:t>
      </w:r>
      <w:r>
        <w:t xml:space="preserve"> complete an inquiry within 60 days of its commencement (r. 14 (2)).</w:t>
      </w:r>
      <w:r w:rsidR="00595FFE">
        <w:t xml:space="preserve"> However, it </w:t>
      </w:r>
      <w:r w:rsidR="003A0356">
        <w:t>is able</w:t>
      </w:r>
      <w:r>
        <w:t xml:space="preserve"> to extend the period of the inquiry by up to 30 days (r. 14 (3)). The period of the inquiry may also be extended if a party is required to provide information to the </w:t>
      </w:r>
      <w:proofErr w:type="spellStart"/>
      <w:r>
        <w:t>ACCC</w:t>
      </w:r>
      <w:proofErr w:type="spellEnd"/>
      <w:r>
        <w:t xml:space="preserve"> for the purposes of the inquiry (r. 14 (5)).</w:t>
      </w:r>
      <w:r w:rsidR="00255212">
        <w:t xml:space="preserve"> </w:t>
      </w:r>
    </w:p>
    <w:p w:rsidR="0038549E" w:rsidRDefault="00C95B26" w:rsidP="00936C48">
      <w:r>
        <w:t xml:space="preserve">The </w:t>
      </w:r>
      <w:proofErr w:type="spellStart"/>
      <w:r>
        <w:t>ACCC</w:t>
      </w:r>
      <w:proofErr w:type="spellEnd"/>
      <w:r>
        <w:t xml:space="preserve"> considers that some disputes may </w:t>
      </w:r>
      <w:r w:rsidR="00936C48">
        <w:t>involve consideration of complex issues</w:t>
      </w:r>
      <w:r w:rsidR="002B0141">
        <w:t xml:space="preserve"> within these confined timeframes</w:t>
      </w:r>
      <w:r w:rsidR="00936C48">
        <w:t xml:space="preserve">. </w:t>
      </w:r>
      <w:r>
        <w:t>In these circumstances</w:t>
      </w:r>
      <w:r w:rsidR="00A54482">
        <w:t xml:space="preserve"> and also given that under the </w:t>
      </w:r>
      <w:proofErr w:type="spellStart"/>
      <w:r w:rsidR="00A54482">
        <w:t>APCR</w:t>
      </w:r>
      <w:proofErr w:type="spellEnd"/>
      <w:r w:rsidR="00165DE8" w:rsidRPr="00165DE8">
        <w:t xml:space="preserve"> </w:t>
      </w:r>
      <w:r w:rsidR="00165DE8">
        <w:t xml:space="preserve">only a complainant can lodge a dispute notification with the </w:t>
      </w:r>
      <w:proofErr w:type="spellStart"/>
      <w:r w:rsidR="00165DE8">
        <w:t>ACCC</w:t>
      </w:r>
      <w:proofErr w:type="spellEnd"/>
      <w:r w:rsidR="00250DE8">
        <w:t>,</w:t>
      </w:r>
      <w:r>
        <w:t xml:space="preserve"> </w:t>
      </w:r>
      <w:r w:rsidR="00936C48">
        <w:t>it</w:t>
      </w:r>
      <w:r w:rsidR="00FE6FEF">
        <w:t xml:space="preserve"> may be</w:t>
      </w:r>
      <w:r w:rsidR="00936C48">
        <w:t xml:space="preserve"> beneficial </w:t>
      </w:r>
      <w:r w:rsidR="00250DE8">
        <w:t xml:space="preserve">for </w:t>
      </w:r>
      <w:r w:rsidR="00936C48">
        <w:t xml:space="preserve">the </w:t>
      </w:r>
      <w:r w:rsidR="00A54482">
        <w:t>complainant</w:t>
      </w:r>
      <w:r w:rsidR="00A54482" w:rsidDel="00F34B2D">
        <w:t xml:space="preserve"> </w:t>
      </w:r>
      <w:r w:rsidR="00250DE8">
        <w:t xml:space="preserve">to </w:t>
      </w:r>
      <w:r w:rsidR="00F34B2D">
        <w:t xml:space="preserve">raise their concerns with the </w:t>
      </w:r>
      <w:proofErr w:type="spellStart"/>
      <w:r w:rsidR="00F34B2D">
        <w:t>ACCC</w:t>
      </w:r>
      <w:proofErr w:type="spellEnd"/>
      <w:r w:rsidR="00F34B2D">
        <w:t xml:space="preserve"> </w:t>
      </w:r>
      <w:r w:rsidR="00936C48">
        <w:t xml:space="preserve">prior to submitting a formal dispute notification </w:t>
      </w:r>
      <w:r w:rsidR="005F7BB4">
        <w:t xml:space="preserve">to </w:t>
      </w:r>
      <w:r w:rsidR="00936C48">
        <w:t xml:space="preserve">the </w:t>
      </w:r>
      <w:proofErr w:type="spellStart"/>
      <w:r w:rsidR="00936C48">
        <w:t>ACCC</w:t>
      </w:r>
      <w:proofErr w:type="spellEnd"/>
      <w:r w:rsidR="00936C48">
        <w:t>.</w:t>
      </w:r>
      <w:r>
        <w:t xml:space="preserve"> </w:t>
      </w:r>
      <w:r w:rsidR="000A3EF3">
        <w:t xml:space="preserve">If the </w:t>
      </w:r>
      <w:r w:rsidR="00F65183">
        <w:t xml:space="preserve">complainant considers that </w:t>
      </w:r>
      <w:r w:rsidR="000A3EF3">
        <w:t xml:space="preserve">these </w:t>
      </w:r>
      <w:r w:rsidR="00AF00D1">
        <w:t>discussions</w:t>
      </w:r>
      <w:r w:rsidR="00F65183">
        <w:t xml:space="preserve"> should be </w:t>
      </w:r>
      <w:r w:rsidR="000A3EF3">
        <w:t>treated as private and confidential</w:t>
      </w:r>
      <w:r w:rsidR="00AF00D1">
        <w:t>,</w:t>
      </w:r>
      <w:r w:rsidR="000A3EF3">
        <w:t xml:space="preserve"> it should indicate th</w:t>
      </w:r>
      <w:r w:rsidR="00AF00D1">
        <w:t>is</w:t>
      </w:r>
      <w:r w:rsidR="000A3EF3">
        <w:t xml:space="preserve"> to the </w:t>
      </w:r>
      <w:proofErr w:type="spellStart"/>
      <w:r w:rsidR="000A3EF3">
        <w:t>ACCC</w:t>
      </w:r>
      <w:proofErr w:type="spellEnd"/>
      <w:r w:rsidR="000A3EF3">
        <w:t xml:space="preserve"> </w:t>
      </w:r>
      <w:r w:rsidR="00AF00D1">
        <w:t>prior to the discussion</w:t>
      </w:r>
      <w:r w:rsidR="000A3EF3">
        <w:t xml:space="preserve">. </w:t>
      </w:r>
    </w:p>
    <w:p w:rsidR="005B06AA" w:rsidRPr="005B06AA" w:rsidRDefault="005B06AA" w:rsidP="00936C48">
      <w:pPr>
        <w:rPr>
          <w:i/>
        </w:rPr>
      </w:pPr>
      <w:r>
        <w:rPr>
          <w:i/>
        </w:rPr>
        <w:t>Pr</w:t>
      </w:r>
      <w:r w:rsidR="00143E2B">
        <w:rPr>
          <w:i/>
        </w:rPr>
        <w:t>e</w:t>
      </w:r>
      <w:r>
        <w:rPr>
          <w:i/>
        </w:rPr>
        <w:t xml:space="preserve">ferred </w:t>
      </w:r>
      <w:proofErr w:type="spellStart"/>
      <w:r>
        <w:rPr>
          <w:i/>
        </w:rPr>
        <w:t>ACCC</w:t>
      </w:r>
      <w:proofErr w:type="spellEnd"/>
      <w:r>
        <w:rPr>
          <w:i/>
        </w:rPr>
        <w:t xml:space="preserve"> process</w:t>
      </w:r>
    </w:p>
    <w:p w:rsidR="00936C48" w:rsidRDefault="00936C48" w:rsidP="00936C48">
      <w:r>
        <w:t xml:space="preserve">To assist the </w:t>
      </w:r>
      <w:proofErr w:type="spellStart"/>
      <w:r>
        <w:t>ACCC</w:t>
      </w:r>
      <w:proofErr w:type="spellEnd"/>
      <w:r>
        <w:t xml:space="preserve"> to </w:t>
      </w:r>
      <w:r w:rsidR="00E14BBA">
        <w:t xml:space="preserve">inquire into </w:t>
      </w:r>
      <w:r>
        <w:t xml:space="preserve">a bulk interconnection </w:t>
      </w:r>
      <w:r w:rsidR="00FE6FEF">
        <w:t xml:space="preserve">service </w:t>
      </w:r>
      <w:r>
        <w:t xml:space="preserve">dispute and to assist the complainant to provide sufficient information, the </w:t>
      </w:r>
      <w:proofErr w:type="spellStart"/>
      <w:r>
        <w:t>ACCC</w:t>
      </w:r>
      <w:proofErr w:type="spellEnd"/>
      <w:r w:rsidR="00143E2B">
        <w:t xml:space="preserve"> suggests the following process</w:t>
      </w:r>
      <w:r>
        <w:t>:</w:t>
      </w:r>
    </w:p>
    <w:p w:rsidR="00635830" w:rsidRDefault="00936C48" w:rsidP="00635830">
      <w:pPr>
        <w:numPr>
          <w:ilvl w:val="0"/>
          <w:numId w:val="12"/>
        </w:numPr>
      </w:pPr>
      <w:r>
        <w:t>Pre-lodgement—</w:t>
      </w:r>
      <w:r w:rsidR="002A3FA7">
        <w:t>p</w:t>
      </w:r>
      <w:r w:rsidR="001B61C0">
        <w:t>articularly i</w:t>
      </w:r>
      <w:r w:rsidR="00692EE3">
        <w:t xml:space="preserve">n relation to </w:t>
      </w:r>
      <w:r w:rsidR="00D94605">
        <w:t xml:space="preserve">novel, </w:t>
      </w:r>
      <w:r w:rsidR="00692EE3">
        <w:t>difficult or complex matters</w:t>
      </w:r>
      <w:r w:rsidR="008E68A1">
        <w:t>,</w:t>
      </w:r>
      <w:r w:rsidR="00692EE3">
        <w:t xml:space="preserve"> </w:t>
      </w:r>
      <w:r w:rsidR="002A3FA7">
        <w:t xml:space="preserve">it may be appropriate for </w:t>
      </w:r>
      <w:r>
        <w:t xml:space="preserve">the complainant to meet informally with </w:t>
      </w:r>
      <w:proofErr w:type="spellStart"/>
      <w:r>
        <w:t>ACCC</w:t>
      </w:r>
      <w:proofErr w:type="spellEnd"/>
      <w:r>
        <w:t xml:space="preserve"> staff to discuss the prospective dispute inquiry process and timetable before lodgement.</w:t>
      </w:r>
      <w:r w:rsidRPr="00F2681D">
        <w:t xml:space="preserve"> </w:t>
      </w:r>
      <w:r>
        <w:t xml:space="preserve">This provides the complainant and the </w:t>
      </w:r>
      <w:proofErr w:type="spellStart"/>
      <w:r>
        <w:t>ACCC</w:t>
      </w:r>
      <w:proofErr w:type="spellEnd"/>
      <w:r>
        <w:t xml:space="preserve"> with sufficient opportunity to consider relevant issues involved in the dispute at a preliminary stage and to ensure </w:t>
      </w:r>
      <w:r w:rsidR="00D302E1">
        <w:t>the</w:t>
      </w:r>
      <w:r>
        <w:t xml:space="preserve"> information require</w:t>
      </w:r>
      <w:r w:rsidR="00D302E1">
        <w:t>d</w:t>
      </w:r>
      <w:r>
        <w:t xml:space="preserve"> </w:t>
      </w:r>
      <w:r w:rsidR="00D302E1">
        <w:t>to be provided as part of a dispute notice</w:t>
      </w:r>
      <w:r>
        <w:t xml:space="preserve"> </w:t>
      </w:r>
      <w:r w:rsidR="00CC31DF">
        <w:t xml:space="preserve">will be </w:t>
      </w:r>
      <w:r w:rsidR="00D302E1">
        <w:t>addressed</w:t>
      </w:r>
      <w:r>
        <w:t>.</w:t>
      </w:r>
      <w:r w:rsidR="00635830">
        <w:t xml:space="preserve"> </w:t>
      </w:r>
      <w:r w:rsidR="000D0AA2">
        <w:t>This process may involve provision of a draft notification for discussion.</w:t>
      </w:r>
    </w:p>
    <w:p w:rsidR="00635830" w:rsidRDefault="00AA2A7A" w:rsidP="00635830">
      <w:pPr>
        <w:ind w:left="360"/>
      </w:pPr>
      <w:r>
        <w:t>However, u</w:t>
      </w:r>
      <w:r w:rsidR="00635830">
        <w:t xml:space="preserve">nder the </w:t>
      </w:r>
      <w:proofErr w:type="spellStart"/>
      <w:r w:rsidR="00635830">
        <w:t>APCR</w:t>
      </w:r>
      <w:proofErr w:type="spellEnd"/>
      <w:r w:rsidR="00635830">
        <w:t xml:space="preserve">, a complainant is </w:t>
      </w:r>
      <w:r>
        <w:t xml:space="preserve">also </w:t>
      </w:r>
      <w:r w:rsidR="00635830">
        <w:t xml:space="preserve">able to lodge a dispute notice without prior consultation with the </w:t>
      </w:r>
      <w:proofErr w:type="spellStart"/>
      <w:r w:rsidR="00635830">
        <w:t>ACCC</w:t>
      </w:r>
      <w:proofErr w:type="spellEnd"/>
      <w:r w:rsidR="00635830">
        <w:t xml:space="preserve">. </w:t>
      </w:r>
    </w:p>
    <w:p w:rsidR="000D0AA2" w:rsidRDefault="00936C48" w:rsidP="00936C48">
      <w:pPr>
        <w:numPr>
          <w:ilvl w:val="0"/>
          <w:numId w:val="12"/>
        </w:numPr>
      </w:pPr>
      <w:r>
        <w:t>Formal notification is lodged—</w:t>
      </w:r>
      <w:r w:rsidR="00D302E1">
        <w:t>t</w:t>
      </w:r>
      <w:r>
        <w:t xml:space="preserve">he complainant lodges a formal dispute notice with the </w:t>
      </w:r>
      <w:proofErr w:type="spellStart"/>
      <w:r>
        <w:t>ACCC</w:t>
      </w:r>
      <w:proofErr w:type="spellEnd"/>
      <w:r>
        <w:t xml:space="preserve">. </w:t>
      </w:r>
      <w:r w:rsidR="00DF6694">
        <w:t xml:space="preserve">The </w:t>
      </w:r>
      <w:proofErr w:type="spellStart"/>
      <w:r w:rsidR="00DF6694">
        <w:t>ACCC</w:t>
      </w:r>
      <w:proofErr w:type="spellEnd"/>
      <w:r w:rsidR="00DF6694">
        <w:t xml:space="preserve"> then assesses </w:t>
      </w:r>
      <w:r w:rsidR="00AA0FED">
        <w:t xml:space="preserve">the </w:t>
      </w:r>
      <w:r w:rsidR="00DF6694">
        <w:t xml:space="preserve">lodgement application to ensure </w:t>
      </w:r>
      <w:r w:rsidR="005F7BB4">
        <w:t xml:space="preserve">there is </w:t>
      </w:r>
      <w:r w:rsidR="00DF6694">
        <w:t xml:space="preserve">sufficient information provided to consider </w:t>
      </w:r>
      <w:r w:rsidR="005F7BB4">
        <w:t xml:space="preserve">it a valid dispute under the </w:t>
      </w:r>
      <w:proofErr w:type="spellStart"/>
      <w:r w:rsidR="005F7BB4">
        <w:t>APCR</w:t>
      </w:r>
      <w:proofErr w:type="spellEnd"/>
      <w:r w:rsidR="00DF6694">
        <w:t xml:space="preserve">. This may also involve the </w:t>
      </w:r>
      <w:proofErr w:type="spellStart"/>
      <w:r w:rsidR="00DF6694">
        <w:t>ACCC</w:t>
      </w:r>
      <w:proofErr w:type="spellEnd"/>
      <w:r w:rsidR="00DF6694">
        <w:t xml:space="preserve"> requesting further information where necessary.</w:t>
      </w:r>
      <w:r w:rsidR="00CC31DF">
        <w:t xml:space="preserve"> </w:t>
      </w:r>
    </w:p>
    <w:p w:rsidR="00936C48" w:rsidRDefault="00CC31DF" w:rsidP="00936C48">
      <w:pPr>
        <w:numPr>
          <w:ilvl w:val="0"/>
          <w:numId w:val="12"/>
        </w:numPr>
      </w:pPr>
      <w:r>
        <w:t xml:space="preserve">The </w:t>
      </w:r>
      <w:proofErr w:type="spellStart"/>
      <w:r>
        <w:t>ACCC</w:t>
      </w:r>
      <w:proofErr w:type="spellEnd"/>
      <w:r>
        <w:t xml:space="preserve"> is required to commence an inquiry and notify the Minister</w:t>
      </w:r>
      <w:r w:rsidR="00FE6FEF">
        <w:t xml:space="preserve"> of the commencement of an inquiry</w:t>
      </w:r>
      <w:r>
        <w:t xml:space="preserve"> within 21 days of lodgement</w:t>
      </w:r>
      <w:r w:rsidR="008C1163">
        <w:t xml:space="preserve"> of </w:t>
      </w:r>
      <w:r w:rsidR="00F84718">
        <w:t>a valid</w:t>
      </w:r>
      <w:r w:rsidR="008C1163">
        <w:t xml:space="preserve"> notification (r.</w:t>
      </w:r>
      <w:r w:rsidR="00F84718">
        <w:t> </w:t>
      </w:r>
      <w:r w:rsidR="008C1163">
        <w:t>14 (1))</w:t>
      </w:r>
      <w:r>
        <w:t>.</w:t>
      </w:r>
    </w:p>
    <w:p w:rsidR="00936C48" w:rsidRDefault="00936C48" w:rsidP="00936C48">
      <w:pPr>
        <w:numPr>
          <w:ilvl w:val="0"/>
          <w:numId w:val="12"/>
        </w:numPr>
      </w:pPr>
      <w:proofErr w:type="spellStart"/>
      <w:r>
        <w:t>ACCC</w:t>
      </w:r>
      <w:proofErr w:type="spellEnd"/>
      <w:r>
        <w:t xml:space="preserve"> issues paper released—</w:t>
      </w:r>
      <w:r w:rsidR="00D302E1">
        <w:t>t</w:t>
      </w:r>
      <w:r>
        <w:t xml:space="preserve">he </w:t>
      </w:r>
      <w:proofErr w:type="spellStart"/>
      <w:r>
        <w:t>ACCC</w:t>
      </w:r>
      <w:proofErr w:type="spellEnd"/>
      <w:r>
        <w:t xml:space="preserve"> </w:t>
      </w:r>
      <w:r w:rsidR="00CC31DF">
        <w:t>may</w:t>
      </w:r>
      <w:r w:rsidR="000D0AA2">
        <w:t>,</w:t>
      </w:r>
      <w:r w:rsidR="00CC31DF">
        <w:t xml:space="preserve"> where appropriate, </w:t>
      </w:r>
      <w:r>
        <w:t xml:space="preserve">release an issues paper to interested parties which outlines issues likely to be relevant to its consideration </w:t>
      </w:r>
      <w:r w:rsidR="00D302E1">
        <w:t xml:space="preserve">of the dispute, </w:t>
      </w:r>
      <w:r>
        <w:t>and seek</w:t>
      </w:r>
      <w:r w:rsidR="00FE6FEF">
        <w:t xml:space="preserve"> parties’ </w:t>
      </w:r>
      <w:r>
        <w:t xml:space="preserve">submissions. The </w:t>
      </w:r>
      <w:proofErr w:type="spellStart"/>
      <w:r>
        <w:t>ACCC</w:t>
      </w:r>
      <w:proofErr w:type="spellEnd"/>
      <w:r>
        <w:t xml:space="preserve"> may conduct other consultation processes where appropriate such as holding roundtable discussions to seek the views of </w:t>
      </w:r>
      <w:r w:rsidR="00F84718">
        <w:t>the parties to the dispute</w:t>
      </w:r>
      <w:r>
        <w:t>.</w:t>
      </w:r>
    </w:p>
    <w:p w:rsidR="00B10C43" w:rsidRPr="00B10C43" w:rsidRDefault="00936C48" w:rsidP="00936C48">
      <w:pPr>
        <w:numPr>
          <w:ilvl w:val="0"/>
          <w:numId w:val="12"/>
        </w:numPr>
        <w:rPr>
          <w:i/>
        </w:rPr>
      </w:pPr>
      <w:proofErr w:type="spellStart"/>
      <w:r>
        <w:t>ACCC</w:t>
      </w:r>
      <w:proofErr w:type="spellEnd"/>
      <w:r>
        <w:t xml:space="preserve"> recommendation—</w:t>
      </w:r>
      <w:r w:rsidR="00D302E1">
        <w:t>t</w:t>
      </w:r>
      <w:r>
        <w:t xml:space="preserve">he </w:t>
      </w:r>
      <w:proofErr w:type="spellStart"/>
      <w:r>
        <w:t>ACCC</w:t>
      </w:r>
      <w:proofErr w:type="spellEnd"/>
      <w:r>
        <w:t xml:space="preserve"> issues a report </w:t>
      </w:r>
      <w:r w:rsidR="00741192">
        <w:t>regarding</w:t>
      </w:r>
      <w:r>
        <w:t xml:space="preserve"> the </w:t>
      </w:r>
      <w:r w:rsidR="009E748C">
        <w:t>bulk interconnection service</w:t>
      </w:r>
      <w:r>
        <w:t xml:space="preserve"> dispute to the Minister within 60 days </w:t>
      </w:r>
      <w:r w:rsidR="00CC31DF">
        <w:t>of commencing</w:t>
      </w:r>
      <w:r w:rsidR="00D302E1">
        <w:t xml:space="preserve"> the</w:t>
      </w:r>
      <w:r w:rsidR="00CC31DF">
        <w:t xml:space="preserve"> inquiry (</w:t>
      </w:r>
      <w:r>
        <w:t xml:space="preserve">subject to potential extensions to this time period outlined in the </w:t>
      </w:r>
      <w:proofErr w:type="spellStart"/>
      <w:r>
        <w:t>APCR</w:t>
      </w:r>
      <w:proofErr w:type="spellEnd"/>
      <w:r>
        <w:t xml:space="preserve"> (r 14)</w:t>
      </w:r>
      <w:r w:rsidR="00CC31DF">
        <w:t>)</w:t>
      </w:r>
      <w:r>
        <w:t>.</w:t>
      </w:r>
      <w:r w:rsidR="00D302E1">
        <w:t xml:space="preserve"> </w:t>
      </w:r>
    </w:p>
    <w:p w:rsidR="001F1B01" w:rsidRPr="00D302E1" w:rsidRDefault="00DC1605" w:rsidP="00936C48">
      <w:pPr>
        <w:numPr>
          <w:ilvl w:val="0"/>
          <w:numId w:val="12"/>
        </w:numPr>
        <w:rPr>
          <w:i/>
        </w:rPr>
      </w:pPr>
      <w:r>
        <w:t>Ministerial consideration—</w:t>
      </w:r>
      <w:r w:rsidR="00D302E1">
        <w:t>t</w:t>
      </w:r>
      <w:r>
        <w:t xml:space="preserve">he Minister considers the </w:t>
      </w:r>
      <w:proofErr w:type="spellStart"/>
      <w:r>
        <w:t>ACCC</w:t>
      </w:r>
      <w:r w:rsidR="00CC31DF">
        <w:t>’s</w:t>
      </w:r>
      <w:proofErr w:type="spellEnd"/>
      <w:r>
        <w:t xml:space="preserve"> report </w:t>
      </w:r>
      <w:r w:rsidR="00CC31DF">
        <w:rPr>
          <w:szCs w:val="24"/>
        </w:rPr>
        <w:t>a</w:t>
      </w:r>
      <w:r w:rsidR="00CC31DF" w:rsidRPr="00D302E1">
        <w:rPr>
          <w:szCs w:val="24"/>
        </w:rPr>
        <w:t xml:space="preserve">nd </w:t>
      </w:r>
      <w:r w:rsidRPr="00D302E1">
        <w:rPr>
          <w:szCs w:val="24"/>
        </w:rPr>
        <w:t>m</w:t>
      </w:r>
      <w:r>
        <w:t>ay direct Australia Post to act in accordance with recommendations in the report.</w:t>
      </w:r>
      <w:r w:rsidR="001F1B01" w:rsidDel="001F1B01">
        <w:rPr>
          <w:i/>
        </w:rPr>
        <w:t xml:space="preserve"> </w:t>
      </w:r>
    </w:p>
    <w:p w:rsidR="00D532AB" w:rsidRDefault="00936C48" w:rsidP="00936C48">
      <w:r w:rsidRPr="00D302E1">
        <w:t>A</w:t>
      </w:r>
      <w:r>
        <w:t xml:space="preserve"> flowchart (‘Chart A’) is presented on the following page and outlines the </w:t>
      </w:r>
      <w:proofErr w:type="spellStart"/>
      <w:r>
        <w:t>ACCC’s</w:t>
      </w:r>
      <w:proofErr w:type="spellEnd"/>
      <w:r>
        <w:t xml:space="preserve"> preferred assessment process. This provides a general guide to the </w:t>
      </w:r>
      <w:proofErr w:type="spellStart"/>
      <w:r>
        <w:t>ACCC’s</w:t>
      </w:r>
      <w:proofErr w:type="spellEnd"/>
      <w:r>
        <w:t xml:space="preserve"> likely approach to a notified </w:t>
      </w:r>
      <w:r w:rsidR="009E748C">
        <w:t>bulk interconnection service</w:t>
      </w:r>
      <w:r>
        <w:t xml:space="preserve"> dispute</w:t>
      </w:r>
      <w:r w:rsidR="00635830">
        <w:t>. H</w:t>
      </w:r>
      <w:r w:rsidR="003B02CC">
        <w:t>owever</w:t>
      </w:r>
      <w:r w:rsidR="00514F33">
        <w:t>,</w:t>
      </w:r>
      <w:r w:rsidR="003B02CC">
        <w:t xml:space="preserve"> the specific process adopted by the </w:t>
      </w:r>
      <w:proofErr w:type="spellStart"/>
      <w:r w:rsidR="003B02CC">
        <w:t>ACCC</w:t>
      </w:r>
      <w:proofErr w:type="spellEnd"/>
      <w:r w:rsidR="003B02CC">
        <w:t xml:space="preserve"> is likely to vary depending on the circumstances of the dispute</w:t>
      </w:r>
      <w:r>
        <w:t xml:space="preserve">. </w:t>
      </w:r>
    </w:p>
    <w:p w:rsidR="00385586" w:rsidRDefault="00936C48" w:rsidP="00111DFC">
      <w:r>
        <w:t xml:space="preserve">The process should assist the complainant to submit a </w:t>
      </w:r>
      <w:r w:rsidR="00D302E1">
        <w:t>dispute notice that</w:t>
      </w:r>
      <w:r>
        <w:t xml:space="preserve"> provides the </w:t>
      </w:r>
      <w:proofErr w:type="spellStart"/>
      <w:r>
        <w:t>ACCC</w:t>
      </w:r>
      <w:proofErr w:type="spellEnd"/>
      <w:r>
        <w:t xml:space="preserve"> with sufficient time and information to conduct a proper and accurate inquiry into the dispute. The timeframe for each stage of the </w:t>
      </w:r>
      <w:r w:rsidR="00F84718">
        <w:t xml:space="preserve">inquiry </w:t>
      </w:r>
      <w:r>
        <w:t>process</w:t>
      </w:r>
      <w:r w:rsidRPr="00865A6B">
        <w:t xml:space="preserve"> </w:t>
      </w:r>
      <w:r>
        <w:t xml:space="preserve">is likely to depend on the nature and complexity of </w:t>
      </w:r>
      <w:r w:rsidR="00D05E3A">
        <w:t>the dispute</w:t>
      </w:r>
      <w:r w:rsidR="001A3236">
        <w:t xml:space="preserve">. However, these timeframes are subject to </w:t>
      </w:r>
      <w:r w:rsidR="00BA132E">
        <w:t xml:space="preserve">the statutory periods that are specified in the </w:t>
      </w:r>
      <w:proofErr w:type="spellStart"/>
      <w:r w:rsidR="00BA132E">
        <w:t>APCR</w:t>
      </w:r>
      <w:proofErr w:type="spellEnd"/>
      <w:r w:rsidR="00BA132E">
        <w:t xml:space="preserve">. </w:t>
      </w:r>
      <w:r w:rsidR="000E482D" w:rsidRPr="000E482D">
        <w:t xml:space="preserve">For example, the </w:t>
      </w:r>
      <w:proofErr w:type="spellStart"/>
      <w:r w:rsidR="000E482D" w:rsidRPr="000E482D">
        <w:t>ACCC</w:t>
      </w:r>
      <w:proofErr w:type="spellEnd"/>
      <w:r w:rsidR="000E482D" w:rsidRPr="000E482D">
        <w:t xml:space="preserve"> must commence an inquiry within 21 days of lodgement of formal notice, and must complete an inquiry within another 60 days of commencement (subject to some specific extension provisions).</w:t>
      </w:r>
    </w:p>
    <w:p w:rsidR="009C6D75" w:rsidRPr="00BE4022" w:rsidRDefault="009D7C0C" w:rsidP="00111DFC">
      <w:pPr>
        <w:rPr>
          <w:rFonts w:ascii="Arial" w:hAnsi="Arial" w:cs="Arial"/>
          <w:b/>
        </w:rPr>
      </w:pPr>
      <w:r>
        <w:t xml:space="preserve">Chart </w:t>
      </w:r>
      <w:proofErr w:type="gramStart"/>
      <w:r>
        <w:t>A</w:t>
      </w:r>
      <w:proofErr w:type="gramEnd"/>
      <w:r>
        <w:t xml:space="preserve"> outlines the </w:t>
      </w:r>
      <w:r w:rsidR="00385586">
        <w:t xml:space="preserve">specific </w:t>
      </w:r>
      <w:r>
        <w:t xml:space="preserve">procedures that the </w:t>
      </w:r>
      <w:proofErr w:type="spellStart"/>
      <w:r>
        <w:t>ACCC</w:t>
      </w:r>
      <w:proofErr w:type="spellEnd"/>
      <w:r>
        <w:t xml:space="preserve"> would expect to be undertaken </w:t>
      </w:r>
      <w:r w:rsidR="00CA0545">
        <w:t>as part of an inquiry into a bulk interconnection service dispute</w:t>
      </w:r>
      <w:r w:rsidR="001A3236">
        <w:t xml:space="preserve">. The </w:t>
      </w:r>
      <w:r w:rsidR="00CA0545">
        <w:t xml:space="preserve">estimated timeframes for </w:t>
      </w:r>
      <w:r>
        <w:t>completing them</w:t>
      </w:r>
      <w:r w:rsidR="001A3236">
        <w:t xml:space="preserve"> are noted in the margin comments</w:t>
      </w:r>
      <w:r>
        <w:t xml:space="preserve">. </w:t>
      </w:r>
      <w:r w:rsidR="00936C48">
        <w:rPr>
          <w:b/>
          <w:i/>
          <w:sz w:val="28"/>
          <w:szCs w:val="28"/>
        </w:rPr>
        <w:br w:type="page"/>
      </w:r>
      <w:r w:rsidR="00936C48" w:rsidRPr="00BE4022">
        <w:rPr>
          <w:rFonts w:ascii="Arial" w:hAnsi="Arial" w:cs="Arial"/>
          <w:b/>
        </w:rPr>
        <w:t xml:space="preserve">Chart A:  </w:t>
      </w:r>
      <w:r w:rsidR="00DD4553" w:rsidRPr="00BE4022">
        <w:rPr>
          <w:rFonts w:ascii="Arial" w:hAnsi="Arial" w:cs="Arial"/>
          <w:b/>
        </w:rPr>
        <w:tab/>
        <w:t>Suggested p</w:t>
      </w:r>
      <w:r w:rsidR="00936C48" w:rsidRPr="00BE4022">
        <w:rPr>
          <w:rFonts w:ascii="Arial" w:hAnsi="Arial" w:cs="Arial"/>
          <w:b/>
        </w:rPr>
        <w:t xml:space="preserve">rocedure for </w:t>
      </w:r>
      <w:r w:rsidR="00C13DAF" w:rsidRPr="00BE4022">
        <w:rPr>
          <w:rFonts w:ascii="Arial" w:hAnsi="Arial" w:cs="Arial"/>
          <w:b/>
        </w:rPr>
        <w:t>an inquiry into a</w:t>
      </w:r>
      <w:r w:rsidR="00CD173B" w:rsidRPr="00BE4022">
        <w:rPr>
          <w:rFonts w:ascii="Arial" w:hAnsi="Arial" w:cs="Arial"/>
          <w:b/>
        </w:rPr>
        <w:t xml:space="preserve"> </w:t>
      </w:r>
      <w:r w:rsidR="00D532AB" w:rsidRPr="00BE4022">
        <w:rPr>
          <w:rFonts w:ascii="Arial" w:hAnsi="Arial" w:cs="Arial"/>
          <w:b/>
        </w:rPr>
        <w:t xml:space="preserve">bulk interconnection </w:t>
      </w:r>
      <w:r w:rsidR="007D12B4" w:rsidRPr="00BE4022">
        <w:rPr>
          <w:rFonts w:ascii="Arial" w:hAnsi="Arial" w:cs="Arial"/>
          <w:b/>
        </w:rPr>
        <w:t xml:space="preserve">service </w:t>
      </w:r>
      <w:r w:rsidR="00D532AB" w:rsidRPr="00BE4022">
        <w:rPr>
          <w:rFonts w:ascii="Arial" w:hAnsi="Arial" w:cs="Arial"/>
          <w:b/>
        </w:rPr>
        <w:t>dispute</w:t>
      </w:r>
    </w:p>
    <w:tbl>
      <w:tblPr>
        <w:tblW w:w="81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tblPr>
      <w:tblGrid>
        <w:gridCol w:w="2175"/>
        <w:gridCol w:w="283"/>
        <w:gridCol w:w="5433"/>
        <w:gridCol w:w="235"/>
      </w:tblGrid>
      <w:tr w:rsidR="009C6D75" w:rsidRPr="001E1F61" w:rsidTr="005B2986">
        <w:trPr>
          <w:gridAfter w:val="1"/>
          <w:wAfter w:w="235" w:type="dxa"/>
          <w:jc w:val="center"/>
        </w:trPr>
        <w:tc>
          <w:tcPr>
            <w:tcW w:w="8126" w:type="dxa"/>
            <w:gridSpan w:val="3"/>
            <w:shd w:val="clear" w:color="auto" w:fill="BFBFBF"/>
          </w:tcPr>
          <w:p w:rsidR="009C6D75" w:rsidRPr="001E1F61" w:rsidRDefault="009C6D75" w:rsidP="009C6D75">
            <w:pPr>
              <w:pStyle w:val="BodyText"/>
              <w:jc w:val="center"/>
              <w:rPr>
                <w:b/>
                <w:szCs w:val="24"/>
              </w:rPr>
            </w:pPr>
            <w:r w:rsidRPr="001E1F61">
              <w:rPr>
                <w:b/>
                <w:szCs w:val="24"/>
              </w:rPr>
              <w:t>Pre-lodgement</w:t>
            </w:r>
          </w:p>
        </w:tc>
      </w:tr>
      <w:tr w:rsidR="00B01572" w:rsidRPr="00E33FED" w:rsidTr="009C6D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tblPrEx>
        <w:trPr>
          <w:trHeight w:hRule="exact" w:val="956"/>
        </w:trPr>
        <w:tc>
          <w:tcPr>
            <w:tcW w:w="2245" w:type="dxa"/>
            <w:tcBorders>
              <w:top w:val="nil"/>
              <w:left w:val="nil"/>
              <w:bottom w:val="nil"/>
              <w:right w:val="nil"/>
            </w:tcBorders>
          </w:tcPr>
          <w:p w:rsidR="00B01572" w:rsidRPr="007A2B76" w:rsidRDefault="00B01572" w:rsidP="00B01572">
            <w:pPr>
              <w:tabs>
                <w:tab w:val="left" w:pos="1065"/>
              </w:tabs>
              <w:jc w:val="center"/>
              <w:rPr>
                <w:i/>
              </w:rPr>
            </w:pPr>
          </w:p>
        </w:tc>
        <w:tc>
          <w:tcPr>
            <w:tcW w:w="285" w:type="dxa"/>
            <w:tcBorders>
              <w:top w:val="nil"/>
              <w:left w:val="nil"/>
              <w:bottom w:val="nil"/>
              <w:right w:val="single" w:sz="4" w:space="0" w:color="auto"/>
            </w:tcBorders>
          </w:tcPr>
          <w:p w:rsidR="00B01572" w:rsidRPr="00E33FED" w:rsidRDefault="00B01572" w:rsidP="00B01572"/>
        </w:tc>
        <w:tc>
          <w:tcPr>
            <w:tcW w:w="5839" w:type="dxa"/>
            <w:gridSpan w:val="2"/>
            <w:tcBorders>
              <w:top w:val="single" w:sz="4" w:space="0" w:color="auto"/>
              <w:left w:val="single" w:sz="4" w:space="0" w:color="auto"/>
              <w:bottom w:val="single" w:sz="4" w:space="0" w:color="auto"/>
              <w:right w:val="single" w:sz="4" w:space="0" w:color="auto"/>
            </w:tcBorders>
          </w:tcPr>
          <w:p w:rsidR="00B01572" w:rsidRDefault="00B01572" w:rsidP="00B01572">
            <w:pPr>
              <w:spacing w:after="0"/>
            </w:pPr>
            <w:r>
              <w:t>The complainant may a</w:t>
            </w:r>
            <w:r w:rsidRPr="00E33FED">
              <w:t xml:space="preserve">pproach </w:t>
            </w:r>
            <w:proofErr w:type="spellStart"/>
            <w:r>
              <w:t>ACCC</w:t>
            </w:r>
            <w:proofErr w:type="spellEnd"/>
            <w:r w:rsidRPr="00E33FED">
              <w:t xml:space="preserve"> staff </w:t>
            </w:r>
            <w:r>
              <w:t xml:space="preserve">to discuss the prospective dispute notification before lodgement. </w:t>
            </w:r>
          </w:p>
        </w:tc>
      </w:tr>
    </w:tbl>
    <w:p w:rsidR="005F61B0" w:rsidRDefault="00CF79EA" w:rsidP="005F61B0">
      <w:pPr>
        <w:pStyle w:val="BodyText"/>
        <w:rPr>
          <w:i/>
          <w:sz w:val="28"/>
          <w:szCs w:val="28"/>
        </w:rPr>
      </w:pPr>
      <w:r>
        <w:rPr>
          <w:i/>
          <w:noProof/>
          <w:sz w:val="28"/>
          <w:szCs w:val="28"/>
        </w:rPr>
        <w:pict>
          <v:shapetype id="_x0000_t32" coordsize="21600,21600" o:spt="32" o:oned="t" path="m,l21600,21600e" filled="f">
            <v:path arrowok="t" fillok="f" o:connecttype="none"/>
            <o:lock v:ext="edit" shapetype="t"/>
          </v:shapetype>
          <v:shape id="_x0000_s1217" type="#_x0000_t32" style="position:absolute;margin-left:261.85pt;margin-top:5.85pt;width:0;height:13.8pt;z-index:251656192;mso-position-horizontal-relative:text;mso-position-vertical-relative:text" o:connectortype="straight">
            <v:stroke endarrow="block"/>
          </v:shape>
        </w:pict>
      </w:r>
    </w:p>
    <w:tbl>
      <w:tblPr>
        <w:tblW w:w="83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ayout w:type="fixed"/>
        <w:tblLook w:val="04A0"/>
      </w:tblPr>
      <w:tblGrid>
        <w:gridCol w:w="2245"/>
        <w:gridCol w:w="285"/>
        <w:gridCol w:w="5379"/>
        <w:gridCol w:w="460"/>
      </w:tblGrid>
      <w:tr w:rsidR="00B01572" w:rsidRPr="001E1F61" w:rsidTr="009C6D75">
        <w:trPr>
          <w:gridAfter w:val="1"/>
          <w:wAfter w:w="460" w:type="dxa"/>
          <w:jc w:val="center"/>
        </w:trPr>
        <w:tc>
          <w:tcPr>
            <w:tcW w:w="7909" w:type="dxa"/>
            <w:gridSpan w:val="3"/>
            <w:shd w:val="clear" w:color="auto" w:fill="BFBFBF"/>
          </w:tcPr>
          <w:p w:rsidR="00B01572" w:rsidRPr="001E1F61" w:rsidRDefault="00B01572" w:rsidP="001E1F61">
            <w:pPr>
              <w:pStyle w:val="BodyText"/>
              <w:jc w:val="center"/>
              <w:rPr>
                <w:b/>
                <w:szCs w:val="24"/>
              </w:rPr>
            </w:pPr>
            <w:r w:rsidRPr="001E1F61">
              <w:rPr>
                <w:b/>
                <w:szCs w:val="24"/>
              </w:rPr>
              <w:t>Notification of a dispute</w:t>
            </w:r>
            <w:r w:rsidR="009C5407">
              <w:rPr>
                <w:b/>
                <w:szCs w:val="24"/>
              </w:rPr>
              <w:t xml:space="preserve"> (Pre-commencement Phase)</w:t>
            </w:r>
          </w:p>
        </w:tc>
      </w:tr>
      <w:tr w:rsidR="00B01572" w:rsidRPr="00E33FED" w:rsidTr="009C6D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tblPrEx>
        <w:trPr>
          <w:trHeight w:val="545"/>
        </w:trPr>
        <w:tc>
          <w:tcPr>
            <w:tcW w:w="2245" w:type="dxa"/>
            <w:tcBorders>
              <w:top w:val="nil"/>
              <w:left w:val="nil"/>
              <w:bottom w:val="nil"/>
              <w:right w:val="nil"/>
            </w:tcBorders>
          </w:tcPr>
          <w:p w:rsidR="00B01572" w:rsidRPr="007A2B76" w:rsidRDefault="00B01572" w:rsidP="005F61B0">
            <w:pPr>
              <w:tabs>
                <w:tab w:val="left" w:pos="1065"/>
              </w:tabs>
              <w:jc w:val="center"/>
              <w:rPr>
                <w:i/>
              </w:rPr>
            </w:pPr>
          </w:p>
        </w:tc>
        <w:tc>
          <w:tcPr>
            <w:tcW w:w="285" w:type="dxa"/>
            <w:tcBorders>
              <w:top w:val="nil"/>
              <w:left w:val="nil"/>
              <w:bottom w:val="nil"/>
              <w:right w:val="single" w:sz="4" w:space="0" w:color="auto"/>
            </w:tcBorders>
          </w:tcPr>
          <w:p w:rsidR="00B01572" w:rsidRPr="00E33FED" w:rsidRDefault="00B01572" w:rsidP="005F61B0"/>
        </w:tc>
        <w:tc>
          <w:tcPr>
            <w:tcW w:w="5839" w:type="dxa"/>
            <w:gridSpan w:val="2"/>
            <w:tcBorders>
              <w:top w:val="single" w:sz="4" w:space="0" w:color="auto"/>
              <w:left w:val="single" w:sz="4" w:space="0" w:color="auto"/>
              <w:bottom w:val="single" w:sz="4" w:space="0" w:color="auto"/>
              <w:right w:val="single" w:sz="4" w:space="0" w:color="auto"/>
            </w:tcBorders>
          </w:tcPr>
          <w:p w:rsidR="00B01572" w:rsidRPr="00E33FED" w:rsidRDefault="00B01572" w:rsidP="005F61B0">
            <w:pPr>
              <w:spacing w:after="0"/>
            </w:pPr>
            <w:r>
              <w:t xml:space="preserve">The complainant lodges a notification of dispute with the </w:t>
            </w:r>
            <w:proofErr w:type="spellStart"/>
            <w:r>
              <w:t>ACCC</w:t>
            </w:r>
            <w:proofErr w:type="spellEnd"/>
            <w:r>
              <w:t xml:space="preserve"> which complies with the requirements that are set out in r. 9(2). The </w:t>
            </w:r>
            <w:proofErr w:type="spellStart"/>
            <w:r>
              <w:t>ACCC’s</w:t>
            </w:r>
            <w:proofErr w:type="spellEnd"/>
            <w:r>
              <w:t xml:space="preserve"> preference is for a supporting submission to be provided with the notification of dispute.</w:t>
            </w:r>
          </w:p>
        </w:tc>
      </w:tr>
      <w:tr w:rsidR="00B01572" w:rsidRPr="00E33FED" w:rsidTr="009C6D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tblPrEx>
        <w:trPr>
          <w:trHeight w:hRule="exact" w:val="397"/>
        </w:trPr>
        <w:tc>
          <w:tcPr>
            <w:tcW w:w="2245" w:type="dxa"/>
            <w:shd w:val="clear" w:color="auto" w:fill="auto"/>
            <w:vAlign w:val="center"/>
          </w:tcPr>
          <w:p w:rsidR="00B01572" w:rsidRPr="007A2B76" w:rsidRDefault="00B01572" w:rsidP="005F61B0">
            <w:pPr>
              <w:tabs>
                <w:tab w:val="left" w:pos="1065"/>
              </w:tabs>
              <w:jc w:val="center"/>
              <w:rPr>
                <w:i/>
                <w:sz w:val="16"/>
                <w:szCs w:val="16"/>
              </w:rPr>
            </w:pPr>
          </w:p>
        </w:tc>
        <w:tc>
          <w:tcPr>
            <w:tcW w:w="285" w:type="dxa"/>
            <w:tcBorders>
              <w:right w:val="single" w:sz="4" w:space="0" w:color="auto"/>
            </w:tcBorders>
          </w:tcPr>
          <w:p w:rsidR="00B01572" w:rsidRPr="00E33FED" w:rsidRDefault="00B01572" w:rsidP="005F61B0"/>
        </w:tc>
        <w:tc>
          <w:tcPr>
            <w:tcW w:w="5839" w:type="dxa"/>
            <w:gridSpan w:val="2"/>
            <w:tcBorders>
              <w:top w:val="single" w:sz="4" w:space="0" w:color="auto"/>
              <w:left w:val="single" w:sz="4" w:space="0" w:color="auto"/>
              <w:bottom w:val="single" w:sz="4" w:space="0" w:color="auto"/>
              <w:right w:val="single" w:sz="4" w:space="0" w:color="auto"/>
            </w:tcBorders>
          </w:tcPr>
          <w:p w:rsidR="00B01572" w:rsidRDefault="00CF79EA" w:rsidP="005F61B0">
            <w:pPr>
              <w:spacing w:after="0"/>
            </w:pPr>
            <w:r>
              <w:rPr>
                <w:noProof/>
              </w:rPr>
              <w:pict>
                <v:shape id="_x0000_s1207" type="#_x0000_t32" style="position:absolute;margin-left:135.35pt;margin-top:3.35pt;width:0;height:15pt;z-index:251655168;mso-position-horizontal-relative:text;mso-position-vertical-relative:text" o:connectortype="straight">
                  <v:stroke endarrow="block"/>
                </v:shape>
              </w:pict>
            </w:r>
          </w:p>
        </w:tc>
      </w:tr>
      <w:tr w:rsidR="00191557" w:rsidRPr="00E33FED" w:rsidTr="0019155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tblPrEx>
        <w:trPr>
          <w:trHeight w:hRule="exact" w:val="845"/>
        </w:trPr>
        <w:tc>
          <w:tcPr>
            <w:tcW w:w="2245" w:type="dxa"/>
            <w:shd w:val="clear" w:color="auto" w:fill="auto"/>
            <w:vAlign w:val="center"/>
          </w:tcPr>
          <w:p w:rsidR="00191557" w:rsidRPr="007A2B76" w:rsidRDefault="00191557" w:rsidP="00191557">
            <w:pPr>
              <w:tabs>
                <w:tab w:val="left" w:pos="1065"/>
              </w:tabs>
              <w:jc w:val="center"/>
              <w:rPr>
                <w:i/>
                <w:sz w:val="16"/>
                <w:szCs w:val="16"/>
              </w:rPr>
            </w:pPr>
            <w:r w:rsidRPr="007A2B76">
              <w:rPr>
                <w:i/>
                <w:sz w:val="16"/>
                <w:szCs w:val="16"/>
              </w:rPr>
              <w:t xml:space="preserve">(Within a few working days of the </w:t>
            </w:r>
            <w:proofErr w:type="spellStart"/>
            <w:r w:rsidRPr="007A2B76">
              <w:rPr>
                <w:i/>
                <w:sz w:val="16"/>
                <w:szCs w:val="16"/>
              </w:rPr>
              <w:t>ACCC</w:t>
            </w:r>
            <w:proofErr w:type="spellEnd"/>
            <w:r w:rsidRPr="007A2B76">
              <w:rPr>
                <w:i/>
                <w:sz w:val="16"/>
                <w:szCs w:val="16"/>
              </w:rPr>
              <w:t xml:space="preserve"> receiving the dispute notification)</w:t>
            </w:r>
          </w:p>
        </w:tc>
        <w:tc>
          <w:tcPr>
            <w:tcW w:w="285" w:type="dxa"/>
            <w:tcBorders>
              <w:right w:val="single" w:sz="4" w:space="0" w:color="auto"/>
            </w:tcBorders>
          </w:tcPr>
          <w:p w:rsidR="00191557" w:rsidRPr="00E33FED" w:rsidRDefault="00191557" w:rsidP="005F61B0"/>
        </w:tc>
        <w:tc>
          <w:tcPr>
            <w:tcW w:w="5839" w:type="dxa"/>
            <w:gridSpan w:val="2"/>
            <w:tcBorders>
              <w:top w:val="single" w:sz="4" w:space="0" w:color="auto"/>
              <w:left w:val="single" w:sz="4" w:space="0" w:color="auto"/>
              <w:bottom w:val="single" w:sz="4" w:space="0" w:color="auto"/>
              <w:right w:val="single" w:sz="4" w:space="0" w:color="auto"/>
            </w:tcBorders>
          </w:tcPr>
          <w:p w:rsidR="00191557" w:rsidRDefault="00191557" w:rsidP="00191557">
            <w:pPr>
              <w:spacing w:after="0"/>
              <w:rPr>
                <w:noProof/>
              </w:rPr>
            </w:pPr>
            <w:r>
              <w:t xml:space="preserve">The </w:t>
            </w:r>
            <w:proofErr w:type="spellStart"/>
            <w:r>
              <w:t>ACCC</w:t>
            </w:r>
            <w:proofErr w:type="spellEnd"/>
            <w:r>
              <w:t xml:space="preserve"> assesses the notification to ensure sufficient information is provided to consider the dispute. The </w:t>
            </w:r>
            <w:proofErr w:type="spellStart"/>
            <w:r>
              <w:t>ACCC</w:t>
            </w:r>
            <w:proofErr w:type="spellEnd"/>
            <w:r>
              <w:t xml:space="preserve"> requests further information where necessary.</w:t>
            </w:r>
          </w:p>
        </w:tc>
      </w:tr>
      <w:tr w:rsidR="00191557" w:rsidRPr="00E33FED" w:rsidTr="0019155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tblPrEx>
        <w:trPr>
          <w:trHeight w:hRule="exact" w:val="397"/>
        </w:trPr>
        <w:tc>
          <w:tcPr>
            <w:tcW w:w="2245" w:type="dxa"/>
            <w:shd w:val="clear" w:color="auto" w:fill="auto"/>
          </w:tcPr>
          <w:p w:rsidR="00191557" w:rsidRPr="007A2B76" w:rsidRDefault="00191557" w:rsidP="005F61B0">
            <w:pPr>
              <w:tabs>
                <w:tab w:val="left" w:pos="1065"/>
              </w:tabs>
              <w:jc w:val="center"/>
              <w:rPr>
                <w:i/>
                <w:sz w:val="16"/>
                <w:szCs w:val="16"/>
              </w:rPr>
            </w:pPr>
          </w:p>
        </w:tc>
        <w:tc>
          <w:tcPr>
            <w:tcW w:w="285" w:type="dxa"/>
            <w:tcBorders>
              <w:right w:val="single" w:sz="4" w:space="0" w:color="auto"/>
            </w:tcBorders>
          </w:tcPr>
          <w:p w:rsidR="00191557" w:rsidRPr="00E33FED" w:rsidRDefault="00191557" w:rsidP="005F61B0"/>
        </w:tc>
        <w:tc>
          <w:tcPr>
            <w:tcW w:w="5839" w:type="dxa"/>
            <w:gridSpan w:val="2"/>
            <w:tcBorders>
              <w:top w:val="single" w:sz="4" w:space="0" w:color="auto"/>
              <w:left w:val="single" w:sz="4" w:space="0" w:color="auto"/>
              <w:bottom w:val="single" w:sz="4" w:space="0" w:color="auto"/>
              <w:right w:val="single" w:sz="4" w:space="0" w:color="auto"/>
            </w:tcBorders>
          </w:tcPr>
          <w:p w:rsidR="00191557" w:rsidRDefault="00CF79EA" w:rsidP="005F61B0">
            <w:pPr>
              <w:spacing w:after="0"/>
            </w:pPr>
            <w:r w:rsidRPr="00CF79EA">
              <w:rPr>
                <w:noProof/>
                <w:sz w:val="16"/>
                <w:szCs w:val="16"/>
              </w:rPr>
              <w:pict>
                <v:shape id="_x0000_s1240" type="#_x0000_t32" style="position:absolute;margin-left:135.35pt;margin-top:1.85pt;width:0;height:15pt;z-index:251659264;mso-position-horizontal-relative:text;mso-position-vertical-relative:text" o:connectortype="straight">
                  <v:stroke endarrow="block"/>
                </v:shape>
              </w:pict>
            </w:r>
          </w:p>
        </w:tc>
      </w:tr>
      <w:tr w:rsidR="00191557" w:rsidRPr="00E33FED" w:rsidTr="001B0DC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tblPrEx>
        <w:trPr>
          <w:trHeight w:hRule="exact" w:val="1134"/>
        </w:trPr>
        <w:tc>
          <w:tcPr>
            <w:tcW w:w="2245" w:type="dxa"/>
            <w:shd w:val="clear" w:color="auto" w:fill="auto"/>
          </w:tcPr>
          <w:p w:rsidR="00191557" w:rsidRPr="007A2B76" w:rsidRDefault="00191557" w:rsidP="005F61B0">
            <w:pPr>
              <w:tabs>
                <w:tab w:val="left" w:pos="1065"/>
              </w:tabs>
              <w:jc w:val="center"/>
              <w:rPr>
                <w:i/>
                <w:sz w:val="16"/>
                <w:szCs w:val="16"/>
              </w:rPr>
            </w:pPr>
            <w:r w:rsidRPr="007A2B76">
              <w:rPr>
                <w:i/>
                <w:sz w:val="16"/>
                <w:szCs w:val="16"/>
              </w:rPr>
              <w:t xml:space="preserve">( As soon as is practicable after a notification of dispute is lodged the </w:t>
            </w:r>
            <w:proofErr w:type="spellStart"/>
            <w:r w:rsidRPr="007A2B76">
              <w:rPr>
                <w:i/>
                <w:sz w:val="16"/>
                <w:szCs w:val="16"/>
              </w:rPr>
              <w:t>ACCC</w:t>
            </w:r>
            <w:proofErr w:type="spellEnd"/>
            <w:r w:rsidRPr="007A2B76">
              <w:rPr>
                <w:i/>
                <w:sz w:val="16"/>
                <w:szCs w:val="16"/>
              </w:rPr>
              <w:t xml:space="preserve"> must give written notice to the complainant and Australia Post)</w:t>
            </w:r>
          </w:p>
        </w:tc>
        <w:tc>
          <w:tcPr>
            <w:tcW w:w="285" w:type="dxa"/>
            <w:tcBorders>
              <w:right w:val="single" w:sz="4" w:space="0" w:color="auto"/>
            </w:tcBorders>
          </w:tcPr>
          <w:p w:rsidR="00191557" w:rsidRPr="00E33FED" w:rsidRDefault="00191557" w:rsidP="005F61B0"/>
        </w:tc>
        <w:tc>
          <w:tcPr>
            <w:tcW w:w="5839" w:type="dxa"/>
            <w:gridSpan w:val="2"/>
            <w:tcBorders>
              <w:top w:val="single" w:sz="4" w:space="0" w:color="auto"/>
              <w:left w:val="single" w:sz="4" w:space="0" w:color="auto"/>
              <w:bottom w:val="single" w:sz="4" w:space="0" w:color="auto"/>
              <w:right w:val="single" w:sz="4" w:space="0" w:color="auto"/>
            </w:tcBorders>
          </w:tcPr>
          <w:p w:rsidR="00191557" w:rsidRDefault="00191557" w:rsidP="005F61B0">
            <w:pPr>
              <w:spacing w:after="0"/>
              <w:rPr>
                <w:noProof/>
              </w:rPr>
            </w:pPr>
            <w:proofErr w:type="spellStart"/>
            <w:r>
              <w:t>ACCC</w:t>
            </w:r>
            <w:proofErr w:type="spellEnd"/>
            <w:r>
              <w:t xml:space="preserve"> notifies parties about the dispute </w:t>
            </w:r>
          </w:p>
        </w:tc>
      </w:tr>
      <w:tr w:rsidR="00191557" w:rsidRPr="00E33FED" w:rsidTr="009C6D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tblPrEx>
        <w:trPr>
          <w:trHeight w:hRule="exact" w:val="397"/>
        </w:trPr>
        <w:tc>
          <w:tcPr>
            <w:tcW w:w="2245" w:type="dxa"/>
            <w:shd w:val="clear" w:color="auto" w:fill="auto"/>
            <w:vAlign w:val="center"/>
          </w:tcPr>
          <w:p w:rsidR="00191557" w:rsidRPr="007A2B76" w:rsidRDefault="00191557" w:rsidP="005F61B0">
            <w:pPr>
              <w:tabs>
                <w:tab w:val="left" w:pos="1065"/>
              </w:tabs>
              <w:jc w:val="center"/>
              <w:rPr>
                <w:i/>
                <w:sz w:val="16"/>
                <w:szCs w:val="16"/>
              </w:rPr>
            </w:pPr>
          </w:p>
        </w:tc>
        <w:tc>
          <w:tcPr>
            <w:tcW w:w="285" w:type="dxa"/>
            <w:tcBorders>
              <w:right w:val="single" w:sz="4" w:space="0" w:color="auto"/>
            </w:tcBorders>
          </w:tcPr>
          <w:p w:rsidR="00191557" w:rsidRPr="00E33FED" w:rsidRDefault="00191557" w:rsidP="005F61B0"/>
        </w:tc>
        <w:tc>
          <w:tcPr>
            <w:tcW w:w="5839" w:type="dxa"/>
            <w:gridSpan w:val="2"/>
            <w:tcBorders>
              <w:top w:val="single" w:sz="4" w:space="0" w:color="auto"/>
              <w:left w:val="single" w:sz="4" w:space="0" w:color="auto"/>
              <w:bottom w:val="single" w:sz="4" w:space="0" w:color="auto"/>
              <w:right w:val="single" w:sz="4" w:space="0" w:color="auto"/>
            </w:tcBorders>
          </w:tcPr>
          <w:p w:rsidR="00191557" w:rsidRDefault="00CF79EA" w:rsidP="005F61B0">
            <w:pPr>
              <w:spacing w:after="0"/>
              <w:rPr>
                <w:noProof/>
              </w:rPr>
            </w:pPr>
            <w:r>
              <w:rPr>
                <w:noProof/>
              </w:rPr>
              <w:pict>
                <v:shape id="_x0000_s1247" type="#_x0000_t32" style="position:absolute;margin-left:135.35pt;margin-top:.25pt;width:0;height:16.9pt;z-index:251666432;mso-position-horizontal-relative:text;mso-position-vertical-relative:text" o:connectortype="straight">
                  <v:stroke endarrow="block"/>
                </v:shape>
              </w:pict>
            </w:r>
          </w:p>
        </w:tc>
      </w:tr>
      <w:tr w:rsidR="00191557" w:rsidRPr="00E33FED" w:rsidTr="009C6D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tblPrEx>
        <w:trPr>
          <w:trHeight w:val="670"/>
        </w:trPr>
        <w:tc>
          <w:tcPr>
            <w:tcW w:w="2245" w:type="dxa"/>
            <w:shd w:val="clear" w:color="auto" w:fill="auto"/>
          </w:tcPr>
          <w:p w:rsidR="00191557" w:rsidRPr="007A2B76" w:rsidRDefault="00191557" w:rsidP="005F61B0">
            <w:pPr>
              <w:tabs>
                <w:tab w:val="left" w:pos="1065"/>
              </w:tabs>
              <w:jc w:val="center"/>
              <w:rPr>
                <w:i/>
                <w:sz w:val="16"/>
                <w:szCs w:val="16"/>
              </w:rPr>
            </w:pPr>
          </w:p>
        </w:tc>
        <w:tc>
          <w:tcPr>
            <w:tcW w:w="285" w:type="dxa"/>
            <w:tcBorders>
              <w:right w:val="single" w:sz="4" w:space="0" w:color="auto"/>
            </w:tcBorders>
          </w:tcPr>
          <w:p w:rsidR="00191557" w:rsidRPr="00E33FED" w:rsidRDefault="00191557" w:rsidP="005F61B0"/>
        </w:tc>
        <w:tc>
          <w:tcPr>
            <w:tcW w:w="5839" w:type="dxa"/>
            <w:gridSpan w:val="2"/>
            <w:tcBorders>
              <w:top w:val="single" w:sz="4" w:space="0" w:color="auto"/>
              <w:left w:val="single" w:sz="4" w:space="0" w:color="auto"/>
              <w:bottom w:val="single" w:sz="4" w:space="0" w:color="auto"/>
              <w:right w:val="single" w:sz="4" w:space="0" w:color="auto"/>
            </w:tcBorders>
          </w:tcPr>
          <w:p w:rsidR="00191557" w:rsidRDefault="00191557" w:rsidP="00F84718">
            <w:pPr>
              <w:spacing w:after="0"/>
            </w:pPr>
            <w:r>
              <w:t xml:space="preserve">The </w:t>
            </w:r>
            <w:proofErr w:type="spellStart"/>
            <w:r>
              <w:t>ACCC</w:t>
            </w:r>
            <w:proofErr w:type="spellEnd"/>
            <w:r>
              <w:t xml:space="preserve"> gives public notice of the dispute on its website </w:t>
            </w:r>
          </w:p>
        </w:tc>
      </w:tr>
      <w:tr w:rsidR="00191557" w:rsidRPr="00E33FED" w:rsidTr="009C6D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tblPrEx>
        <w:trPr>
          <w:trHeight w:hRule="exact" w:val="397"/>
        </w:trPr>
        <w:tc>
          <w:tcPr>
            <w:tcW w:w="2245" w:type="dxa"/>
            <w:shd w:val="clear" w:color="auto" w:fill="auto"/>
          </w:tcPr>
          <w:p w:rsidR="00191557" w:rsidRPr="007A2B76" w:rsidRDefault="00191557" w:rsidP="005F61B0">
            <w:pPr>
              <w:tabs>
                <w:tab w:val="left" w:pos="1065"/>
              </w:tabs>
              <w:jc w:val="center"/>
              <w:rPr>
                <w:i/>
                <w:sz w:val="16"/>
                <w:szCs w:val="16"/>
              </w:rPr>
            </w:pPr>
          </w:p>
        </w:tc>
        <w:tc>
          <w:tcPr>
            <w:tcW w:w="285" w:type="dxa"/>
            <w:tcBorders>
              <w:right w:val="single" w:sz="4" w:space="0" w:color="auto"/>
            </w:tcBorders>
          </w:tcPr>
          <w:p w:rsidR="00191557" w:rsidRPr="00E33FED" w:rsidRDefault="00191557" w:rsidP="005F61B0"/>
        </w:tc>
        <w:tc>
          <w:tcPr>
            <w:tcW w:w="5839" w:type="dxa"/>
            <w:gridSpan w:val="2"/>
            <w:tcBorders>
              <w:top w:val="single" w:sz="4" w:space="0" w:color="auto"/>
              <w:left w:val="single" w:sz="4" w:space="0" w:color="auto"/>
              <w:bottom w:val="single" w:sz="4" w:space="0" w:color="auto"/>
              <w:right w:val="single" w:sz="4" w:space="0" w:color="auto"/>
            </w:tcBorders>
          </w:tcPr>
          <w:p w:rsidR="00191557" w:rsidRDefault="00CF79EA" w:rsidP="005F61B0">
            <w:pPr>
              <w:spacing w:after="0"/>
            </w:pPr>
            <w:r w:rsidRPr="00CF79EA">
              <w:rPr>
                <w:noProof/>
                <w:sz w:val="16"/>
                <w:szCs w:val="16"/>
              </w:rPr>
              <w:pict>
                <v:shape id="_x0000_s1239" type="#_x0000_t32" style="position:absolute;margin-left:135.35pt;margin-top:1.25pt;width:0;height:15pt;z-index:251658240;mso-position-horizontal-relative:text;mso-position-vertical-relative:text" o:connectortype="straight">
                  <v:stroke endarrow="block"/>
                </v:shape>
              </w:pict>
            </w:r>
          </w:p>
        </w:tc>
      </w:tr>
      <w:tr w:rsidR="00191557" w:rsidRPr="00E33FED" w:rsidTr="009C6D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tblPrEx>
        <w:trPr>
          <w:trHeight w:hRule="exact" w:val="737"/>
        </w:trPr>
        <w:tc>
          <w:tcPr>
            <w:tcW w:w="2245" w:type="dxa"/>
            <w:shd w:val="clear" w:color="auto" w:fill="auto"/>
          </w:tcPr>
          <w:p w:rsidR="00191557" w:rsidRPr="007A2B76" w:rsidRDefault="00191557" w:rsidP="005F61B0">
            <w:pPr>
              <w:tabs>
                <w:tab w:val="left" w:pos="1065"/>
              </w:tabs>
              <w:jc w:val="center"/>
              <w:rPr>
                <w:i/>
                <w:sz w:val="16"/>
                <w:szCs w:val="16"/>
              </w:rPr>
            </w:pPr>
            <w:r w:rsidRPr="007A2B76">
              <w:rPr>
                <w:i/>
                <w:sz w:val="16"/>
                <w:szCs w:val="16"/>
              </w:rPr>
              <w:t>(within 7 days of receiving a notification of dispute fr</w:t>
            </w:r>
            <w:r>
              <w:rPr>
                <w:i/>
                <w:sz w:val="16"/>
                <w:szCs w:val="16"/>
              </w:rPr>
              <w:t>o</w:t>
            </w:r>
            <w:r w:rsidRPr="007A2B76">
              <w:rPr>
                <w:i/>
                <w:sz w:val="16"/>
                <w:szCs w:val="16"/>
              </w:rPr>
              <w:t xml:space="preserve">m the </w:t>
            </w:r>
            <w:proofErr w:type="spellStart"/>
            <w:r w:rsidRPr="007A2B76">
              <w:rPr>
                <w:i/>
                <w:sz w:val="16"/>
                <w:szCs w:val="16"/>
              </w:rPr>
              <w:t>ACCC</w:t>
            </w:r>
            <w:proofErr w:type="spellEnd"/>
            <w:r>
              <w:rPr>
                <w:i/>
                <w:sz w:val="16"/>
                <w:szCs w:val="16"/>
              </w:rPr>
              <w:t>,</w:t>
            </w:r>
            <w:r w:rsidRPr="007A2B76">
              <w:rPr>
                <w:i/>
                <w:sz w:val="16"/>
                <w:szCs w:val="16"/>
              </w:rPr>
              <w:t xml:space="preserve"> Australia Post is required to respond in writing)  </w:t>
            </w:r>
          </w:p>
        </w:tc>
        <w:tc>
          <w:tcPr>
            <w:tcW w:w="285" w:type="dxa"/>
            <w:tcBorders>
              <w:right w:val="single" w:sz="4" w:space="0" w:color="auto"/>
            </w:tcBorders>
          </w:tcPr>
          <w:p w:rsidR="00191557" w:rsidRPr="00E33FED" w:rsidRDefault="00191557" w:rsidP="005F61B0"/>
        </w:tc>
        <w:tc>
          <w:tcPr>
            <w:tcW w:w="5839" w:type="dxa"/>
            <w:gridSpan w:val="2"/>
            <w:tcBorders>
              <w:top w:val="single" w:sz="4" w:space="0" w:color="auto"/>
              <w:left w:val="single" w:sz="4" w:space="0" w:color="auto"/>
              <w:bottom w:val="single" w:sz="4" w:space="0" w:color="auto"/>
              <w:right w:val="single" w:sz="4" w:space="0" w:color="auto"/>
            </w:tcBorders>
          </w:tcPr>
          <w:p w:rsidR="00191557" w:rsidRDefault="00CF79EA" w:rsidP="005F61B0">
            <w:pPr>
              <w:spacing w:after="0"/>
              <w:rPr>
                <w:noProof/>
              </w:rPr>
            </w:pPr>
            <w:r>
              <w:rPr>
                <w:noProof/>
              </w:rPr>
              <w:pict>
                <v:shape id="_x0000_s1241" type="#_x0000_t32" style="position:absolute;margin-left:135.35pt;margin-top:36.55pt;width:0;height:15pt;z-index:251660288;mso-position-horizontal-relative:text;mso-position-vertical-relative:text" o:connectortype="straight">
                  <v:stroke endarrow="block"/>
                </v:shape>
              </w:pict>
            </w:r>
            <w:r w:rsidR="00191557">
              <w:t xml:space="preserve">Australia Post responds to notification of  dispute </w:t>
            </w:r>
          </w:p>
        </w:tc>
      </w:tr>
      <w:tr w:rsidR="00191557" w:rsidRPr="00E33FED" w:rsidTr="009C6D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tblPrEx>
        <w:trPr>
          <w:trHeight w:hRule="exact" w:val="340"/>
        </w:trPr>
        <w:tc>
          <w:tcPr>
            <w:tcW w:w="2245" w:type="dxa"/>
            <w:shd w:val="clear" w:color="auto" w:fill="auto"/>
          </w:tcPr>
          <w:p w:rsidR="00191557" w:rsidRPr="007A2B76" w:rsidRDefault="00191557" w:rsidP="005F61B0">
            <w:pPr>
              <w:tabs>
                <w:tab w:val="left" w:pos="1065"/>
              </w:tabs>
              <w:jc w:val="center"/>
              <w:rPr>
                <w:i/>
                <w:sz w:val="16"/>
                <w:szCs w:val="16"/>
              </w:rPr>
            </w:pPr>
          </w:p>
        </w:tc>
        <w:tc>
          <w:tcPr>
            <w:tcW w:w="285" w:type="dxa"/>
            <w:tcBorders>
              <w:right w:val="single" w:sz="4" w:space="0" w:color="auto"/>
            </w:tcBorders>
          </w:tcPr>
          <w:p w:rsidR="00191557" w:rsidRPr="00E33FED" w:rsidRDefault="00191557" w:rsidP="005F61B0"/>
        </w:tc>
        <w:tc>
          <w:tcPr>
            <w:tcW w:w="5839" w:type="dxa"/>
            <w:gridSpan w:val="2"/>
            <w:tcBorders>
              <w:top w:val="single" w:sz="4" w:space="0" w:color="auto"/>
              <w:left w:val="single" w:sz="4" w:space="0" w:color="auto"/>
              <w:bottom w:val="single" w:sz="4" w:space="0" w:color="auto"/>
              <w:right w:val="single" w:sz="4" w:space="0" w:color="auto"/>
            </w:tcBorders>
          </w:tcPr>
          <w:p w:rsidR="00191557" w:rsidRDefault="00191557" w:rsidP="005F61B0">
            <w:pPr>
              <w:spacing w:after="0"/>
              <w:rPr>
                <w:noProof/>
              </w:rPr>
            </w:pPr>
          </w:p>
        </w:tc>
      </w:tr>
      <w:tr w:rsidR="00191557" w:rsidRPr="00E33FED" w:rsidTr="009C6D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tblPrEx>
        <w:trPr>
          <w:trHeight w:hRule="exact" w:val="1134"/>
        </w:trPr>
        <w:tc>
          <w:tcPr>
            <w:tcW w:w="2245" w:type="dxa"/>
            <w:shd w:val="clear" w:color="auto" w:fill="auto"/>
          </w:tcPr>
          <w:p w:rsidR="00191557" w:rsidRPr="007A2B76" w:rsidRDefault="00191557" w:rsidP="005F61B0">
            <w:pPr>
              <w:tabs>
                <w:tab w:val="left" w:pos="1065"/>
              </w:tabs>
              <w:jc w:val="center"/>
              <w:rPr>
                <w:i/>
                <w:sz w:val="16"/>
                <w:szCs w:val="16"/>
              </w:rPr>
            </w:pPr>
          </w:p>
        </w:tc>
        <w:tc>
          <w:tcPr>
            <w:tcW w:w="285" w:type="dxa"/>
            <w:tcBorders>
              <w:right w:val="single" w:sz="4" w:space="0" w:color="auto"/>
            </w:tcBorders>
          </w:tcPr>
          <w:p w:rsidR="00191557" w:rsidRPr="00E33FED" w:rsidRDefault="00191557" w:rsidP="005F61B0"/>
        </w:tc>
        <w:tc>
          <w:tcPr>
            <w:tcW w:w="5839" w:type="dxa"/>
            <w:gridSpan w:val="2"/>
            <w:tcBorders>
              <w:top w:val="single" w:sz="4" w:space="0" w:color="auto"/>
              <w:left w:val="single" w:sz="4" w:space="0" w:color="auto"/>
              <w:bottom w:val="single" w:sz="4" w:space="0" w:color="auto"/>
              <w:right w:val="single" w:sz="4" w:space="0" w:color="auto"/>
            </w:tcBorders>
          </w:tcPr>
          <w:p w:rsidR="00191557" w:rsidRDefault="00191557" w:rsidP="00C0695E">
            <w:pPr>
              <w:spacing w:after="0"/>
            </w:pPr>
            <w:r>
              <w:rPr>
                <w:noProof/>
              </w:rPr>
              <w:t xml:space="preserve">The </w:t>
            </w:r>
            <w:r w:rsidRPr="00DB50E7">
              <w:rPr>
                <w:noProof/>
              </w:rPr>
              <w:t xml:space="preserve">ACCC </w:t>
            </w:r>
            <w:r>
              <w:rPr>
                <w:noProof/>
              </w:rPr>
              <w:t xml:space="preserve">determines which Commissioners will preside over the inquiry and </w:t>
            </w:r>
            <w:r>
              <w:t xml:space="preserve">establishes a team of </w:t>
            </w:r>
            <w:proofErr w:type="spellStart"/>
            <w:r>
              <w:t>ACCC</w:t>
            </w:r>
            <w:proofErr w:type="spellEnd"/>
            <w:r>
              <w:t xml:space="preserve"> staff who will support the Commissioners presiding over the inquiry.</w:t>
            </w:r>
          </w:p>
        </w:tc>
      </w:tr>
      <w:tr w:rsidR="00191557" w:rsidRPr="00E33FED" w:rsidTr="009C6D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tblPrEx>
        <w:trPr>
          <w:trHeight w:hRule="exact" w:val="397"/>
        </w:trPr>
        <w:tc>
          <w:tcPr>
            <w:tcW w:w="2245" w:type="dxa"/>
            <w:shd w:val="clear" w:color="auto" w:fill="auto"/>
          </w:tcPr>
          <w:p w:rsidR="00191557" w:rsidRPr="007A2B76" w:rsidRDefault="00191557" w:rsidP="005F61B0">
            <w:pPr>
              <w:tabs>
                <w:tab w:val="left" w:pos="1065"/>
              </w:tabs>
              <w:jc w:val="center"/>
              <w:rPr>
                <w:i/>
                <w:sz w:val="16"/>
                <w:szCs w:val="16"/>
              </w:rPr>
            </w:pPr>
          </w:p>
        </w:tc>
        <w:tc>
          <w:tcPr>
            <w:tcW w:w="285" w:type="dxa"/>
            <w:tcBorders>
              <w:right w:val="single" w:sz="4" w:space="0" w:color="auto"/>
            </w:tcBorders>
          </w:tcPr>
          <w:p w:rsidR="00191557" w:rsidRPr="00E33FED" w:rsidRDefault="00191557" w:rsidP="005F61B0"/>
        </w:tc>
        <w:tc>
          <w:tcPr>
            <w:tcW w:w="5839" w:type="dxa"/>
            <w:gridSpan w:val="2"/>
            <w:tcBorders>
              <w:top w:val="single" w:sz="4" w:space="0" w:color="auto"/>
              <w:left w:val="single" w:sz="4" w:space="0" w:color="auto"/>
              <w:bottom w:val="single" w:sz="4" w:space="0" w:color="auto"/>
              <w:right w:val="single" w:sz="4" w:space="0" w:color="auto"/>
            </w:tcBorders>
          </w:tcPr>
          <w:p w:rsidR="00191557" w:rsidRDefault="00CF79EA" w:rsidP="005F61B0">
            <w:pPr>
              <w:spacing w:after="0"/>
            </w:pPr>
            <w:r>
              <w:rPr>
                <w:noProof/>
              </w:rPr>
              <w:pict>
                <v:shape id="_x0000_s1242" type="#_x0000_t32" style="position:absolute;margin-left:135.35pt;margin-top:1.3pt;width:0;height:12.75pt;z-index:251661312;mso-position-horizontal-relative:text;mso-position-vertical-relative:text" o:connectortype="straight">
                  <v:stroke endarrow="block"/>
                </v:shape>
              </w:pict>
            </w:r>
          </w:p>
        </w:tc>
      </w:tr>
      <w:tr w:rsidR="00191557" w:rsidRPr="00E33FED" w:rsidTr="009C6D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tblPrEx>
        <w:trPr>
          <w:trHeight w:val="386"/>
        </w:trPr>
        <w:tc>
          <w:tcPr>
            <w:tcW w:w="2245" w:type="dxa"/>
            <w:tcBorders>
              <w:left w:val="nil"/>
            </w:tcBorders>
            <w:shd w:val="clear" w:color="auto" w:fill="B3B3B3"/>
          </w:tcPr>
          <w:p w:rsidR="00191557" w:rsidRPr="007A2B76" w:rsidRDefault="00191557" w:rsidP="005F61B0">
            <w:pPr>
              <w:jc w:val="center"/>
              <w:rPr>
                <w:i/>
                <w:sz w:val="16"/>
                <w:szCs w:val="16"/>
              </w:rPr>
            </w:pPr>
          </w:p>
        </w:tc>
        <w:tc>
          <w:tcPr>
            <w:tcW w:w="285" w:type="dxa"/>
            <w:shd w:val="clear" w:color="auto" w:fill="B3B3B3"/>
          </w:tcPr>
          <w:p w:rsidR="00191557" w:rsidRPr="00E33FED" w:rsidRDefault="00191557" w:rsidP="005F61B0"/>
        </w:tc>
        <w:tc>
          <w:tcPr>
            <w:tcW w:w="5839" w:type="dxa"/>
            <w:gridSpan w:val="2"/>
            <w:shd w:val="clear" w:color="auto" w:fill="B3B3B3"/>
          </w:tcPr>
          <w:p w:rsidR="00191557" w:rsidRPr="007A2B76" w:rsidRDefault="00191557" w:rsidP="00612EAC">
            <w:pPr>
              <w:spacing w:after="0"/>
              <w:rPr>
                <w:b/>
              </w:rPr>
            </w:pPr>
            <w:r w:rsidRPr="007A2B76">
              <w:rPr>
                <w:b/>
              </w:rPr>
              <w:t>Inquiry Assessment Phase</w:t>
            </w:r>
          </w:p>
        </w:tc>
      </w:tr>
      <w:tr w:rsidR="00191557" w:rsidRPr="00E33FED" w:rsidTr="009C6D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tblPrEx>
        <w:trPr>
          <w:trHeight w:hRule="exact" w:val="1021"/>
        </w:trPr>
        <w:tc>
          <w:tcPr>
            <w:tcW w:w="2245" w:type="dxa"/>
            <w:tcBorders>
              <w:left w:val="nil"/>
              <w:bottom w:val="nil"/>
              <w:right w:val="nil"/>
            </w:tcBorders>
          </w:tcPr>
          <w:p w:rsidR="00191557" w:rsidRPr="007A2B76" w:rsidRDefault="00191557" w:rsidP="005F61B0">
            <w:pPr>
              <w:jc w:val="center"/>
              <w:rPr>
                <w:i/>
                <w:sz w:val="16"/>
                <w:szCs w:val="16"/>
              </w:rPr>
            </w:pPr>
            <w:r w:rsidRPr="007A2B76">
              <w:rPr>
                <w:i/>
                <w:sz w:val="16"/>
                <w:szCs w:val="16"/>
              </w:rPr>
              <w:t xml:space="preserve">(The </w:t>
            </w:r>
            <w:proofErr w:type="spellStart"/>
            <w:r w:rsidRPr="007A2B76">
              <w:rPr>
                <w:i/>
                <w:sz w:val="16"/>
                <w:szCs w:val="16"/>
              </w:rPr>
              <w:t>ACCC</w:t>
            </w:r>
            <w:proofErr w:type="spellEnd"/>
            <w:r w:rsidRPr="007A2B76">
              <w:rPr>
                <w:i/>
                <w:sz w:val="16"/>
                <w:szCs w:val="16"/>
              </w:rPr>
              <w:t xml:space="preserve"> is required to commence an inquiry  within 21 days after receiving a formal dispute  notification)</w:t>
            </w:r>
            <w:r w:rsidRPr="007A2B76" w:rsidDel="00CB7F0D">
              <w:rPr>
                <w:i/>
                <w:sz w:val="16"/>
                <w:szCs w:val="16"/>
              </w:rPr>
              <w:t xml:space="preserve"> </w:t>
            </w:r>
          </w:p>
        </w:tc>
        <w:tc>
          <w:tcPr>
            <w:tcW w:w="285" w:type="dxa"/>
            <w:tcBorders>
              <w:left w:val="nil"/>
              <w:bottom w:val="nil"/>
              <w:right w:val="single" w:sz="4" w:space="0" w:color="auto"/>
            </w:tcBorders>
          </w:tcPr>
          <w:p w:rsidR="00191557" w:rsidRPr="00E33FED" w:rsidRDefault="00191557" w:rsidP="005F61B0"/>
        </w:tc>
        <w:tc>
          <w:tcPr>
            <w:tcW w:w="5839" w:type="dxa"/>
            <w:gridSpan w:val="2"/>
            <w:tcBorders>
              <w:left w:val="single" w:sz="4" w:space="0" w:color="auto"/>
              <w:bottom w:val="single" w:sz="4" w:space="0" w:color="auto"/>
              <w:right w:val="single" w:sz="4" w:space="0" w:color="auto"/>
            </w:tcBorders>
          </w:tcPr>
          <w:p w:rsidR="00191557" w:rsidRDefault="00191557" w:rsidP="00F84718">
            <w:pPr>
              <w:spacing w:after="0"/>
              <w:rPr>
                <w:noProof/>
              </w:rPr>
            </w:pPr>
            <w:r>
              <w:t xml:space="preserve">The </w:t>
            </w:r>
            <w:proofErr w:type="spellStart"/>
            <w:r>
              <w:t>ACCC</w:t>
            </w:r>
            <w:proofErr w:type="spellEnd"/>
            <w:r>
              <w:t xml:space="preserve"> commences an inquiry into the dispute</w:t>
            </w:r>
          </w:p>
        </w:tc>
      </w:tr>
      <w:tr w:rsidR="00191557" w:rsidRPr="00E33FED" w:rsidTr="009C6D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tblPrEx>
        <w:trPr>
          <w:trHeight w:hRule="exact" w:val="397"/>
        </w:trPr>
        <w:tc>
          <w:tcPr>
            <w:tcW w:w="2245" w:type="dxa"/>
            <w:tcBorders>
              <w:left w:val="nil"/>
              <w:bottom w:val="nil"/>
              <w:right w:val="nil"/>
            </w:tcBorders>
          </w:tcPr>
          <w:p w:rsidR="00191557" w:rsidRPr="007A2B76" w:rsidRDefault="00191557" w:rsidP="005F61B0">
            <w:pPr>
              <w:jc w:val="center"/>
              <w:rPr>
                <w:i/>
                <w:sz w:val="16"/>
                <w:szCs w:val="16"/>
              </w:rPr>
            </w:pPr>
          </w:p>
        </w:tc>
        <w:tc>
          <w:tcPr>
            <w:tcW w:w="285" w:type="dxa"/>
            <w:tcBorders>
              <w:left w:val="nil"/>
              <w:bottom w:val="nil"/>
              <w:right w:val="single" w:sz="4" w:space="0" w:color="auto"/>
            </w:tcBorders>
          </w:tcPr>
          <w:p w:rsidR="00191557" w:rsidRPr="00E33FED" w:rsidRDefault="00191557" w:rsidP="005F61B0"/>
        </w:tc>
        <w:tc>
          <w:tcPr>
            <w:tcW w:w="5839" w:type="dxa"/>
            <w:gridSpan w:val="2"/>
            <w:tcBorders>
              <w:left w:val="single" w:sz="4" w:space="0" w:color="auto"/>
              <w:bottom w:val="single" w:sz="4" w:space="0" w:color="auto"/>
              <w:right w:val="single" w:sz="4" w:space="0" w:color="auto"/>
            </w:tcBorders>
          </w:tcPr>
          <w:p w:rsidR="00191557" w:rsidRDefault="00CF79EA" w:rsidP="005F61B0">
            <w:pPr>
              <w:spacing w:after="0"/>
              <w:rPr>
                <w:noProof/>
              </w:rPr>
            </w:pPr>
            <w:r>
              <w:rPr>
                <w:noProof/>
              </w:rPr>
              <w:pict>
                <v:shape id="_x0000_s1243" type="#_x0000_t32" style="position:absolute;margin-left:135.35pt;margin-top:1.95pt;width:0;height:20.25pt;z-index:251662336;mso-position-horizontal-relative:text;mso-position-vertical-relative:text" o:connectortype="straight">
                  <v:stroke endarrow="block"/>
                </v:shape>
              </w:pict>
            </w:r>
          </w:p>
        </w:tc>
      </w:tr>
      <w:tr w:rsidR="00191557" w:rsidRPr="00E33FED" w:rsidTr="009C6D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tblPrEx>
        <w:trPr>
          <w:trHeight w:val="620"/>
        </w:trPr>
        <w:tc>
          <w:tcPr>
            <w:tcW w:w="2245" w:type="dxa"/>
            <w:tcBorders>
              <w:left w:val="nil"/>
              <w:bottom w:val="nil"/>
              <w:right w:val="nil"/>
            </w:tcBorders>
          </w:tcPr>
          <w:p w:rsidR="00191557" w:rsidRPr="007A2B76" w:rsidRDefault="00191557" w:rsidP="005F61B0">
            <w:pPr>
              <w:jc w:val="center"/>
              <w:rPr>
                <w:i/>
                <w:sz w:val="16"/>
                <w:szCs w:val="16"/>
              </w:rPr>
            </w:pPr>
          </w:p>
        </w:tc>
        <w:tc>
          <w:tcPr>
            <w:tcW w:w="285" w:type="dxa"/>
            <w:tcBorders>
              <w:left w:val="nil"/>
              <w:bottom w:val="nil"/>
              <w:right w:val="single" w:sz="4" w:space="0" w:color="auto"/>
            </w:tcBorders>
          </w:tcPr>
          <w:p w:rsidR="00191557" w:rsidRPr="00E33FED" w:rsidRDefault="00191557" w:rsidP="005F61B0"/>
        </w:tc>
        <w:tc>
          <w:tcPr>
            <w:tcW w:w="5839" w:type="dxa"/>
            <w:gridSpan w:val="2"/>
            <w:tcBorders>
              <w:left w:val="single" w:sz="4" w:space="0" w:color="auto"/>
              <w:bottom w:val="single" w:sz="4" w:space="0" w:color="auto"/>
              <w:right w:val="single" w:sz="4" w:space="0" w:color="auto"/>
            </w:tcBorders>
          </w:tcPr>
          <w:p w:rsidR="00191557" w:rsidRDefault="00191557" w:rsidP="005F61B0">
            <w:pPr>
              <w:spacing w:after="0"/>
            </w:pPr>
            <w:r>
              <w:t xml:space="preserve">The </w:t>
            </w:r>
            <w:r>
              <w:rPr>
                <w:noProof/>
              </w:rPr>
              <w:t xml:space="preserve">ACCC </w:t>
            </w:r>
            <w:r>
              <w:t>may hold a case management meeting with Australia Post and the complainant.</w:t>
            </w:r>
          </w:p>
        </w:tc>
      </w:tr>
      <w:tr w:rsidR="00191557" w:rsidRPr="00E33FED" w:rsidTr="009C6D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tblPrEx>
        <w:trPr>
          <w:trHeight w:hRule="exact" w:val="397"/>
        </w:trPr>
        <w:tc>
          <w:tcPr>
            <w:tcW w:w="2245" w:type="dxa"/>
            <w:tcBorders>
              <w:left w:val="nil"/>
              <w:bottom w:val="nil"/>
              <w:right w:val="nil"/>
            </w:tcBorders>
          </w:tcPr>
          <w:p w:rsidR="00191557" w:rsidRPr="007A2B76" w:rsidRDefault="00191557" w:rsidP="005F61B0">
            <w:pPr>
              <w:jc w:val="center"/>
              <w:rPr>
                <w:i/>
                <w:sz w:val="16"/>
                <w:szCs w:val="16"/>
              </w:rPr>
            </w:pPr>
          </w:p>
        </w:tc>
        <w:tc>
          <w:tcPr>
            <w:tcW w:w="285" w:type="dxa"/>
            <w:tcBorders>
              <w:left w:val="nil"/>
              <w:bottom w:val="nil"/>
              <w:right w:val="single" w:sz="4" w:space="0" w:color="auto"/>
            </w:tcBorders>
          </w:tcPr>
          <w:p w:rsidR="00191557" w:rsidRPr="00E33FED" w:rsidRDefault="00191557" w:rsidP="005F61B0"/>
        </w:tc>
        <w:tc>
          <w:tcPr>
            <w:tcW w:w="5839" w:type="dxa"/>
            <w:gridSpan w:val="2"/>
            <w:tcBorders>
              <w:left w:val="single" w:sz="4" w:space="0" w:color="auto"/>
              <w:bottom w:val="single" w:sz="4" w:space="0" w:color="auto"/>
              <w:right w:val="single" w:sz="4" w:space="0" w:color="auto"/>
            </w:tcBorders>
          </w:tcPr>
          <w:p w:rsidR="00191557" w:rsidRDefault="00CF79EA" w:rsidP="005F61B0">
            <w:pPr>
              <w:spacing w:after="0"/>
            </w:pPr>
            <w:r>
              <w:rPr>
                <w:noProof/>
              </w:rPr>
              <w:pict>
                <v:shape id="_x0000_s1244" type="#_x0000_t32" style="position:absolute;margin-left:134.75pt;margin-top:1.05pt;width:0;height:18.2pt;z-index:251663360;mso-position-horizontal-relative:text;mso-position-vertical-relative:text" o:connectortype="straight">
                  <v:stroke endarrow="block"/>
                </v:shape>
              </w:pict>
            </w:r>
          </w:p>
        </w:tc>
      </w:tr>
      <w:tr w:rsidR="00191557" w:rsidRPr="00E33FED" w:rsidTr="00D330E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tblPrEx>
        <w:trPr>
          <w:trHeight w:hRule="exact" w:val="1587"/>
        </w:trPr>
        <w:tc>
          <w:tcPr>
            <w:tcW w:w="2245" w:type="dxa"/>
            <w:tcBorders>
              <w:top w:val="nil"/>
              <w:left w:val="nil"/>
              <w:bottom w:val="nil"/>
              <w:right w:val="nil"/>
            </w:tcBorders>
          </w:tcPr>
          <w:p w:rsidR="00191557" w:rsidRPr="007A2B76" w:rsidRDefault="00191557" w:rsidP="005F61B0">
            <w:pPr>
              <w:jc w:val="center"/>
              <w:rPr>
                <w:i/>
                <w:sz w:val="16"/>
                <w:szCs w:val="16"/>
              </w:rPr>
            </w:pPr>
            <w:r w:rsidRPr="007A2B76">
              <w:rPr>
                <w:i/>
                <w:sz w:val="16"/>
                <w:szCs w:val="16"/>
              </w:rPr>
              <w:t xml:space="preserve">(The </w:t>
            </w:r>
            <w:proofErr w:type="spellStart"/>
            <w:r w:rsidRPr="007A2B76">
              <w:rPr>
                <w:i/>
                <w:sz w:val="16"/>
                <w:szCs w:val="16"/>
              </w:rPr>
              <w:t>ACCC</w:t>
            </w:r>
            <w:proofErr w:type="spellEnd"/>
            <w:r w:rsidRPr="007A2B76">
              <w:rPr>
                <w:i/>
                <w:sz w:val="16"/>
                <w:szCs w:val="16"/>
              </w:rPr>
              <w:t xml:space="preserve"> would aim to publish any issues paper as close to the commencement of the inquiry as possible. Timing will depend on whether all supporting documentation has been provided by the complainant)</w:t>
            </w:r>
          </w:p>
        </w:tc>
        <w:tc>
          <w:tcPr>
            <w:tcW w:w="285" w:type="dxa"/>
            <w:tcBorders>
              <w:top w:val="nil"/>
              <w:left w:val="nil"/>
              <w:bottom w:val="nil"/>
              <w:right w:val="single" w:sz="4" w:space="0" w:color="auto"/>
            </w:tcBorders>
          </w:tcPr>
          <w:p w:rsidR="00191557" w:rsidRPr="00E33FED" w:rsidRDefault="00191557" w:rsidP="005F61B0"/>
        </w:tc>
        <w:tc>
          <w:tcPr>
            <w:tcW w:w="5839" w:type="dxa"/>
            <w:gridSpan w:val="2"/>
            <w:tcBorders>
              <w:top w:val="single" w:sz="4" w:space="0" w:color="auto"/>
              <w:left w:val="single" w:sz="4" w:space="0" w:color="auto"/>
              <w:bottom w:val="single" w:sz="4" w:space="0" w:color="auto"/>
              <w:right w:val="single" w:sz="4" w:space="0" w:color="auto"/>
            </w:tcBorders>
          </w:tcPr>
          <w:p w:rsidR="00191557" w:rsidRPr="00E33FED" w:rsidRDefault="00191557" w:rsidP="00F84718">
            <w:pPr>
              <w:spacing w:after="0"/>
            </w:pPr>
            <w:r>
              <w:t xml:space="preserve">The </w:t>
            </w:r>
            <w:proofErr w:type="spellStart"/>
            <w:r>
              <w:t>ACCC</w:t>
            </w:r>
            <w:proofErr w:type="spellEnd"/>
            <w:r>
              <w:t xml:space="preserve"> may publish an issues paper which outlines the issues that are likely to be relevant in its consideration, and seek submissions from interested parties. </w:t>
            </w:r>
          </w:p>
        </w:tc>
      </w:tr>
      <w:tr w:rsidR="00191557" w:rsidRPr="00E33FED" w:rsidTr="009C6D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tblPrEx>
        <w:trPr>
          <w:trHeight w:hRule="exact" w:val="397"/>
        </w:trPr>
        <w:tc>
          <w:tcPr>
            <w:tcW w:w="2245" w:type="dxa"/>
            <w:tcBorders>
              <w:top w:val="nil"/>
              <w:left w:val="nil"/>
              <w:bottom w:val="nil"/>
              <w:right w:val="nil"/>
            </w:tcBorders>
          </w:tcPr>
          <w:p w:rsidR="00191557" w:rsidRPr="007A2B76" w:rsidRDefault="00191557" w:rsidP="005F61B0">
            <w:pPr>
              <w:jc w:val="center"/>
              <w:rPr>
                <w:i/>
                <w:sz w:val="16"/>
                <w:szCs w:val="16"/>
              </w:rPr>
            </w:pPr>
          </w:p>
        </w:tc>
        <w:tc>
          <w:tcPr>
            <w:tcW w:w="285" w:type="dxa"/>
            <w:tcBorders>
              <w:top w:val="nil"/>
              <w:left w:val="nil"/>
              <w:bottom w:val="nil"/>
              <w:right w:val="single" w:sz="4" w:space="0" w:color="auto"/>
            </w:tcBorders>
          </w:tcPr>
          <w:p w:rsidR="00191557" w:rsidRPr="00E33FED" w:rsidRDefault="00191557" w:rsidP="005F61B0"/>
        </w:tc>
        <w:tc>
          <w:tcPr>
            <w:tcW w:w="5839" w:type="dxa"/>
            <w:gridSpan w:val="2"/>
            <w:tcBorders>
              <w:top w:val="single" w:sz="4" w:space="0" w:color="auto"/>
              <w:left w:val="single" w:sz="4" w:space="0" w:color="auto"/>
              <w:bottom w:val="single" w:sz="4" w:space="0" w:color="auto"/>
              <w:right w:val="single" w:sz="4" w:space="0" w:color="auto"/>
            </w:tcBorders>
          </w:tcPr>
          <w:p w:rsidR="00191557" w:rsidRDefault="00CF79EA" w:rsidP="005F61B0">
            <w:pPr>
              <w:spacing w:after="0"/>
            </w:pPr>
            <w:r>
              <w:rPr>
                <w:noProof/>
              </w:rPr>
              <w:pict>
                <v:shape id="_x0000_s1245" type="#_x0000_t32" style="position:absolute;margin-left:134.75pt;margin-top:2.95pt;width:0;height:18.85pt;z-index:251664384;mso-position-horizontal-relative:text;mso-position-vertical-relative:text" o:connectortype="straight">
                  <v:stroke endarrow="block"/>
                </v:shape>
              </w:pict>
            </w:r>
          </w:p>
        </w:tc>
      </w:tr>
      <w:tr w:rsidR="00191557" w:rsidRPr="00E33FED" w:rsidTr="009C6D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tblPrEx>
        <w:trPr>
          <w:trHeight w:hRule="exact" w:val="652"/>
        </w:trPr>
        <w:tc>
          <w:tcPr>
            <w:tcW w:w="2245" w:type="dxa"/>
            <w:tcBorders>
              <w:top w:val="nil"/>
              <w:left w:val="nil"/>
              <w:bottom w:val="nil"/>
              <w:right w:val="nil"/>
            </w:tcBorders>
          </w:tcPr>
          <w:p w:rsidR="00191557" w:rsidRPr="007A2B76" w:rsidRDefault="00191557" w:rsidP="005F61B0">
            <w:pPr>
              <w:jc w:val="center"/>
              <w:rPr>
                <w:i/>
                <w:sz w:val="16"/>
                <w:szCs w:val="16"/>
              </w:rPr>
            </w:pPr>
            <w:r w:rsidRPr="007A2B76">
              <w:rPr>
                <w:i/>
                <w:sz w:val="16"/>
                <w:szCs w:val="16"/>
              </w:rPr>
              <w:t xml:space="preserve">(The </w:t>
            </w:r>
            <w:proofErr w:type="spellStart"/>
            <w:r w:rsidRPr="007A2B76">
              <w:rPr>
                <w:i/>
                <w:sz w:val="16"/>
                <w:szCs w:val="16"/>
              </w:rPr>
              <w:t>ACCC</w:t>
            </w:r>
            <w:proofErr w:type="spellEnd"/>
            <w:r w:rsidRPr="007A2B76">
              <w:rPr>
                <w:i/>
                <w:sz w:val="16"/>
                <w:szCs w:val="16"/>
              </w:rPr>
              <w:t xml:space="preserve"> will usually allow interested parties between 2– 4 weeks to make a submission)</w:t>
            </w:r>
          </w:p>
        </w:tc>
        <w:tc>
          <w:tcPr>
            <w:tcW w:w="285" w:type="dxa"/>
            <w:tcBorders>
              <w:top w:val="nil"/>
              <w:left w:val="nil"/>
              <w:bottom w:val="nil"/>
              <w:right w:val="single" w:sz="4" w:space="0" w:color="auto"/>
            </w:tcBorders>
          </w:tcPr>
          <w:p w:rsidR="00191557" w:rsidRPr="00E33FED" w:rsidRDefault="00191557" w:rsidP="005F61B0"/>
        </w:tc>
        <w:tc>
          <w:tcPr>
            <w:tcW w:w="5839" w:type="dxa"/>
            <w:gridSpan w:val="2"/>
            <w:tcBorders>
              <w:top w:val="single" w:sz="4" w:space="0" w:color="auto"/>
              <w:left w:val="single" w:sz="4" w:space="0" w:color="auto"/>
              <w:bottom w:val="single" w:sz="4" w:space="0" w:color="auto"/>
              <w:right w:val="single" w:sz="4" w:space="0" w:color="auto"/>
            </w:tcBorders>
          </w:tcPr>
          <w:p w:rsidR="00191557" w:rsidRDefault="00191557" w:rsidP="00612EAC">
            <w:pPr>
              <w:spacing w:after="0"/>
              <w:rPr>
                <w:noProof/>
              </w:rPr>
            </w:pPr>
            <w:r>
              <w:t xml:space="preserve">The </w:t>
            </w:r>
            <w:proofErr w:type="spellStart"/>
            <w:r>
              <w:t>ACCC</w:t>
            </w:r>
            <w:proofErr w:type="spellEnd"/>
            <w:r>
              <w:t xml:space="preserve"> receives submissions from interested parties.  </w:t>
            </w:r>
          </w:p>
        </w:tc>
      </w:tr>
      <w:tr w:rsidR="00191557" w:rsidRPr="00E33FED" w:rsidTr="009C6D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tblPrEx>
        <w:trPr>
          <w:trHeight w:hRule="exact" w:val="397"/>
        </w:trPr>
        <w:tc>
          <w:tcPr>
            <w:tcW w:w="2245" w:type="dxa"/>
            <w:tcBorders>
              <w:top w:val="nil"/>
              <w:left w:val="nil"/>
              <w:bottom w:val="nil"/>
              <w:right w:val="nil"/>
            </w:tcBorders>
          </w:tcPr>
          <w:p w:rsidR="00191557" w:rsidRPr="007A2B76" w:rsidRDefault="00191557" w:rsidP="005F61B0">
            <w:pPr>
              <w:jc w:val="center"/>
              <w:rPr>
                <w:i/>
                <w:sz w:val="16"/>
                <w:szCs w:val="16"/>
              </w:rPr>
            </w:pPr>
          </w:p>
        </w:tc>
        <w:tc>
          <w:tcPr>
            <w:tcW w:w="285" w:type="dxa"/>
            <w:tcBorders>
              <w:top w:val="nil"/>
              <w:left w:val="nil"/>
              <w:bottom w:val="nil"/>
              <w:right w:val="single" w:sz="4" w:space="0" w:color="auto"/>
            </w:tcBorders>
          </w:tcPr>
          <w:p w:rsidR="00191557" w:rsidRPr="00E33FED" w:rsidRDefault="00191557" w:rsidP="005F61B0"/>
        </w:tc>
        <w:tc>
          <w:tcPr>
            <w:tcW w:w="5839" w:type="dxa"/>
            <w:gridSpan w:val="2"/>
            <w:tcBorders>
              <w:top w:val="single" w:sz="4" w:space="0" w:color="auto"/>
              <w:left w:val="single" w:sz="4" w:space="0" w:color="auto"/>
              <w:bottom w:val="single" w:sz="4" w:space="0" w:color="auto"/>
              <w:right w:val="single" w:sz="4" w:space="0" w:color="auto"/>
            </w:tcBorders>
          </w:tcPr>
          <w:p w:rsidR="00191557" w:rsidRDefault="00CF79EA" w:rsidP="005F61B0">
            <w:pPr>
              <w:spacing w:after="0"/>
              <w:rPr>
                <w:noProof/>
              </w:rPr>
            </w:pPr>
            <w:r>
              <w:rPr>
                <w:noProof/>
              </w:rPr>
              <w:pict>
                <v:shape id="_x0000_s1246" type="#_x0000_t32" style="position:absolute;margin-left:134.75pt;margin-top:0;width:0;height:16.45pt;z-index:251665408;mso-position-horizontal-relative:text;mso-position-vertical-relative:text" o:connectortype="straight">
                  <v:stroke endarrow="block"/>
                </v:shape>
              </w:pict>
            </w:r>
          </w:p>
        </w:tc>
      </w:tr>
      <w:tr w:rsidR="00191557" w:rsidRPr="00E33FED" w:rsidTr="009C6D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tblPrEx>
        <w:trPr>
          <w:trHeight w:hRule="exact" w:val="867"/>
        </w:trPr>
        <w:tc>
          <w:tcPr>
            <w:tcW w:w="2245" w:type="dxa"/>
            <w:tcBorders>
              <w:top w:val="nil"/>
              <w:left w:val="nil"/>
              <w:bottom w:val="nil"/>
              <w:right w:val="nil"/>
            </w:tcBorders>
          </w:tcPr>
          <w:p w:rsidR="00191557" w:rsidRPr="007A2B76" w:rsidRDefault="00191557" w:rsidP="005F61B0">
            <w:pPr>
              <w:jc w:val="center"/>
              <w:rPr>
                <w:i/>
                <w:sz w:val="16"/>
                <w:szCs w:val="16"/>
              </w:rPr>
            </w:pPr>
          </w:p>
        </w:tc>
        <w:tc>
          <w:tcPr>
            <w:tcW w:w="285" w:type="dxa"/>
            <w:tcBorders>
              <w:top w:val="nil"/>
              <w:left w:val="nil"/>
              <w:bottom w:val="nil"/>
              <w:right w:val="single" w:sz="4" w:space="0" w:color="auto"/>
            </w:tcBorders>
          </w:tcPr>
          <w:p w:rsidR="00191557" w:rsidRPr="00E33FED" w:rsidRDefault="00191557" w:rsidP="005F61B0"/>
        </w:tc>
        <w:tc>
          <w:tcPr>
            <w:tcW w:w="5839" w:type="dxa"/>
            <w:gridSpan w:val="2"/>
            <w:tcBorders>
              <w:top w:val="single" w:sz="4" w:space="0" w:color="auto"/>
              <w:left w:val="single" w:sz="4" w:space="0" w:color="auto"/>
              <w:bottom w:val="single" w:sz="4" w:space="0" w:color="auto"/>
              <w:right w:val="single" w:sz="4" w:space="0" w:color="auto"/>
            </w:tcBorders>
          </w:tcPr>
          <w:p w:rsidR="00191557" w:rsidRDefault="00191557" w:rsidP="007D12B4">
            <w:pPr>
              <w:spacing w:after="0"/>
              <w:rPr>
                <w:noProof/>
              </w:rPr>
            </w:pPr>
            <w:r>
              <w:rPr>
                <w:noProof/>
              </w:rPr>
              <w:t>The ACCC may issue information requests to parties to obtain additional information to assist its assessment of the notified dispute (r. 19(1)).</w:t>
            </w:r>
          </w:p>
        </w:tc>
      </w:tr>
      <w:tr w:rsidR="00191557" w:rsidRPr="00E33FED" w:rsidTr="0066082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1E0"/>
        </w:tblPrEx>
        <w:trPr>
          <w:trHeight w:hRule="exact" w:val="397"/>
        </w:trPr>
        <w:tc>
          <w:tcPr>
            <w:tcW w:w="2245" w:type="dxa"/>
            <w:tcBorders>
              <w:top w:val="nil"/>
              <w:left w:val="nil"/>
              <w:bottom w:val="nil"/>
              <w:right w:val="nil"/>
            </w:tcBorders>
          </w:tcPr>
          <w:p w:rsidR="00191557" w:rsidRPr="007A2B76" w:rsidRDefault="00191557" w:rsidP="005F61B0">
            <w:pPr>
              <w:jc w:val="center"/>
              <w:rPr>
                <w:i/>
                <w:sz w:val="16"/>
                <w:szCs w:val="16"/>
              </w:rPr>
            </w:pPr>
          </w:p>
        </w:tc>
        <w:tc>
          <w:tcPr>
            <w:tcW w:w="285" w:type="dxa"/>
            <w:tcBorders>
              <w:top w:val="nil"/>
              <w:left w:val="nil"/>
              <w:bottom w:val="nil"/>
              <w:right w:val="single" w:sz="4" w:space="0" w:color="auto"/>
            </w:tcBorders>
          </w:tcPr>
          <w:p w:rsidR="00191557" w:rsidRPr="00E33FED" w:rsidRDefault="00191557" w:rsidP="005F61B0"/>
        </w:tc>
        <w:tc>
          <w:tcPr>
            <w:tcW w:w="5839" w:type="dxa"/>
            <w:gridSpan w:val="2"/>
            <w:tcBorders>
              <w:top w:val="single" w:sz="4" w:space="0" w:color="auto"/>
              <w:left w:val="single" w:sz="4" w:space="0" w:color="auto"/>
              <w:bottom w:val="single" w:sz="4" w:space="0" w:color="auto"/>
              <w:right w:val="single" w:sz="4" w:space="0" w:color="auto"/>
            </w:tcBorders>
          </w:tcPr>
          <w:p w:rsidR="00191557" w:rsidDel="000B2658" w:rsidRDefault="00CF79EA" w:rsidP="005F61B0">
            <w:pPr>
              <w:spacing w:after="0"/>
              <w:rPr>
                <w:noProof/>
              </w:rPr>
            </w:pPr>
            <w:r>
              <w:rPr>
                <w:noProof/>
              </w:rPr>
              <w:pict>
                <v:shape id="_x0000_s1249" type="#_x0000_t32" style="position:absolute;margin-left:134.75pt;margin-top:1.6pt;width:0;height:20.65pt;z-index:251667456;mso-position-horizontal-relative:text;mso-position-vertical-relative:text" o:connectortype="straight">
                  <v:stroke endarrow="block"/>
                </v:shape>
              </w:pict>
            </w:r>
          </w:p>
        </w:tc>
      </w:tr>
    </w:tbl>
    <w:p w:rsidR="005F61B0" w:rsidRDefault="005F61B0" w:rsidP="005F61B0">
      <w:pPr>
        <w:spacing w:after="0"/>
      </w:pPr>
    </w:p>
    <w:tbl>
      <w:tblPr>
        <w:tblW w:w="9724" w:type="dxa"/>
        <w:tblInd w:w="-252" w:type="dxa"/>
        <w:tblLayout w:type="fixed"/>
        <w:tblLook w:val="01E0"/>
      </w:tblPr>
      <w:tblGrid>
        <w:gridCol w:w="2989"/>
        <w:gridCol w:w="319"/>
        <w:gridCol w:w="6416"/>
      </w:tblGrid>
      <w:tr w:rsidR="005F61B0" w:rsidRPr="007A2B76" w:rsidTr="005F61B0">
        <w:trPr>
          <w:trHeight w:val="386"/>
        </w:trPr>
        <w:tc>
          <w:tcPr>
            <w:tcW w:w="2721" w:type="dxa"/>
            <w:tcBorders>
              <w:left w:val="nil"/>
            </w:tcBorders>
            <w:shd w:val="clear" w:color="auto" w:fill="B3B3B3"/>
          </w:tcPr>
          <w:p w:rsidR="005F61B0" w:rsidRPr="007A2B76" w:rsidRDefault="005F61B0" w:rsidP="005F61B0">
            <w:pPr>
              <w:jc w:val="center"/>
              <w:rPr>
                <w:i/>
                <w:sz w:val="16"/>
                <w:szCs w:val="16"/>
              </w:rPr>
            </w:pPr>
          </w:p>
        </w:tc>
        <w:tc>
          <w:tcPr>
            <w:tcW w:w="290" w:type="dxa"/>
            <w:shd w:val="clear" w:color="auto" w:fill="B3B3B3"/>
          </w:tcPr>
          <w:p w:rsidR="005F61B0" w:rsidRPr="00E33FED" w:rsidRDefault="005F61B0" w:rsidP="005F61B0"/>
        </w:tc>
        <w:tc>
          <w:tcPr>
            <w:tcW w:w="5839" w:type="dxa"/>
            <w:shd w:val="clear" w:color="auto" w:fill="B3B3B3"/>
          </w:tcPr>
          <w:p w:rsidR="005F61B0" w:rsidRPr="007A2B76" w:rsidRDefault="00CF79EA" w:rsidP="005F61B0">
            <w:pPr>
              <w:spacing w:after="0"/>
              <w:rPr>
                <w:b/>
              </w:rPr>
            </w:pPr>
            <w:r>
              <w:rPr>
                <w:b/>
                <w:noProof/>
              </w:rPr>
              <w:pict>
                <v:shape id="_x0000_s1188" type="#_x0000_t32" style="position:absolute;margin-left:108.45pt;margin-top:26pt;width:0;height:14.1pt;z-index:251651072;mso-position-horizontal-relative:text;mso-position-vertical-relative:text" o:connectortype="straight">
                  <v:stroke endarrow="block"/>
                </v:shape>
              </w:pict>
            </w:r>
            <w:proofErr w:type="spellStart"/>
            <w:r w:rsidR="005F61B0">
              <w:rPr>
                <w:b/>
              </w:rPr>
              <w:t>ACCC</w:t>
            </w:r>
            <w:proofErr w:type="spellEnd"/>
            <w:r w:rsidR="005F61B0">
              <w:rPr>
                <w:b/>
              </w:rPr>
              <w:t xml:space="preserve"> </w:t>
            </w:r>
            <w:r w:rsidR="009C5407">
              <w:rPr>
                <w:b/>
              </w:rPr>
              <w:t>R</w:t>
            </w:r>
            <w:r w:rsidR="005F61B0">
              <w:rPr>
                <w:b/>
              </w:rPr>
              <w:t>ecommendation</w:t>
            </w:r>
            <w:r w:rsidR="009C5407">
              <w:rPr>
                <w:b/>
              </w:rPr>
              <w:t xml:space="preserve"> Phase</w:t>
            </w:r>
          </w:p>
        </w:tc>
      </w:tr>
    </w:tbl>
    <w:p w:rsidR="005F61B0" w:rsidRDefault="005F61B0" w:rsidP="005F61B0">
      <w:pPr>
        <w:spacing w:after="0"/>
      </w:pPr>
    </w:p>
    <w:tbl>
      <w:tblPr>
        <w:tblW w:w="10610" w:type="dxa"/>
        <w:tblInd w:w="-252" w:type="dxa"/>
        <w:tblLook w:val="01E0"/>
      </w:tblPr>
      <w:tblGrid>
        <w:gridCol w:w="2438"/>
        <w:gridCol w:w="295"/>
        <w:gridCol w:w="5839"/>
        <w:gridCol w:w="599"/>
        <w:gridCol w:w="1439"/>
      </w:tblGrid>
      <w:tr w:rsidR="005F61B0" w:rsidRPr="00E33FED" w:rsidTr="009C6D75">
        <w:trPr>
          <w:trHeight w:val="563"/>
        </w:trPr>
        <w:tc>
          <w:tcPr>
            <w:tcW w:w="2438" w:type="dxa"/>
            <w:tcBorders>
              <w:top w:val="nil"/>
              <w:left w:val="nil"/>
              <w:bottom w:val="nil"/>
              <w:right w:val="nil"/>
            </w:tcBorders>
          </w:tcPr>
          <w:p w:rsidR="005F61B0" w:rsidRPr="007A2B76" w:rsidRDefault="005F61B0" w:rsidP="004C011C">
            <w:pPr>
              <w:jc w:val="center"/>
              <w:rPr>
                <w:i/>
                <w:sz w:val="16"/>
                <w:szCs w:val="16"/>
              </w:rPr>
            </w:pPr>
            <w:r w:rsidRPr="007A2B76">
              <w:rPr>
                <w:i/>
                <w:sz w:val="16"/>
                <w:szCs w:val="16"/>
              </w:rPr>
              <w:t xml:space="preserve">(The </w:t>
            </w:r>
            <w:proofErr w:type="spellStart"/>
            <w:r w:rsidRPr="007A2B76">
              <w:rPr>
                <w:i/>
                <w:sz w:val="16"/>
                <w:szCs w:val="16"/>
              </w:rPr>
              <w:t>ACCC</w:t>
            </w:r>
            <w:proofErr w:type="spellEnd"/>
            <w:r w:rsidRPr="007A2B76">
              <w:rPr>
                <w:i/>
                <w:sz w:val="16"/>
                <w:szCs w:val="16"/>
              </w:rPr>
              <w:t xml:space="preserve"> is  required, subject to potential extensions of this time period, to </w:t>
            </w:r>
            <w:r w:rsidR="004C011C">
              <w:rPr>
                <w:i/>
                <w:sz w:val="16"/>
                <w:szCs w:val="16"/>
              </w:rPr>
              <w:t>report to</w:t>
            </w:r>
            <w:r w:rsidR="004C011C" w:rsidRPr="007A2B76">
              <w:rPr>
                <w:i/>
                <w:sz w:val="16"/>
                <w:szCs w:val="16"/>
              </w:rPr>
              <w:t xml:space="preserve"> </w:t>
            </w:r>
            <w:r w:rsidRPr="007A2B76">
              <w:rPr>
                <w:i/>
                <w:sz w:val="16"/>
                <w:szCs w:val="16"/>
              </w:rPr>
              <w:t xml:space="preserve">the Minister its </w:t>
            </w:r>
            <w:r w:rsidR="004C011C">
              <w:rPr>
                <w:i/>
                <w:sz w:val="16"/>
                <w:szCs w:val="16"/>
              </w:rPr>
              <w:t xml:space="preserve">recommendations in relation  to an inquiry </w:t>
            </w:r>
            <w:r w:rsidRPr="007A2B76">
              <w:rPr>
                <w:i/>
                <w:sz w:val="16"/>
                <w:szCs w:val="16"/>
              </w:rPr>
              <w:t xml:space="preserve"> within 60</w:t>
            </w:r>
            <w:r>
              <w:rPr>
                <w:i/>
                <w:sz w:val="16"/>
                <w:szCs w:val="16"/>
              </w:rPr>
              <w:t xml:space="preserve"> days </w:t>
            </w:r>
            <w:r w:rsidRPr="007A2B76">
              <w:rPr>
                <w:i/>
                <w:sz w:val="16"/>
                <w:szCs w:val="16"/>
              </w:rPr>
              <w:t xml:space="preserve"> </w:t>
            </w:r>
            <w:r>
              <w:rPr>
                <w:i/>
                <w:sz w:val="16"/>
                <w:szCs w:val="16"/>
              </w:rPr>
              <w:t>of the commencement of the inquiry</w:t>
            </w:r>
            <w:r w:rsidRPr="007A2B76">
              <w:rPr>
                <w:i/>
                <w:sz w:val="16"/>
                <w:szCs w:val="16"/>
              </w:rPr>
              <w:t>)</w:t>
            </w:r>
          </w:p>
        </w:tc>
        <w:tc>
          <w:tcPr>
            <w:tcW w:w="295" w:type="dxa"/>
            <w:tcBorders>
              <w:top w:val="nil"/>
              <w:left w:val="nil"/>
              <w:bottom w:val="nil"/>
              <w:right w:val="single" w:sz="4" w:space="0" w:color="auto"/>
            </w:tcBorders>
          </w:tcPr>
          <w:p w:rsidR="005F61B0" w:rsidRPr="00E33FED" w:rsidRDefault="005F61B0" w:rsidP="005F61B0"/>
        </w:tc>
        <w:tc>
          <w:tcPr>
            <w:tcW w:w="5839" w:type="dxa"/>
            <w:tcBorders>
              <w:top w:val="single" w:sz="4" w:space="0" w:color="auto"/>
              <w:left w:val="single" w:sz="4" w:space="0" w:color="auto"/>
              <w:bottom w:val="single" w:sz="4" w:space="0" w:color="auto"/>
              <w:right w:val="single" w:sz="4" w:space="0" w:color="auto"/>
            </w:tcBorders>
          </w:tcPr>
          <w:p w:rsidR="005F61B0" w:rsidRPr="007A2B76" w:rsidRDefault="005F61B0" w:rsidP="005F61B0">
            <w:pPr>
              <w:spacing w:after="0"/>
              <w:rPr>
                <w:szCs w:val="24"/>
              </w:rPr>
            </w:pPr>
            <w:r>
              <w:t xml:space="preserve">The </w:t>
            </w:r>
            <w:proofErr w:type="spellStart"/>
            <w:r w:rsidRPr="00C7289E">
              <w:t>ACCC</w:t>
            </w:r>
            <w:proofErr w:type="spellEnd"/>
            <w:r w:rsidRPr="007A2B76">
              <w:rPr>
                <w:szCs w:val="24"/>
              </w:rPr>
              <w:t xml:space="preserve"> </w:t>
            </w:r>
            <w:r w:rsidR="00812D5E">
              <w:rPr>
                <w:szCs w:val="24"/>
              </w:rPr>
              <w:t xml:space="preserve">provides a </w:t>
            </w:r>
            <w:r w:rsidR="00AE3811">
              <w:rPr>
                <w:szCs w:val="24"/>
              </w:rPr>
              <w:t xml:space="preserve">report </w:t>
            </w:r>
            <w:r w:rsidR="00812D5E">
              <w:rPr>
                <w:szCs w:val="24"/>
              </w:rPr>
              <w:t>to</w:t>
            </w:r>
            <w:r w:rsidRPr="007A2B76">
              <w:rPr>
                <w:szCs w:val="24"/>
              </w:rPr>
              <w:t xml:space="preserve"> the Minister with recommendations on its inquiries into the </w:t>
            </w:r>
            <w:r w:rsidR="009E748C">
              <w:rPr>
                <w:szCs w:val="24"/>
              </w:rPr>
              <w:t>bulk interconnection service</w:t>
            </w:r>
            <w:r w:rsidRPr="007A2B76">
              <w:rPr>
                <w:szCs w:val="24"/>
              </w:rPr>
              <w:t xml:space="preserve"> dispute.</w:t>
            </w:r>
          </w:p>
          <w:p w:rsidR="005F61B0" w:rsidRPr="00DB50E7" w:rsidRDefault="005F61B0" w:rsidP="005F61B0">
            <w:pPr>
              <w:spacing w:after="0"/>
              <w:rPr>
                <w:noProof/>
              </w:rPr>
            </w:pPr>
          </w:p>
        </w:tc>
        <w:tc>
          <w:tcPr>
            <w:tcW w:w="599" w:type="dxa"/>
            <w:tcBorders>
              <w:top w:val="nil"/>
              <w:left w:val="single" w:sz="4" w:space="0" w:color="auto"/>
              <w:bottom w:val="nil"/>
              <w:right w:val="nil"/>
            </w:tcBorders>
          </w:tcPr>
          <w:p w:rsidR="005F61B0" w:rsidRPr="00E33FED" w:rsidRDefault="005F61B0" w:rsidP="005F61B0"/>
        </w:tc>
        <w:tc>
          <w:tcPr>
            <w:tcW w:w="1439" w:type="dxa"/>
            <w:tcBorders>
              <w:top w:val="nil"/>
              <w:left w:val="nil"/>
              <w:bottom w:val="nil"/>
              <w:right w:val="nil"/>
            </w:tcBorders>
          </w:tcPr>
          <w:p w:rsidR="005F61B0" w:rsidRPr="00E33FED" w:rsidRDefault="005F61B0" w:rsidP="005F61B0">
            <w:pPr>
              <w:spacing w:after="120"/>
            </w:pPr>
          </w:p>
        </w:tc>
      </w:tr>
    </w:tbl>
    <w:p w:rsidR="005F61B0" w:rsidRDefault="00CF79EA" w:rsidP="005F61B0">
      <w:pPr>
        <w:spacing w:after="0"/>
        <w:rPr>
          <w:b/>
          <w:i/>
          <w:color w:val="000000"/>
          <w:szCs w:val="24"/>
        </w:rPr>
      </w:pPr>
      <w:r>
        <w:rPr>
          <w:b/>
          <w:i/>
          <w:noProof/>
          <w:color w:val="000000"/>
          <w:szCs w:val="24"/>
        </w:rPr>
        <w:pict>
          <v:shape id="_x0000_s1189" type="#_x0000_t32" style="position:absolute;margin-left:261.25pt;margin-top:1.65pt;width:0;height:12.35pt;z-index:251652096;mso-position-horizontal-relative:text;mso-position-vertical-relative:text" o:connectortype="straight">
            <v:stroke endarrow="block"/>
          </v:shape>
        </w:pict>
      </w:r>
    </w:p>
    <w:tbl>
      <w:tblPr>
        <w:tblW w:w="9724" w:type="dxa"/>
        <w:tblInd w:w="-252" w:type="dxa"/>
        <w:tblLayout w:type="fixed"/>
        <w:tblLook w:val="01E0"/>
      </w:tblPr>
      <w:tblGrid>
        <w:gridCol w:w="2989"/>
        <w:gridCol w:w="319"/>
        <w:gridCol w:w="6416"/>
      </w:tblGrid>
      <w:tr w:rsidR="005F61B0" w:rsidRPr="007A2B76" w:rsidTr="005F61B0">
        <w:trPr>
          <w:trHeight w:val="386"/>
        </w:trPr>
        <w:tc>
          <w:tcPr>
            <w:tcW w:w="2721" w:type="dxa"/>
            <w:tcBorders>
              <w:left w:val="nil"/>
            </w:tcBorders>
            <w:shd w:val="clear" w:color="auto" w:fill="B3B3B3"/>
          </w:tcPr>
          <w:p w:rsidR="005F61B0" w:rsidRPr="007A2B76" w:rsidRDefault="005F61B0" w:rsidP="005F61B0">
            <w:pPr>
              <w:jc w:val="center"/>
              <w:rPr>
                <w:i/>
                <w:sz w:val="16"/>
                <w:szCs w:val="16"/>
              </w:rPr>
            </w:pPr>
          </w:p>
        </w:tc>
        <w:tc>
          <w:tcPr>
            <w:tcW w:w="290" w:type="dxa"/>
            <w:shd w:val="clear" w:color="auto" w:fill="B3B3B3"/>
          </w:tcPr>
          <w:p w:rsidR="005F61B0" w:rsidRPr="00E33FED" w:rsidRDefault="005F61B0" w:rsidP="005F61B0"/>
        </w:tc>
        <w:tc>
          <w:tcPr>
            <w:tcW w:w="5839" w:type="dxa"/>
            <w:shd w:val="clear" w:color="auto" w:fill="B3B3B3"/>
          </w:tcPr>
          <w:p w:rsidR="005F61B0" w:rsidRPr="007A2B76" w:rsidRDefault="00CF79EA" w:rsidP="005F61B0">
            <w:pPr>
              <w:spacing w:after="0"/>
              <w:rPr>
                <w:b/>
              </w:rPr>
            </w:pPr>
            <w:r>
              <w:rPr>
                <w:b/>
                <w:noProof/>
              </w:rPr>
              <w:pict>
                <v:shape id="_x0000_s1190" type="#_x0000_t32" style="position:absolute;margin-left:108.45pt;margin-top:25.75pt;width:0;height:13.05pt;z-index:251653120;mso-position-horizontal-relative:text;mso-position-vertical-relative:text" o:connectortype="straight">
                  <v:stroke endarrow="block"/>
                </v:shape>
              </w:pict>
            </w:r>
            <w:r w:rsidR="005F61B0">
              <w:rPr>
                <w:b/>
              </w:rPr>
              <w:t>Ministerial consideration</w:t>
            </w:r>
          </w:p>
        </w:tc>
      </w:tr>
    </w:tbl>
    <w:p w:rsidR="005F61B0" w:rsidRDefault="005F61B0" w:rsidP="005F61B0">
      <w:pPr>
        <w:spacing w:after="0"/>
        <w:rPr>
          <w:b/>
          <w:i/>
          <w:color w:val="000000"/>
          <w:szCs w:val="24"/>
        </w:rPr>
      </w:pPr>
    </w:p>
    <w:tbl>
      <w:tblPr>
        <w:tblW w:w="10610" w:type="dxa"/>
        <w:tblInd w:w="-252" w:type="dxa"/>
        <w:tblLook w:val="01E0"/>
      </w:tblPr>
      <w:tblGrid>
        <w:gridCol w:w="2438"/>
        <w:gridCol w:w="295"/>
        <w:gridCol w:w="5839"/>
        <w:gridCol w:w="599"/>
        <w:gridCol w:w="1439"/>
      </w:tblGrid>
      <w:tr w:rsidR="005F61B0" w:rsidRPr="00E33FED" w:rsidTr="009C6D75">
        <w:trPr>
          <w:trHeight w:hRule="exact" w:val="737"/>
        </w:trPr>
        <w:tc>
          <w:tcPr>
            <w:tcW w:w="2438" w:type="dxa"/>
            <w:tcBorders>
              <w:top w:val="nil"/>
              <w:left w:val="nil"/>
              <w:bottom w:val="nil"/>
              <w:right w:val="nil"/>
            </w:tcBorders>
          </w:tcPr>
          <w:p w:rsidR="005F61B0" w:rsidRPr="007A2B76" w:rsidRDefault="005F61B0" w:rsidP="005F61B0">
            <w:pPr>
              <w:jc w:val="center"/>
              <w:rPr>
                <w:i/>
                <w:sz w:val="16"/>
                <w:szCs w:val="16"/>
              </w:rPr>
            </w:pPr>
          </w:p>
        </w:tc>
        <w:tc>
          <w:tcPr>
            <w:tcW w:w="295" w:type="dxa"/>
            <w:tcBorders>
              <w:top w:val="nil"/>
              <w:left w:val="nil"/>
              <w:bottom w:val="nil"/>
              <w:right w:val="single" w:sz="4" w:space="0" w:color="auto"/>
            </w:tcBorders>
          </w:tcPr>
          <w:p w:rsidR="005F61B0" w:rsidRPr="00E33FED" w:rsidRDefault="005F61B0" w:rsidP="005F61B0"/>
        </w:tc>
        <w:tc>
          <w:tcPr>
            <w:tcW w:w="5839" w:type="dxa"/>
            <w:tcBorders>
              <w:top w:val="single" w:sz="4" w:space="0" w:color="auto"/>
              <w:left w:val="single" w:sz="4" w:space="0" w:color="auto"/>
              <w:bottom w:val="single" w:sz="4" w:space="0" w:color="auto"/>
              <w:right w:val="single" w:sz="4" w:space="0" w:color="auto"/>
            </w:tcBorders>
          </w:tcPr>
          <w:p w:rsidR="005F61B0" w:rsidRDefault="007D12B4" w:rsidP="005F61B0">
            <w:pPr>
              <w:spacing w:after="0"/>
            </w:pPr>
            <w:r>
              <w:t xml:space="preserve">The </w:t>
            </w:r>
            <w:r w:rsidR="005F61B0">
              <w:t xml:space="preserve">Minister considers </w:t>
            </w:r>
            <w:r w:rsidR="00F84718">
              <w:t xml:space="preserve">the </w:t>
            </w:r>
            <w:proofErr w:type="spellStart"/>
            <w:r w:rsidR="005F61B0">
              <w:t>ACCC</w:t>
            </w:r>
            <w:r w:rsidR="00F84718">
              <w:t>’s</w:t>
            </w:r>
            <w:proofErr w:type="spellEnd"/>
            <w:r w:rsidR="005F61B0">
              <w:t xml:space="preserve"> report</w:t>
            </w:r>
            <w:r>
              <w:t>.</w:t>
            </w:r>
          </w:p>
          <w:p w:rsidR="005F61B0" w:rsidRDefault="005F61B0" w:rsidP="005F61B0">
            <w:pPr>
              <w:spacing w:after="0"/>
            </w:pPr>
          </w:p>
          <w:p w:rsidR="005F61B0" w:rsidRPr="00E33FED" w:rsidRDefault="005F61B0" w:rsidP="005F61B0">
            <w:pPr>
              <w:spacing w:after="0"/>
            </w:pPr>
          </w:p>
        </w:tc>
        <w:tc>
          <w:tcPr>
            <w:tcW w:w="599" w:type="dxa"/>
            <w:tcBorders>
              <w:top w:val="nil"/>
              <w:left w:val="single" w:sz="4" w:space="0" w:color="auto"/>
              <w:bottom w:val="nil"/>
              <w:right w:val="nil"/>
            </w:tcBorders>
          </w:tcPr>
          <w:p w:rsidR="005F61B0" w:rsidRPr="00E33FED" w:rsidRDefault="005F61B0" w:rsidP="005F61B0"/>
        </w:tc>
        <w:tc>
          <w:tcPr>
            <w:tcW w:w="1439" w:type="dxa"/>
            <w:tcBorders>
              <w:top w:val="nil"/>
              <w:left w:val="nil"/>
              <w:bottom w:val="nil"/>
              <w:right w:val="nil"/>
            </w:tcBorders>
          </w:tcPr>
          <w:p w:rsidR="005F61B0" w:rsidRPr="00E33FED" w:rsidRDefault="005F61B0" w:rsidP="005F61B0">
            <w:pPr>
              <w:spacing w:after="120"/>
            </w:pPr>
          </w:p>
        </w:tc>
      </w:tr>
      <w:tr w:rsidR="005F61B0" w:rsidRPr="00E33FED" w:rsidTr="009C6D75">
        <w:trPr>
          <w:trHeight w:hRule="exact" w:val="397"/>
        </w:trPr>
        <w:tc>
          <w:tcPr>
            <w:tcW w:w="2438" w:type="dxa"/>
            <w:tcBorders>
              <w:top w:val="nil"/>
              <w:left w:val="nil"/>
              <w:bottom w:val="nil"/>
              <w:right w:val="nil"/>
            </w:tcBorders>
          </w:tcPr>
          <w:p w:rsidR="005F61B0" w:rsidRPr="007A2B76" w:rsidRDefault="005F61B0" w:rsidP="005F61B0">
            <w:pPr>
              <w:jc w:val="center"/>
              <w:rPr>
                <w:i/>
                <w:sz w:val="16"/>
                <w:szCs w:val="16"/>
              </w:rPr>
            </w:pPr>
          </w:p>
        </w:tc>
        <w:tc>
          <w:tcPr>
            <w:tcW w:w="295" w:type="dxa"/>
            <w:tcBorders>
              <w:top w:val="nil"/>
              <w:left w:val="nil"/>
              <w:bottom w:val="nil"/>
              <w:right w:val="single" w:sz="4" w:space="0" w:color="auto"/>
            </w:tcBorders>
          </w:tcPr>
          <w:p w:rsidR="005F61B0" w:rsidRPr="00E33FED" w:rsidRDefault="005F61B0" w:rsidP="005F61B0"/>
        </w:tc>
        <w:tc>
          <w:tcPr>
            <w:tcW w:w="5839" w:type="dxa"/>
            <w:tcBorders>
              <w:top w:val="single" w:sz="4" w:space="0" w:color="auto"/>
              <w:left w:val="single" w:sz="4" w:space="0" w:color="auto"/>
              <w:bottom w:val="single" w:sz="4" w:space="0" w:color="auto"/>
              <w:right w:val="single" w:sz="4" w:space="0" w:color="auto"/>
            </w:tcBorders>
          </w:tcPr>
          <w:p w:rsidR="005F61B0" w:rsidRDefault="00CF79EA" w:rsidP="005F61B0">
            <w:pPr>
              <w:spacing w:after="0"/>
            </w:pPr>
            <w:r>
              <w:rPr>
                <w:noProof/>
              </w:rPr>
              <w:pict>
                <v:shape id="_x0000_s1191" type="#_x0000_t32" style="position:absolute;margin-left:137.2pt;margin-top:2.35pt;width:0;height:17.8pt;z-index:251654144;mso-position-horizontal-relative:text;mso-position-vertical-relative:text" o:connectortype="straight">
                  <v:stroke endarrow="block"/>
                </v:shape>
              </w:pict>
            </w:r>
          </w:p>
        </w:tc>
        <w:tc>
          <w:tcPr>
            <w:tcW w:w="599" w:type="dxa"/>
            <w:tcBorders>
              <w:top w:val="nil"/>
              <w:left w:val="single" w:sz="4" w:space="0" w:color="auto"/>
              <w:bottom w:val="nil"/>
              <w:right w:val="nil"/>
            </w:tcBorders>
          </w:tcPr>
          <w:p w:rsidR="005F61B0" w:rsidRPr="00E33FED" w:rsidRDefault="005F61B0" w:rsidP="005F61B0"/>
        </w:tc>
        <w:tc>
          <w:tcPr>
            <w:tcW w:w="1439" w:type="dxa"/>
            <w:tcBorders>
              <w:top w:val="nil"/>
              <w:left w:val="nil"/>
              <w:bottom w:val="nil"/>
              <w:right w:val="nil"/>
            </w:tcBorders>
          </w:tcPr>
          <w:p w:rsidR="005F61B0" w:rsidRDefault="005F61B0" w:rsidP="005F61B0">
            <w:pPr>
              <w:spacing w:after="120"/>
              <w:rPr>
                <w:rStyle w:val="CommentReference"/>
              </w:rPr>
            </w:pPr>
          </w:p>
        </w:tc>
      </w:tr>
      <w:tr w:rsidR="005F61B0" w:rsidRPr="00E33FED" w:rsidTr="007D12B4">
        <w:trPr>
          <w:trHeight w:hRule="exact" w:val="1417"/>
        </w:trPr>
        <w:tc>
          <w:tcPr>
            <w:tcW w:w="2438" w:type="dxa"/>
            <w:tcBorders>
              <w:top w:val="nil"/>
              <w:left w:val="nil"/>
              <w:bottom w:val="nil"/>
              <w:right w:val="nil"/>
            </w:tcBorders>
          </w:tcPr>
          <w:p w:rsidR="005F61B0" w:rsidRPr="007A2B76" w:rsidRDefault="005F61B0" w:rsidP="005F61B0">
            <w:pPr>
              <w:jc w:val="center"/>
              <w:rPr>
                <w:i/>
                <w:sz w:val="16"/>
                <w:szCs w:val="16"/>
              </w:rPr>
            </w:pPr>
            <w:r w:rsidRPr="007A2B76">
              <w:rPr>
                <w:i/>
                <w:sz w:val="16"/>
                <w:szCs w:val="16"/>
              </w:rPr>
              <w:t xml:space="preserve">(The Minister is required, to issue any notice of direction to </w:t>
            </w:r>
            <w:smartTag w:uri="urn:schemas-microsoft-com:office:smarttags" w:element="place">
              <w:smartTag w:uri="urn:schemas-microsoft-com:office:smarttags" w:element="country-region">
                <w:r w:rsidRPr="007A2B76">
                  <w:rPr>
                    <w:i/>
                    <w:sz w:val="16"/>
                    <w:szCs w:val="16"/>
                  </w:rPr>
                  <w:t>Australia</w:t>
                </w:r>
              </w:smartTag>
            </w:smartTag>
            <w:r w:rsidRPr="007A2B76">
              <w:rPr>
                <w:i/>
                <w:sz w:val="16"/>
                <w:szCs w:val="16"/>
              </w:rPr>
              <w:t xml:space="preserve"> Post  within 28 days of receiving the </w:t>
            </w:r>
            <w:proofErr w:type="spellStart"/>
            <w:r w:rsidRPr="007A2B76">
              <w:rPr>
                <w:i/>
                <w:sz w:val="16"/>
                <w:szCs w:val="16"/>
              </w:rPr>
              <w:t>ACCC</w:t>
            </w:r>
            <w:proofErr w:type="spellEnd"/>
            <w:r w:rsidRPr="007A2B76">
              <w:rPr>
                <w:i/>
                <w:sz w:val="16"/>
                <w:szCs w:val="16"/>
              </w:rPr>
              <w:t xml:space="preserve">  Report)</w:t>
            </w:r>
          </w:p>
        </w:tc>
        <w:tc>
          <w:tcPr>
            <w:tcW w:w="295" w:type="dxa"/>
            <w:tcBorders>
              <w:top w:val="nil"/>
              <w:left w:val="nil"/>
              <w:bottom w:val="nil"/>
              <w:right w:val="single" w:sz="4" w:space="0" w:color="auto"/>
            </w:tcBorders>
          </w:tcPr>
          <w:p w:rsidR="005F61B0" w:rsidRPr="00E33FED" w:rsidRDefault="005F61B0" w:rsidP="005F61B0"/>
        </w:tc>
        <w:tc>
          <w:tcPr>
            <w:tcW w:w="5839" w:type="dxa"/>
            <w:tcBorders>
              <w:top w:val="single" w:sz="4" w:space="0" w:color="auto"/>
              <w:left w:val="single" w:sz="4" w:space="0" w:color="auto"/>
              <w:bottom w:val="single" w:sz="4" w:space="0" w:color="auto"/>
              <w:right w:val="single" w:sz="4" w:space="0" w:color="auto"/>
            </w:tcBorders>
          </w:tcPr>
          <w:p w:rsidR="005F61B0" w:rsidRDefault="007D12B4" w:rsidP="005F61B0">
            <w:pPr>
              <w:spacing w:after="0"/>
            </w:pPr>
            <w:r>
              <w:t xml:space="preserve">The </w:t>
            </w:r>
            <w:r w:rsidR="005F61B0">
              <w:t>Minister may direct Australia Post to act in accordance with recommendations in the report</w:t>
            </w:r>
            <w:r w:rsidR="00812D5E">
              <w:t xml:space="preserve">. </w:t>
            </w:r>
          </w:p>
          <w:p w:rsidR="007D12B4" w:rsidRDefault="007D12B4" w:rsidP="005F61B0">
            <w:pPr>
              <w:spacing w:after="0"/>
            </w:pPr>
          </w:p>
          <w:p w:rsidR="00812D5E" w:rsidRDefault="007D12B4" w:rsidP="005F61B0">
            <w:pPr>
              <w:spacing w:after="0"/>
            </w:pPr>
            <w:r>
              <w:t xml:space="preserve">The Minister must consult with </w:t>
            </w:r>
            <w:r w:rsidR="00F84718">
              <w:t xml:space="preserve">the </w:t>
            </w:r>
            <w:r w:rsidR="005E42F7">
              <w:t xml:space="preserve">Board of </w:t>
            </w:r>
            <w:r>
              <w:t>Australia Post before giving a direction.</w:t>
            </w:r>
          </w:p>
          <w:p w:rsidR="00812D5E" w:rsidRDefault="00812D5E" w:rsidP="005F61B0">
            <w:pPr>
              <w:spacing w:after="0"/>
            </w:pPr>
          </w:p>
        </w:tc>
        <w:tc>
          <w:tcPr>
            <w:tcW w:w="599" w:type="dxa"/>
            <w:tcBorders>
              <w:top w:val="nil"/>
              <w:left w:val="single" w:sz="4" w:space="0" w:color="auto"/>
              <w:bottom w:val="nil"/>
              <w:right w:val="nil"/>
            </w:tcBorders>
          </w:tcPr>
          <w:p w:rsidR="005F61B0" w:rsidRPr="00E33FED" w:rsidRDefault="005F61B0" w:rsidP="005F61B0"/>
        </w:tc>
        <w:tc>
          <w:tcPr>
            <w:tcW w:w="1439" w:type="dxa"/>
            <w:tcBorders>
              <w:top w:val="nil"/>
              <w:left w:val="nil"/>
              <w:bottom w:val="nil"/>
              <w:right w:val="nil"/>
            </w:tcBorders>
          </w:tcPr>
          <w:p w:rsidR="005F61B0" w:rsidRDefault="005F61B0" w:rsidP="005F61B0">
            <w:pPr>
              <w:spacing w:after="120"/>
              <w:rPr>
                <w:rStyle w:val="CommentReference"/>
              </w:rPr>
            </w:pPr>
          </w:p>
        </w:tc>
      </w:tr>
      <w:tr w:rsidR="00566F86" w:rsidRPr="00E33FED" w:rsidTr="00566F86">
        <w:trPr>
          <w:trHeight w:hRule="exact" w:val="397"/>
        </w:trPr>
        <w:tc>
          <w:tcPr>
            <w:tcW w:w="2438" w:type="dxa"/>
            <w:tcBorders>
              <w:top w:val="nil"/>
              <w:left w:val="nil"/>
              <w:bottom w:val="nil"/>
              <w:right w:val="nil"/>
            </w:tcBorders>
          </w:tcPr>
          <w:p w:rsidR="00566F86" w:rsidRPr="007A2B76" w:rsidRDefault="00566F86" w:rsidP="005F61B0">
            <w:pPr>
              <w:jc w:val="center"/>
              <w:rPr>
                <w:i/>
                <w:sz w:val="16"/>
                <w:szCs w:val="16"/>
              </w:rPr>
            </w:pPr>
          </w:p>
        </w:tc>
        <w:tc>
          <w:tcPr>
            <w:tcW w:w="295" w:type="dxa"/>
            <w:tcBorders>
              <w:top w:val="nil"/>
              <w:left w:val="nil"/>
              <w:bottom w:val="nil"/>
              <w:right w:val="single" w:sz="4" w:space="0" w:color="auto"/>
            </w:tcBorders>
          </w:tcPr>
          <w:p w:rsidR="00566F86" w:rsidRPr="00E33FED" w:rsidRDefault="00566F86" w:rsidP="005F61B0"/>
        </w:tc>
        <w:tc>
          <w:tcPr>
            <w:tcW w:w="5839" w:type="dxa"/>
            <w:tcBorders>
              <w:top w:val="single" w:sz="4" w:space="0" w:color="auto"/>
              <w:left w:val="single" w:sz="4" w:space="0" w:color="auto"/>
              <w:bottom w:val="single" w:sz="4" w:space="0" w:color="auto"/>
              <w:right w:val="single" w:sz="4" w:space="0" w:color="auto"/>
            </w:tcBorders>
          </w:tcPr>
          <w:p w:rsidR="00566F86" w:rsidRDefault="00CF79EA" w:rsidP="005F61B0">
            <w:pPr>
              <w:spacing w:after="0"/>
            </w:pPr>
            <w:r>
              <w:rPr>
                <w:noProof/>
              </w:rPr>
              <w:pict>
                <v:shape id="_x0000_s1220" type="#_x0000_t32" style="position:absolute;margin-left:137.2pt;margin-top:2.55pt;width:0;height:17.8pt;z-index:251657216;mso-position-horizontal-relative:text;mso-position-vertical-relative:text" o:connectortype="straight">
                  <v:stroke endarrow="block"/>
                </v:shape>
              </w:pict>
            </w:r>
          </w:p>
        </w:tc>
        <w:tc>
          <w:tcPr>
            <w:tcW w:w="599" w:type="dxa"/>
            <w:tcBorders>
              <w:top w:val="nil"/>
              <w:left w:val="single" w:sz="4" w:space="0" w:color="auto"/>
              <w:bottom w:val="nil"/>
              <w:right w:val="nil"/>
            </w:tcBorders>
          </w:tcPr>
          <w:p w:rsidR="00566F86" w:rsidRPr="00E33FED" w:rsidRDefault="00566F86" w:rsidP="005F61B0"/>
        </w:tc>
        <w:tc>
          <w:tcPr>
            <w:tcW w:w="1439" w:type="dxa"/>
            <w:tcBorders>
              <w:top w:val="nil"/>
              <w:left w:val="nil"/>
              <w:bottom w:val="nil"/>
              <w:right w:val="nil"/>
            </w:tcBorders>
          </w:tcPr>
          <w:p w:rsidR="00566F86" w:rsidRDefault="00566F86" w:rsidP="005F61B0">
            <w:pPr>
              <w:spacing w:after="120"/>
              <w:rPr>
                <w:rStyle w:val="CommentReference"/>
              </w:rPr>
            </w:pPr>
          </w:p>
        </w:tc>
      </w:tr>
      <w:tr w:rsidR="00566F86" w:rsidRPr="00E33FED" w:rsidTr="00566F86">
        <w:trPr>
          <w:trHeight w:hRule="exact" w:val="737"/>
        </w:trPr>
        <w:tc>
          <w:tcPr>
            <w:tcW w:w="2438" w:type="dxa"/>
            <w:tcBorders>
              <w:top w:val="nil"/>
              <w:left w:val="nil"/>
              <w:bottom w:val="nil"/>
              <w:right w:val="nil"/>
            </w:tcBorders>
          </w:tcPr>
          <w:p w:rsidR="00566F86" w:rsidRPr="007A2B76" w:rsidRDefault="00566F86" w:rsidP="005F61B0">
            <w:pPr>
              <w:jc w:val="center"/>
              <w:rPr>
                <w:i/>
                <w:sz w:val="16"/>
                <w:szCs w:val="16"/>
              </w:rPr>
            </w:pPr>
          </w:p>
        </w:tc>
        <w:tc>
          <w:tcPr>
            <w:tcW w:w="295" w:type="dxa"/>
            <w:tcBorders>
              <w:top w:val="nil"/>
              <w:left w:val="nil"/>
              <w:bottom w:val="nil"/>
              <w:right w:val="single" w:sz="4" w:space="0" w:color="auto"/>
            </w:tcBorders>
          </w:tcPr>
          <w:p w:rsidR="00566F86" w:rsidRPr="00E33FED" w:rsidRDefault="00566F86" w:rsidP="005F61B0"/>
        </w:tc>
        <w:tc>
          <w:tcPr>
            <w:tcW w:w="5839" w:type="dxa"/>
            <w:tcBorders>
              <w:top w:val="single" w:sz="4" w:space="0" w:color="auto"/>
              <w:left w:val="single" w:sz="4" w:space="0" w:color="auto"/>
              <w:bottom w:val="single" w:sz="4" w:space="0" w:color="auto"/>
              <w:right w:val="single" w:sz="4" w:space="0" w:color="auto"/>
            </w:tcBorders>
          </w:tcPr>
          <w:p w:rsidR="00566F86" w:rsidRDefault="00566F86" w:rsidP="005F61B0">
            <w:pPr>
              <w:spacing w:after="0"/>
            </w:pPr>
            <w:r>
              <w:t xml:space="preserve">The Minister provides notification of the decision to the complainant and the </w:t>
            </w:r>
            <w:proofErr w:type="spellStart"/>
            <w:r>
              <w:t>ACCC</w:t>
            </w:r>
            <w:proofErr w:type="spellEnd"/>
            <w:r>
              <w:t>.</w:t>
            </w:r>
          </w:p>
        </w:tc>
        <w:tc>
          <w:tcPr>
            <w:tcW w:w="599" w:type="dxa"/>
            <w:tcBorders>
              <w:top w:val="nil"/>
              <w:left w:val="single" w:sz="4" w:space="0" w:color="auto"/>
              <w:bottom w:val="nil"/>
              <w:right w:val="nil"/>
            </w:tcBorders>
          </w:tcPr>
          <w:p w:rsidR="00566F86" w:rsidRPr="00E33FED" w:rsidRDefault="00566F86" w:rsidP="005F61B0"/>
        </w:tc>
        <w:tc>
          <w:tcPr>
            <w:tcW w:w="1439" w:type="dxa"/>
            <w:tcBorders>
              <w:top w:val="nil"/>
              <w:left w:val="nil"/>
              <w:bottom w:val="nil"/>
              <w:right w:val="nil"/>
            </w:tcBorders>
          </w:tcPr>
          <w:p w:rsidR="00566F86" w:rsidRDefault="00566F86" w:rsidP="005F61B0">
            <w:pPr>
              <w:spacing w:after="120"/>
              <w:rPr>
                <w:rStyle w:val="CommentReference"/>
              </w:rPr>
            </w:pPr>
          </w:p>
        </w:tc>
      </w:tr>
    </w:tbl>
    <w:p w:rsidR="009F0AE0" w:rsidRDefault="00761B3C">
      <w:pPr>
        <w:pStyle w:val="Heading2"/>
        <w:numPr>
          <w:ilvl w:val="0"/>
          <w:numId w:val="0"/>
        </w:numPr>
      </w:pPr>
      <w:r>
        <w:br w:type="page"/>
      </w:r>
      <w:bookmarkStart w:id="69" w:name="_Toc332363516"/>
      <w:r w:rsidR="00936C48">
        <w:t>3</w:t>
      </w:r>
      <w:r w:rsidR="00936C48">
        <w:tab/>
      </w:r>
      <w:r w:rsidR="00513F99">
        <w:t xml:space="preserve">Commencement </w:t>
      </w:r>
      <w:r w:rsidR="00936C48">
        <w:t>of an inquiry</w:t>
      </w:r>
      <w:bookmarkEnd w:id="69"/>
    </w:p>
    <w:p w:rsidR="00936C48" w:rsidRDefault="00936C48" w:rsidP="00936C48">
      <w:r>
        <w:t xml:space="preserve">This chapter provides guidance </w:t>
      </w:r>
      <w:r w:rsidR="004A713C">
        <w:t>about</w:t>
      </w:r>
      <w:r>
        <w:t xml:space="preserve"> how the </w:t>
      </w:r>
      <w:proofErr w:type="spellStart"/>
      <w:r>
        <w:t>ACCC</w:t>
      </w:r>
      <w:proofErr w:type="spellEnd"/>
      <w:r>
        <w:t xml:space="preserve"> would </w:t>
      </w:r>
      <w:r w:rsidR="00776144">
        <w:t xml:space="preserve">commence </w:t>
      </w:r>
      <w:r>
        <w:t xml:space="preserve">an inquiry </w:t>
      </w:r>
      <w:r w:rsidR="00590EA3">
        <w:t xml:space="preserve">into </w:t>
      </w:r>
      <w:r>
        <w:t xml:space="preserve">a </w:t>
      </w:r>
      <w:r w:rsidR="009E748C">
        <w:t>bulk interconnection service</w:t>
      </w:r>
      <w:r>
        <w:t xml:space="preserve"> dispute. </w:t>
      </w:r>
    </w:p>
    <w:p w:rsidR="00E515FD" w:rsidRDefault="007346A1" w:rsidP="00E515FD">
      <w:pPr>
        <w:pStyle w:val="Heading3"/>
        <w:numPr>
          <w:ilvl w:val="0"/>
          <w:numId w:val="0"/>
        </w:numPr>
      </w:pPr>
      <w:bookmarkStart w:id="70" w:name="_Toc332363517"/>
      <w:r>
        <w:t>3.1</w:t>
      </w:r>
      <w:r>
        <w:tab/>
      </w:r>
      <w:r w:rsidR="00E515FD">
        <w:t>Parties</w:t>
      </w:r>
      <w:bookmarkEnd w:id="70"/>
    </w:p>
    <w:p w:rsidR="007C289C" w:rsidRDefault="007C289C" w:rsidP="007C289C">
      <w:r>
        <w:t>The parties to an inquiry are (r. 8):</w:t>
      </w:r>
    </w:p>
    <w:p w:rsidR="007C289C" w:rsidRDefault="007C289C" w:rsidP="007C289C">
      <w:pPr>
        <w:numPr>
          <w:ilvl w:val="0"/>
          <w:numId w:val="4"/>
        </w:numPr>
      </w:pPr>
      <w:r>
        <w:t>the complainant who notified the dispute</w:t>
      </w:r>
      <w:r w:rsidR="004808C3">
        <w:t xml:space="preserve"> (who </w:t>
      </w:r>
      <w:r w:rsidR="00F84718">
        <w:t>is</w:t>
      </w:r>
      <w:r w:rsidR="004808C3">
        <w:t xml:space="preserve"> a user or person intending to use a bulk interconnection service)</w:t>
      </w:r>
    </w:p>
    <w:p w:rsidR="007C289C" w:rsidRDefault="007C289C" w:rsidP="007C289C">
      <w:pPr>
        <w:numPr>
          <w:ilvl w:val="0"/>
          <w:numId w:val="4"/>
        </w:numPr>
      </w:pPr>
      <w:r>
        <w:t>Australia Post</w:t>
      </w:r>
    </w:p>
    <w:p w:rsidR="00E4396C" w:rsidRPr="00E515FD" w:rsidRDefault="007C289C" w:rsidP="007C289C">
      <w:pPr>
        <w:numPr>
          <w:ilvl w:val="0"/>
          <w:numId w:val="4"/>
        </w:numPr>
      </w:pPr>
      <w:proofErr w:type="gramStart"/>
      <w:r>
        <w:t>any</w:t>
      </w:r>
      <w:proofErr w:type="gramEnd"/>
      <w:r>
        <w:t xml:space="preserve"> other person who applies in writing to be made a party and is accepted by the </w:t>
      </w:r>
      <w:proofErr w:type="spellStart"/>
      <w:r>
        <w:t>ACCC</w:t>
      </w:r>
      <w:proofErr w:type="spellEnd"/>
      <w:r>
        <w:t xml:space="preserve"> as having a sufficient interest.</w:t>
      </w:r>
    </w:p>
    <w:p w:rsidR="00F2608C" w:rsidRDefault="007346A1" w:rsidP="00F2608C">
      <w:pPr>
        <w:pStyle w:val="Heading3"/>
        <w:numPr>
          <w:ilvl w:val="0"/>
          <w:numId w:val="0"/>
        </w:numPr>
      </w:pPr>
      <w:bookmarkStart w:id="71" w:name="_Toc332363518"/>
      <w:r>
        <w:t>3.2</w:t>
      </w:r>
      <w:r>
        <w:tab/>
      </w:r>
      <w:r w:rsidR="00F2608C">
        <w:t>Pre-notification</w:t>
      </w:r>
      <w:bookmarkEnd w:id="71"/>
      <w:r w:rsidR="00F2608C">
        <w:t xml:space="preserve"> </w:t>
      </w:r>
    </w:p>
    <w:p w:rsidR="00BC5209" w:rsidRDefault="008836BC" w:rsidP="00BC5209">
      <w:pPr>
        <w:spacing w:before="120" w:after="120"/>
      </w:pPr>
      <w:r>
        <w:t>T</w:t>
      </w:r>
      <w:r w:rsidR="007C289C">
        <w:t xml:space="preserve">he </w:t>
      </w:r>
      <w:proofErr w:type="spellStart"/>
      <w:r w:rsidR="00A862CA">
        <w:t>APCR</w:t>
      </w:r>
      <w:proofErr w:type="spellEnd"/>
      <w:r w:rsidR="00A862CA">
        <w:t xml:space="preserve"> provides</w:t>
      </w:r>
      <w:r w:rsidR="007C289C">
        <w:t xml:space="preserve"> limited time (60 days plus a possible </w:t>
      </w:r>
      <w:r w:rsidR="00B32B02">
        <w:t xml:space="preserve">extension of </w:t>
      </w:r>
      <w:r w:rsidR="00F84718">
        <w:t>up to</w:t>
      </w:r>
      <w:r w:rsidR="00B32B02">
        <w:t xml:space="preserve"> </w:t>
      </w:r>
      <w:r w:rsidR="007C289C">
        <w:t>30 day</w:t>
      </w:r>
      <w:r w:rsidR="00B32B02">
        <w:t>s</w:t>
      </w:r>
      <w:r w:rsidR="007C289C">
        <w:t xml:space="preserve">) for the </w:t>
      </w:r>
      <w:proofErr w:type="spellStart"/>
      <w:r w:rsidR="007C289C">
        <w:t>ACCC</w:t>
      </w:r>
      <w:proofErr w:type="spellEnd"/>
      <w:r w:rsidR="007C289C">
        <w:t xml:space="preserve"> to </w:t>
      </w:r>
      <w:r w:rsidR="00F84718">
        <w:t xml:space="preserve">conduct its inquiry into </w:t>
      </w:r>
      <w:r w:rsidR="007C289C">
        <w:t xml:space="preserve">a </w:t>
      </w:r>
      <w:r w:rsidR="009E748C">
        <w:t>bulk interconnection service</w:t>
      </w:r>
      <w:r w:rsidR="007C289C">
        <w:t xml:space="preserve"> dispute</w:t>
      </w:r>
      <w:r>
        <w:t xml:space="preserve">. </w:t>
      </w:r>
      <w:r w:rsidR="00741192">
        <w:t>Where</w:t>
      </w:r>
      <w:r>
        <w:t xml:space="preserve"> disputes involv</w:t>
      </w:r>
      <w:r w:rsidR="00741192">
        <w:t>e</w:t>
      </w:r>
      <w:r>
        <w:t xml:space="preserve"> complex, protracted or novel matters</w:t>
      </w:r>
      <w:r w:rsidR="00741192">
        <w:t>,</w:t>
      </w:r>
      <w:r>
        <w:t xml:space="preserve"> </w:t>
      </w:r>
      <w:r w:rsidR="00741192">
        <w:t xml:space="preserve">it may be appropriate for </w:t>
      </w:r>
      <w:r w:rsidR="00F84718">
        <w:t xml:space="preserve">a potential </w:t>
      </w:r>
      <w:r w:rsidR="00741192">
        <w:t>complainant</w:t>
      </w:r>
      <w:r w:rsidR="00712A1A">
        <w:t xml:space="preserve"> to consider</w:t>
      </w:r>
      <w:r w:rsidR="007C289C">
        <w:t xml:space="preserve"> a pre-notification </w:t>
      </w:r>
      <w:r w:rsidR="002C3BC7">
        <w:t xml:space="preserve">dispute </w:t>
      </w:r>
      <w:r w:rsidR="007C289C">
        <w:t xml:space="preserve">consultation process. </w:t>
      </w:r>
      <w:r w:rsidR="00BC5209">
        <w:t>This would assist in ensuring that:</w:t>
      </w:r>
    </w:p>
    <w:p w:rsidR="00712A1A" w:rsidRDefault="00712A1A" w:rsidP="00712A1A">
      <w:pPr>
        <w:numPr>
          <w:ilvl w:val="0"/>
          <w:numId w:val="40"/>
        </w:numPr>
        <w:spacing w:before="120" w:after="120"/>
      </w:pPr>
      <w:r>
        <w:t>the issues in dispute</w:t>
      </w:r>
      <w:r w:rsidR="009D1FE5">
        <w:t>,</w:t>
      </w:r>
      <w:r>
        <w:t xml:space="preserve"> and the respective positions of Australia Post and the </w:t>
      </w:r>
      <w:r w:rsidR="009D1FE5">
        <w:t xml:space="preserve">potential </w:t>
      </w:r>
      <w:r>
        <w:t>complainant on those issues</w:t>
      </w:r>
      <w:r w:rsidR="009D1FE5">
        <w:t>,</w:t>
      </w:r>
      <w:r>
        <w:t xml:space="preserve"> can be identified</w:t>
      </w:r>
    </w:p>
    <w:p w:rsidR="00BC5209" w:rsidRDefault="00BC5209" w:rsidP="00BC5209">
      <w:pPr>
        <w:numPr>
          <w:ilvl w:val="0"/>
          <w:numId w:val="40"/>
        </w:numPr>
        <w:spacing w:before="120" w:after="120"/>
      </w:pPr>
      <w:r>
        <w:t xml:space="preserve">there is sufficient information for the </w:t>
      </w:r>
      <w:proofErr w:type="spellStart"/>
      <w:r>
        <w:t>ACCC</w:t>
      </w:r>
      <w:proofErr w:type="spellEnd"/>
      <w:r>
        <w:t xml:space="preserve"> to inquire into the dispute </w:t>
      </w:r>
    </w:p>
    <w:p w:rsidR="00F84718" w:rsidRDefault="00F84718" w:rsidP="00B70CEA">
      <w:pPr>
        <w:spacing w:before="120" w:after="120"/>
      </w:pPr>
      <w:r>
        <w:t xml:space="preserve">During these discussions, the potential complainant </w:t>
      </w:r>
      <w:r w:rsidR="009D1FE5">
        <w:t xml:space="preserve">may wish to provide a draft notification to </w:t>
      </w:r>
      <w:r w:rsidR="009308CD">
        <w:t xml:space="preserve">assist the discussions with </w:t>
      </w:r>
      <w:r w:rsidR="009D1FE5">
        <w:t xml:space="preserve">the </w:t>
      </w:r>
      <w:proofErr w:type="spellStart"/>
      <w:r w:rsidR="009D1FE5">
        <w:t>ACCC</w:t>
      </w:r>
      <w:proofErr w:type="spellEnd"/>
      <w:r w:rsidR="009D1FE5">
        <w:t>.</w:t>
      </w:r>
    </w:p>
    <w:p w:rsidR="002C3BC7" w:rsidRDefault="00847EB9" w:rsidP="00B70CEA">
      <w:pPr>
        <w:spacing w:before="120" w:after="120"/>
      </w:pPr>
      <w:r>
        <w:t xml:space="preserve">As part of </w:t>
      </w:r>
      <w:r w:rsidR="00F84718">
        <w:t xml:space="preserve">the </w:t>
      </w:r>
      <w:r>
        <w:t>pre-notification</w:t>
      </w:r>
      <w:r w:rsidR="008A0F94">
        <w:t xml:space="preserve"> stage</w:t>
      </w:r>
      <w:r>
        <w:t xml:space="preserve">, </w:t>
      </w:r>
      <w:bookmarkStart w:id="72" w:name="OLE_LINK10"/>
      <w:bookmarkStart w:id="73" w:name="OLE_LINK25"/>
      <w:r w:rsidR="00B70CEA">
        <w:t xml:space="preserve">the </w:t>
      </w:r>
      <w:r w:rsidR="009D1FE5">
        <w:t xml:space="preserve">potential </w:t>
      </w:r>
      <w:r>
        <w:t xml:space="preserve">complainant </w:t>
      </w:r>
      <w:bookmarkEnd w:id="72"/>
      <w:bookmarkEnd w:id="73"/>
      <w:r>
        <w:t xml:space="preserve">may provide the </w:t>
      </w:r>
      <w:proofErr w:type="spellStart"/>
      <w:r>
        <w:t>ACCC</w:t>
      </w:r>
      <w:proofErr w:type="spellEnd"/>
      <w:r>
        <w:t xml:space="preserve"> with confidential commercial information. The </w:t>
      </w:r>
      <w:proofErr w:type="spellStart"/>
      <w:r>
        <w:t>ACCC</w:t>
      </w:r>
      <w:proofErr w:type="spellEnd"/>
      <w:r>
        <w:t xml:space="preserve"> recognises that the </w:t>
      </w:r>
      <w:r w:rsidR="00B70CEA">
        <w:t xml:space="preserve">disclosure </w:t>
      </w:r>
      <w:r>
        <w:t xml:space="preserve">of this </w:t>
      </w:r>
      <w:r w:rsidR="00B70CEA">
        <w:t xml:space="preserve">information may have a substantial adverse effect on </w:t>
      </w:r>
      <w:r>
        <w:t xml:space="preserve">the complainant </w:t>
      </w:r>
      <w:r w:rsidR="00B70CEA">
        <w:t xml:space="preserve">and </w:t>
      </w:r>
      <w:r w:rsidR="002C3BC7">
        <w:t xml:space="preserve">will assess any claim for confidentiality by </w:t>
      </w:r>
      <w:r w:rsidR="00B70CEA">
        <w:t>the complainant</w:t>
      </w:r>
      <w:r w:rsidR="00465528">
        <w:t xml:space="preserve">. The </w:t>
      </w:r>
      <w:proofErr w:type="spellStart"/>
      <w:r w:rsidR="00465528">
        <w:t>ACCC</w:t>
      </w:r>
      <w:proofErr w:type="spellEnd"/>
      <w:r w:rsidR="00465528">
        <w:t xml:space="preserve"> </w:t>
      </w:r>
      <w:r w:rsidR="00712A1A">
        <w:t xml:space="preserve">will </w:t>
      </w:r>
      <w:r w:rsidR="00465528">
        <w:t>have regard to</w:t>
      </w:r>
      <w:r w:rsidR="002C3BC7">
        <w:t xml:space="preserve"> the </w:t>
      </w:r>
      <w:proofErr w:type="spellStart"/>
      <w:r w:rsidR="002C3BC7">
        <w:t>ACCC</w:t>
      </w:r>
      <w:proofErr w:type="spellEnd"/>
      <w:r w:rsidR="002C3BC7">
        <w:t>/</w:t>
      </w:r>
      <w:proofErr w:type="spellStart"/>
      <w:r w:rsidR="002C3BC7">
        <w:t>AER</w:t>
      </w:r>
      <w:proofErr w:type="spellEnd"/>
      <w:r w:rsidR="002C3BC7">
        <w:t xml:space="preserve"> Information policy</w:t>
      </w:r>
      <w:r w:rsidR="00712A1A">
        <w:t>,</w:t>
      </w:r>
      <w:r w:rsidR="002C3BC7">
        <w:t xml:space="preserve"> which can be accessed at </w:t>
      </w:r>
      <w:r w:rsidR="002C3BC7" w:rsidRPr="009D1FE5">
        <w:t>www.accc.gov.au</w:t>
      </w:r>
    </w:p>
    <w:p w:rsidR="00936C48" w:rsidRDefault="00936C48" w:rsidP="00936C48">
      <w:pPr>
        <w:pStyle w:val="Heading3"/>
        <w:numPr>
          <w:ilvl w:val="0"/>
          <w:numId w:val="0"/>
        </w:numPr>
      </w:pPr>
      <w:bookmarkStart w:id="74" w:name="_Toc332363519"/>
      <w:r>
        <w:t>3.</w:t>
      </w:r>
      <w:r w:rsidR="007346A1">
        <w:t>3</w:t>
      </w:r>
      <w:r>
        <w:tab/>
      </w:r>
      <w:r w:rsidR="0014480A">
        <w:t>Formal n</w:t>
      </w:r>
      <w:r>
        <w:t xml:space="preserve">otification </w:t>
      </w:r>
      <w:r w:rsidR="0014480A">
        <w:t>requirements</w:t>
      </w:r>
      <w:bookmarkEnd w:id="74"/>
    </w:p>
    <w:p w:rsidR="00812D5E" w:rsidRDefault="00397C7C" w:rsidP="00812D5E">
      <w:pPr>
        <w:rPr>
          <w:b/>
        </w:rPr>
      </w:pPr>
      <w:bookmarkStart w:id="75" w:name="OLE_LINK7"/>
      <w:bookmarkStart w:id="76" w:name="OLE_LINK8"/>
      <w:r>
        <w:t xml:space="preserve">In order to commence the processes under the </w:t>
      </w:r>
      <w:proofErr w:type="spellStart"/>
      <w:r>
        <w:t>APCR</w:t>
      </w:r>
      <w:proofErr w:type="spellEnd"/>
      <w:r w:rsidR="009D1FE5">
        <w:t>,</w:t>
      </w:r>
      <w:r>
        <w:t xml:space="preserve"> t</w:t>
      </w:r>
      <w:r w:rsidR="00BC5209">
        <w:t xml:space="preserve">he complainant </w:t>
      </w:r>
      <w:r>
        <w:t xml:space="preserve">needs to </w:t>
      </w:r>
      <w:r w:rsidR="00BC5209">
        <w:t xml:space="preserve">lodge a notification with the </w:t>
      </w:r>
      <w:proofErr w:type="spellStart"/>
      <w:r w:rsidR="00BC5209">
        <w:t>ACCC</w:t>
      </w:r>
      <w:proofErr w:type="spellEnd"/>
      <w:r w:rsidR="00BC5209">
        <w:t xml:space="preserve"> in relation to the dispute.</w:t>
      </w:r>
      <w:r w:rsidR="00BC5209">
        <w:rPr>
          <w:rStyle w:val="FootnoteReference"/>
        </w:rPr>
        <w:footnoteReference w:id="6"/>
      </w:r>
      <w:r w:rsidR="00BC5209">
        <w:t xml:space="preserve"> </w:t>
      </w:r>
    </w:p>
    <w:p w:rsidR="004D58FD" w:rsidRPr="00812D5E" w:rsidRDefault="00BC5209" w:rsidP="00812D5E">
      <w:r w:rsidRPr="00812D5E">
        <w:t xml:space="preserve">The notification will need to comply with the requirements in </w:t>
      </w:r>
      <w:r w:rsidR="008A0F94" w:rsidRPr="00812D5E">
        <w:t xml:space="preserve">sub </w:t>
      </w:r>
      <w:r w:rsidRPr="00812D5E">
        <w:t xml:space="preserve">regulation 9(2). These requirements are </w:t>
      </w:r>
      <w:r w:rsidR="00B32B02">
        <w:t xml:space="preserve">outlined </w:t>
      </w:r>
      <w:r w:rsidRPr="00812D5E">
        <w:t>in Box 3.1 below.</w:t>
      </w:r>
      <w:r w:rsidR="00812D5E" w:rsidRPr="00812D5E">
        <w:t xml:space="preserve"> </w:t>
      </w:r>
      <w:bookmarkStart w:id="77" w:name="_Toc317843862"/>
      <w:bookmarkStart w:id="78" w:name="_Toc317844082"/>
    </w:p>
    <w:p w:rsidR="00916523" w:rsidRPr="00812D5E" w:rsidRDefault="00CF79EA" w:rsidP="00D50C2A">
      <w:pPr>
        <w:pStyle w:val="Heading3"/>
        <w:numPr>
          <w:ilvl w:val="0"/>
          <w:numId w:val="0"/>
        </w:numPr>
        <w:rPr>
          <w:rFonts w:ascii="Times New Roman" w:hAnsi="Times New Roman"/>
          <w:b w:val="0"/>
        </w:rPr>
      </w:pPr>
      <w:bookmarkStart w:id="79" w:name="_Toc318107361"/>
      <w:bookmarkStart w:id="80" w:name="_Toc318107486"/>
      <w:bookmarkStart w:id="81" w:name="_Toc318362524"/>
      <w:bookmarkStart w:id="82" w:name="_Toc318362597"/>
      <w:bookmarkStart w:id="83" w:name="_Toc319942972"/>
      <w:bookmarkStart w:id="84" w:name="_Toc321404315"/>
      <w:bookmarkStart w:id="85" w:name="_Toc321988270"/>
      <w:bookmarkStart w:id="86" w:name="_Toc322352540"/>
      <w:r>
        <w:rPr>
          <w:rFonts w:ascii="Times New Roman" w:hAnsi="Times New Roman"/>
          <w:b w:val="0"/>
        </w:rPr>
        <w:pict>
          <v:shape id="_x0000_s1050" type="#_x0000_t202" style="position:absolute;margin-left:-4.95pt;margin-top:26.6pt;width:432.75pt;height:495.1pt;z-index:251646976;mso-wrap-style:none">
            <v:textbox style="mso-next-textbox:#_x0000_s1050;mso-fit-shape-to-text:t">
              <w:txbxContent>
                <w:p w:rsidR="00E82DB4" w:rsidRPr="00BC5209" w:rsidRDefault="00E82DB4" w:rsidP="00936C48">
                  <w:pPr>
                    <w:rPr>
                      <w:b/>
                    </w:rPr>
                  </w:pPr>
                  <w:r w:rsidRPr="00BC5209">
                    <w:rPr>
                      <w:b/>
                    </w:rPr>
                    <w:t xml:space="preserve">Box 3.1: Requirements </w:t>
                  </w:r>
                  <w:r>
                    <w:rPr>
                      <w:b/>
                    </w:rPr>
                    <w:t xml:space="preserve">for lodging a </w:t>
                  </w:r>
                  <w:r w:rsidRPr="00BC5209">
                    <w:rPr>
                      <w:b/>
                    </w:rPr>
                    <w:t>dispute notification</w:t>
                  </w:r>
                  <w:r>
                    <w:rPr>
                      <w:b/>
                    </w:rPr>
                    <w:t xml:space="preserve"> </w:t>
                  </w:r>
                </w:p>
                <w:p w:rsidR="00E82DB4" w:rsidRDefault="00E82DB4" w:rsidP="00DE7585">
                  <w:r>
                    <w:t xml:space="preserve">The notice lodged with the </w:t>
                  </w:r>
                  <w:proofErr w:type="spellStart"/>
                  <w:r>
                    <w:t>ACCC</w:t>
                  </w:r>
                  <w:proofErr w:type="spellEnd"/>
                  <w:r>
                    <w:t xml:space="preserve"> must be clear and legible (r. 9(2</w:t>
                  </w:r>
                  <w:proofErr w:type="gramStart"/>
                  <w:r>
                    <w:t>)(</w:t>
                  </w:r>
                  <w:proofErr w:type="gramEnd"/>
                  <w:r>
                    <w:t xml:space="preserve">a)) and must state (r. 9(2)(b)): </w:t>
                  </w:r>
                </w:p>
                <w:p w:rsidR="00E82DB4" w:rsidRDefault="00E82DB4" w:rsidP="00EE027D">
                  <w:pPr>
                    <w:numPr>
                      <w:ilvl w:val="0"/>
                      <w:numId w:val="37"/>
                    </w:numPr>
                  </w:pPr>
                  <w:r>
                    <w:t>if the rate reduction is in dispute — the amount that the complainant proposes should apply</w:t>
                  </w:r>
                </w:p>
                <w:p w:rsidR="00E82DB4" w:rsidRDefault="00E82DB4" w:rsidP="00DE7585">
                  <w:pPr>
                    <w:numPr>
                      <w:ilvl w:val="0"/>
                      <w:numId w:val="37"/>
                    </w:numPr>
                  </w:pPr>
                  <w:r>
                    <w:t xml:space="preserve">if the period during which the service will be supplied is in dispute — the period during which the complainant proposes that the service should be supplied at the reduced rate </w:t>
                  </w:r>
                </w:p>
                <w:p w:rsidR="00E82DB4" w:rsidRDefault="00E82DB4" w:rsidP="00DE7585">
                  <w:pPr>
                    <w:numPr>
                      <w:ilvl w:val="0"/>
                      <w:numId w:val="37"/>
                    </w:numPr>
                  </w:pPr>
                  <w:r>
                    <w:t>if any other terms and conditions on which the rate reduction is or would be provided are in dispute — the terms and conditions that the complainant proposes should apply</w:t>
                  </w:r>
                </w:p>
                <w:p w:rsidR="00E82DB4" w:rsidRDefault="00E82DB4" w:rsidP="00CD21D4">
                  <w:r>
                    <w:t>A notice must also state (r. 9(2</w:t>
                  </w:r>
                  <w:proofErr w:type="gramStart"/>
                  <w:r>
                    <w:t>)(</w:t>
                  </w:r>
                  <w:proofErr w:type="gramEnd"/>
                  <w:r>
                    <w:t xml:space="preserve">c)): </w:t>
                  </w:r>
                </w:p>
                <w:p w:rsidR="00E82DB4" w:rsidRDefault="00E82DB4" w:rsidP="00EE027D">
                  <w:pPr>
                    <w:numPr>
                      <w:ilvl w:val="0"/>
                      <w:numId w:val="37"/>
                    </w:numPr>
                  </w:pPr>
                  <w:r>
                    <w:t>the rate reduction (if any) that Australia Post has offered for supply of the service to the complainant</w:t>
                  </w:r>
                </w:p>
                <w:p w:rsidR="00E82DB4" w:rsidRDefault="00E82DB4" w:rsidP="00EE027D">
                  <w:pPr>
                    <w:numPr>
                      <w:ilvl w:val="0"/>
                      <w:numId w:val="37"/>
                    </w:numPr>
                  </w:pPr>
                  <w:r>
                    <w:t>the period (if any) during which Australia Post has offered to supply the service to the complainant at the reduced rate</w:t>
                  </w:r>
                </w:p>
                <w:p w:rsidR="00E82DB4" w:rsidRDefault="00E82DB4" w:rsidP="00DE7585">
                  <w:pPr>
                    <w:numPr>
                      <w:ilvl w:val="0"/>
                      <w:numId w:val="37"/>
                    </w:numPr>
                  </w:pPr>
                  <w:r>
                    <w:t>any other terms and conditions to which Australia Post’s offer is subject</w:t>
                  </w:r>
                </w:p>
                <w:p w:rsidR="00E82DB4" w:rsidRDefault="00E82DB4" w:rsidP="009D7055">
                  <w:r>
                    <w:t>The notice should include a copy of any document that may be relevant to this dispute (r. 9(2</w:t>
                  </w:r>
                  <w:proofErr w:type="gramStart"/>
                  <w:r>
                    <w:t>)(</w:t>
                  </w:r>
                  <w:proofErr w:type="gramEnd"/>
                  <w:r>
                    <w:t>d)).</w:t>
                  </w:r>
                </w:p>
                <w:p w:rsidR="00E82DB4" w:rsidRDefault="00E82DB4" w:rsidP="009D7055">
                  <w:r>
                    <w:t>A notice must state the name and address of the complainant and be signed and dated by or for the complainant (r. 9(2</w:t>
                  </w:r>
                  <w:proofErr w:type="gramStart"/>
                  <w:r>
                    <w:t>)(</w:t>
                  </w:r>
                  <w:proofErr w:type="gramEnd"/>
                  <w:r>
                    <w:t>e) and (f)).</w:t>
                  </w:r>
                </w:p>
                <w:p w:rsidR="00E82DB4" w:rsidRDefault="00E82DB4" w:rsidP="009D7055">
                  <w:r>
                    <w:t xml:space="preserve">A complainant may claim the protection of regulation 21 (which relates to confidentiality) in respect of any document supplied to the </w:t>
                  </w:r>
                  <w:proofErr w:type="spellStart"/>
                  <w:r>
                    <w:t>ACCC</w:t>
                  </w:r>
                  <w:proofErr w:type="spellEnd"/>
                  <w:r>
                    <w:t xml:space="preserve"> (r. 9(3)).</w:t>
                  </w:r>
                </w:p>
                <w:p w:rsidR="00E82DB4" w:rsidRDefault="00E82DB4" w:rsidP="00966496">
                  <w:r>
                    <w:t>A notice may relate to more than one dispute</w:t>
                  </w:r>
                  <w:r w:rsidRPr="00CD21D4">
                    <w:t xml:space="preserve"> </w:t>
                  </w:r>
                  <w:r>
                    <w:t>(r. 9(4)).</w:t>
                  </w:r>
                </w:p>
              </w:txbxContent>
            </v:textbox>
            <w10:wrap type="square"/>
          </v:shape>
        </w:pict>
      </w:r>
      <w:bookmarkEnd w:id="79"/>
      <w:bookmarkEnd w:id="80"/>
      <w:bookmarkEnd w:id="81"/>
      <w:bookmarkEnd w:id="82"/>
      <w:bookmarkEnd w:id="83"/>
      <w:bookmarkEnd w:id="84"/>
      <w:bookmarkEnd w:id="85"/>
      <w:bookmarkEnd w:id="86"/>
    </w:p>
    <w:p w:rsidR="000B464F" w:rsidRDefault="000B464F" w:rsidP="000B464F"/>
    <w:p w:rsidR="00812D5E" w:rsidRPr="00F444E3" w:rsidRDefault="00812D5E" w:rsidP="00812D5E">
      <w:r>
        <w:t xml:space="preserve">A notice is taken to be given when the </w:t>
      </w:r>
      <w:proofErr w:type="spellStart"/>
      <w:r>
        <w:t>ACCC</w:t>
      </w:r>
      <w:proofErr w:type="spellEnd"/>
      <w:r>
        <w:t xml:space="preserve"> receives the notice (r. 9(5)).</w:t>
      </w:r>
    </w:p>
    <w:p w:rsidR="004D58FD" w:rsidRDefault="009D1FE5" w:rsidP="000B464F">
      <w:r>
        <w:t>T</w:t>
      </w:r>
      <w:r w:rsidR="00916523" w:rsidRPr="000B464F">
        <w:t xml:space="preserve">he templates at </w:t>
      </w:r>
      <w:r w:rsidR="00916523" w:rsidRPr="006E3E70">
        <w:rPr>
          <w:b/>
        </w:rPr>
        <w:t xml:space="preserve">Appendix </w:t>
      </w:r>
      <w:r w:rsidR="003B62EF" w:rsidRPr="006E3E70">
        <w:rPr>
          <w:b/>
        </w:rPr>
        <w:t>B</w:t>
      </w:r>
      <w:r w:rsidR="003B62EF" w:rsidRPr="000B464F">
        <w:t xml:space="preserve"> </w:t>
      </w:r>
      <w:r w:rsidR="00916523" w:rsidRPr="000B464F">
        <w:t xml:space="preserve">provide further information on the requirements for lodging a dispute notification with the </w:t>
      </w:r>
      <w:proofErr w:type="spellStart"/>
      <w:r w:rsidR="00916523" w:rsidRPr="000B464F">
        <w:t>ACCC</w:t>
      </w:r>
      <w:proofErr w:type="spellEnd"/>
      <w:r w:rsidR="00916523" w:rsidRPr="000B464F">
        <w:t xml:space="preserve">. </w:t>
      </w:r>
    </w:p>
    <w:p w:rsidR="00A8315E" w:rsidRDefault="00A8315E" w:rsidP="00A8315E">
      <w:r>
        <w:t xml:space="preserve">A dispute notification can be lodged with the </w:t>
      </w:r>
      <w:proofErr w:type="spellStart"/>
      <w:r>
        <w:t>ACCC</w:t>
      </w:r>
      <w:proofErr w:type="spellEnd"/>
      <w:r>
        <w:t xml:space="preserve"> by email to:</w:t>
      </w:r>
    </w:p>
    <w:p w:rsidR="00A8315E" w:rsidRDefault="00A8315E" w:rsidP="009D1FE5">
      <w:pPr>
        <w:ind w:firstLine="720"/>
      </w:pPr>
      <w:r>
        <w:t>postalservices@accc.gov.au</w:t>
      </w:r>
    </w:p>
    <w:p w:rsidR="00A8315E" w:rsidRDefault="00A8315E" w:rsidP="00DA1629">
      <w:proofErr w:type="gramStart"/>
      <w:r>
        <w:t>or</w:t>
      </w:r>
      <w:proofErr w:type="gramEnd"/>
      <w:r>
        <w:t xml:space="preserve"> by post to:</w:t>
      </w:r>
    </w:p>
    <w:p w:rsidR="00A8315E" w:rsidRDefault="00A8315E" w:rsidP="009D1FE5">
      <w:pPr>
        <w:ind w:left="720"/>
      </w:pPr>
      <w:r>
        <w:t>General Manager</w:t>
      </w:r>
    </w:p>
    <w:p w:rsidR="00A8315E" w:rsidRDefault="000C26AD" w:rsidP="009D1FE5">
      <w:pPr>
        <w:ind w:left="720"/>
      </w:pPr>
      <w:r>
        <w:t xml:space="preserve">Fuel, </w:t>
      </w:r>
      <w:r w:rsidR="00A8315E">
        <w:t xml:space="preserve">Transport and Prices Oversight Branch </w:t>
      </w:r>
    </w:p>
    <w:p w:rsidR="00A8315E" w:rsidRDefault="00A8315E" w:rsidP="009D1FE5">
      <w:pPr>
        <w:ind w:left="720"/>
      </w:pPr>
      <w:r>
        <w:t>Australian Competition and Consumer Commission</w:t>
      </w:r>
    </w:p>
    <w:p w:rsidR="00A8315E" w:rsidRDefault="00A8315E" w:rsidP="009D1FE5">
      <w:pPr>
        <w:ind w:left="720"/>
      </w:pPr>
      <w:r>
        <w:t xml:space="preserve">GPO </w:t>
      </w:r>
      <w:smartTag w:uri="urn:schemas-microsoft-com:office:smarttags" w:element="address">
        <w:smartTag w:uri="urn:schemas-microsoft-com:office:smarttags" w:element="Street">
          <w:r>
            <w:t>Box</w:t>
          </w:r>
        </w:smartTag>
        <w:r>
          <w:t xml:space="preserve"> 520</w:t>
        </w:r>
      </w:smartTag>
      <w:r>
        <w:t xml:space="preserve"> </w:t>
      </w:r>
    </w:p>
    <w:p w:rsidR="00A8315E" w:rsidRPr="000B464F" w:rsidRDefault="004A713C" w:rsidP="009D1FE5">
      <w:pPr>
        <w:ind w:left="720"/>
      </w:pPr>
      <w:r>
        <w:t>MELBOURNE VIC 3001</w:t>
      </w:r>
    </w:p>
    <w:p w:rsidR="00D50C2A" w:rsidRDefault="00D50C2A" w:rsidP="00D50C2A">
      <w:pPr>
        <w:pStyle w:val="Heading3"/>
        <w:numPr>
          <w:ilvl w:val="0"/>
          <w:numId w:val="0"/>
        </w:numPr>
      </w:pPr>
      <w:bookmarkStart w:id="87" w:name="_Toc332363520"/>
      <w:bookmarkEnd w:id="75"/>
      <w:bookmarkEnd w:id="76"/>
      <w:bookmarkEnd w:id="77"/>
      <w:bookmarkEnd w:id="78"/>
      <w:r>
        <w:t>3.</w:t>
      </w:r>
      <w:r w:rsidR="007346A1">
        <w:t>4</w:t>
      </w:r>
      <w:r w:rsidR="000B464F">
        <w:tab/>
      </w:r>
      <w:r>
        <w:t>Unable to agree</w:t>
      </w:r>
      <w:bookmarkEnd w:id="87"/>
      <w:r>
        <w:t xml:space="preserve"> </w:t>
      </w:r>
    </w:p>
    <w:p w:rsidR="00936C48" w:rsidRDefault="00936C48" w:rsidP="00936C48">
      <w:r>
        <w:t xml:space="preserve">One of the preconditions for notifying a dispute is that the complainant and Australia Post are unable to agree on the terms and conditions of access to the bulk </w:t>
      </w:r>
      <w:r w:rsidR="006D3270">
        <w:t>interconnection</w:t>
      </w:r>
      <w:r>
        <w:t xml:space="preserve"> service.</w:t>
      </w:r>
    </w:p>
    <w:p w:rsidR="00936C48" w:rsidRDefault="00936C48" w:rsidP="00936C48">
      <w:r>
        <w:t xml:space="preserve">By way of guidance, the </w:t>
      </w:r>
      <w:proofErr w:type="spellStart"/>
      <w:r>
        <w:t>ACCC</w:t>
      </w:r>
      <w:proofErr w:type="spellEnd"/>
      <w:r>
        <w:t xml:space="preserve"> sets out the following ‘rule of thumb’ which it proposes to use in considering whether the complainant and Australia Post are unable to agree:</w:t>
      </w:r>
    </w:p>
    <w:p w:rsidR="00936C48" w:rsidRDefault="00936C48" w:rsidP="00936C48">
      <w:pPr>
        <w:numPr>
          <w:ilvl w:val="0"/>
          <w:numId w:val="5"/>
        </w:numPr>
      </w:pPr>
      <w:r>
        <w:t>The complainant must have made a request of Australia Post or put a proposal to Australia Post; and</w:t>
      </w:r>
    </w:p>
    <w:p w:rsidR="00936C48" w:rsidRDefault="00936C48" w:rsidP="00936C48">
      <w:pPr>
        <w:numPr>
          <w:ilvl w:val="0"/>
          <w:numId w:val="5"/>
        </w:numPr>
      </w:pPr>
      <w:r>
        <w:t>Australia Pos</w:t>
      </w:r>
      <w:r w:rsidR="007F055A">
        <w:t>t</w:t>
      </w:r>
      <w:r>
        <w:t xml:space="preserve"> must have refused the request or rejected the proposal. The refusal may be an explicit refusal or a constructive refusal (e.g. where </w:t>
      </w:r>
      <w:smartTag w:uri="urn:schemas-microsoft-com:office:smarttags" w:element="country-region">
        <w:smartTag w:uri="urn:schemas-microsoft-com:office:smarttags" w:element="place">
          <w:r>
            <w:t>Australia</w:t>
          </w:r>
        </w:smartTag>
      </w:smartTag>
      <w:r>
        <w:t xml:space="preserve"> Post has not responded to the request or proposal within a reasonable time).</w:t>
      </w:r>
    </w:p>
    <w:p w:rsidR="00DC4631" w:rsidRDefault="00936C48" w:rsidP="00936C48">
      <w:r>
        <w:t xml:space="preserve">Where there is insufficient information in the notification for the </w:t>
      </w:r>
      <w:proofErr w:type="spellStart"/>
      <w:r>
        <w:t>ACCC</w:t>
      </w:r>
      <w:proofErr w:type="spellEnd"/>
      <w:r>
        <w:t xml:space="preserve"> to be satisfied that the complainant and Australia Post have been unable to agree, the </w:t>
      </w:r>
      <w:proofErr w:type="spellStart"/>
      <w:r>
        <w:t>ACCC</w:t>
      </w:r>
      <w:proofErr w:type="spellEnd"/>
      <w:r>
        <w:t xml:space="preserve"> will </w:t>
      </w:r>
      <w:r w:rsidR="00255212">
        <w:t>contact</w:t>
      </w:r>
      <w:r>
        <w:t xml:space="preserve"> the relevant party, seeking additional information, and will generally advise the other party that it has done so. In some instances, it may seek the views of both parties before reaching a conclusion on the issue.</w:t>
      </w:r>
    </w:p>
    <w:p w:rsidR="007F7ADC" w:rsidRDefault="00DC4631" w:rsidP="007F7ADC">
      <w:r>
        <w:t xml:space="preserve">If the </w:t>
      </w:r>
      <w:proofErr w:type="spellStart"/>
      <w:r>
        <w:t>ACCC</w:t>
      </w:r>
      <w:proofErr w:type="spellEnd"/>
      <w:r>
        <w:t xml:space="preserve"> is not </w:t>
      </w:r>
      <w:r w:rsidR="00EA2FFE">
        <w:t>of the view</w:t>
      </w:r>
      <w:r>
        <w:t xml:space="preserve"> </w:t>
      </w:r>
      <w:r w:rsidR="007F7ADC">
        <w:t xml:space="preserve">that parties are </w:t>
      </w:r>
      <w:r w:rsidR="00DD1172">
        <w:t>‘</w:t>
      </w:r>
      <w:r w:rsidR="007F7ADC">
        <w:t>unable to agree</w:t>
      </w:r>
      <w:r w:rsidR="00DA1629">
        <w:t>’</w:t>
      </w:r>
      <w:r w:rsidR="00B32B02">
        <w:t xml:space="preserve"> </w:t>
      </w:r>
      <w:r w:rsidR="007F7ADC">
        <w:t>within 21 days of receiving a dispute notification</w:t>
      </w:r>
      <w:r w:rsidR="009D1FE5">
        <w:t>,</w:t>
      </w:r>
      <w:r w:rsidR="007F7ADC">
        <w:t xml:space="preserve"> it will not hold an inquiry.</w:t>
      </w:r>
    </w:p>
    <w:p w:rsidR="00936C48" w:rsidRPr="007F055A" w:rsidRDefault="007F055A" w:rsidP="00936C48">
      <w:r w:rsidRPr="007F055A">
        <w:t>If</w:t>
      </w:r>
      <w:r>
        <w:t xml:space="preserve"> </w:t>
      </w:r>
      <w:r w:rsidRPr="007F055A">
        <w:t xml:space="preserve">the </w:t>
      </w:r>
      <w:proofErr w:type="spellStart"/>
      <w:r w:rsidRPr="007F055A">
        <w:t>ACCC</w:t>
      </w:r>
      <w:proofErr w:type="spellEnd"/>
      <w:r w:rsidRPr="007F055A">
        <w:t xml:space="preserve"> decides not to undertake an inquiry, it must give written notice to the Minister and to the parties of the reasons for the decision </w:t>
      </w:r>
      <w:r>
        <w:t>(r. 13(2)).</w:t>
      </w:r>
    </w:p>
    <w:p w:rsidR="00936C48" w:rsidRDefault="00936C48" w:rsidP="00936C48">
      <w:pPr>
        <w:pStyle w:val="Heading3"/>
        <w:numPr>
          <w:ilvl w:val="0"/>
          <w:numId w:val="0"/>
        </w:numPr>
      </w:pPr>
      <w:bookmarkStart w:id="88" w:name="_Toc332363521"/>
      <w:r>
        <w:t>3.</w:t>
      </w:r>
      <w:r w:rsidR="004A713C">
        <w:t>5</w:t>
      </w:r>
      <w:r>
        <w:tab/>
      </w:r>
      <w:r w:rsidR="00ED67E1">
        <w:t xml:space="preserve">Exercise of powers by the </w:t>
      </w:r>
      <w:proofErr w:type="spellStart"/>
      <w:r w:rsidR="00ED67E1">
        <w:t>ACCC</w:t>
      </w:r>
      <w:bookmarkEnd w:id="88"/>
      <w:proofErr w:type="spellEnd"/>
    </w:p>
    <w:p w:rsidR="00936C48" w:rsidRDefault="00CF656C" w:rsidP="00936C48">
      <w:r>
        <w:t xml:space="preserve">The powers of the </w:t>
      </w:r>
      <w:proofErr w:type="spellStart"/>
      <w:r>
        <w:t>ACCC</w:t>
      </w:r>
      <w:proofErr w:type="spellEnd"/>
      <w:r>
        <w:t xml:space="preserve"> under Part 3 of the </w:t>
      </w:r>
      <w:proofErr w:type="spellStart"/>
      <w:r>
        <w:t>APCR</w:t>
      </w:r>
      <w:proofErr w:type="spellEnd"/>
      <w:r>
        <w:t xml:space="preserve"> can be exercised either by the </w:t>
      </w:r>
      <w:proofErr w:type="spellStart"/>
      <w:r>
        <w:t>ACCC</w:t>
      </w:r>
      <w:proofErr w:type="spellEnd"/>
      <w:r>
        <w:t xml:space="preserve">, or by a Division of the </w:t>
      </w:r>
      <w:proofErr w:type="spellStart"/>
      <w:r>
        <w:t>ACCC</w:t>
      </w:r>
      <w:proofErr w:type="spellEnd"/>
      <w:r>
        <w:t xml:space="preserve"> constituted by at least two </w:t>
      </w:r>
      <w:r w:rsidR="00EA2FFE">
        <w:t>Commissioners</w:t>
      </w:r>
      <w:r>
        <w:t xml:space="preserve">. </w:t>
      </w:r>
    </w:p>
    <w:p w:rsidR="00936C48" w:rsidRDefault="00936C48" w:rsidP="00936C48">
      <w:pPr>
        <w:pStyle w:val="Heading4"/>
        <w:numPr>
          <w:ilvl w:val="0"/>
          <w:numId w:val="0"/>
        </w:numPr>
      </w:pPr>
      <w:bookmarkStart w:id="89" w:name="_Toc332363522"/>
      <w:r>
        <w:t>3.</w:t>
      </w:r>
      <w:r w:rsidR="004A713C">
        <w:t>5</w:t>
      </w:r>
      <w:r>
        <w:t>.1</w:t>
      </w:r>
      <w:r>
        <w:tab/>
        <w:t xml:space="preserve">Constitution of </w:t>
      </w:r>
      <w:r w:rsidR="00CF656C">
        <w:t xml:space="preserve">the </w:t>
      </w:r>
      <w:proofErr w:type="spellStart"/>
      <w:r w:rsidR="00CF656C">
        <w:t>ACCC</w:t>
      </w:r>
      <w:proofErr w:type="spellEnd"/>
      <w:r w:rsidR="00CF656C">
        <w:t xml:space="preserve"> for the purpose of an </w:t>
      </w:r>
      <w:r w:rsidR="004A713C">
        <w:t>inquiry</w:t>
      </w:r>
      <w:bookmarkEnd w:id="89"/>
    </w:p>
    <w:p w:rsidR="00936C48" w:rsidRDefault="00936C48" w:rsidP="00936C48">
      <w:r>
        <w:t xml:space="preserve">The Chairperson </w:t>
      </w:r>
      <w:r w:rsidR="00C56819">
        <w:t xml:space="preserve">of the </w:t>
      </w:r>
      <w:proofErr w:type="spellStart"/>
      <w:r w:rsidR="00C56819">
        <w:t>ACCC</w:t>
      </w:r>
      <w:proofErr w:type="spellEnd"/>
      <w:r w:rsidR="00C56819">
        <w:t xml:space="preserve"> </w:t>
      </w:r>
      <w:r w:rsidR="00727FDD">
        <w:t xml:space="preserve">may </w:t>
      </w:r>
      <w:r w:rsidR="00CF656C">
        <w:t xml:space="preserve">direct </w:t>
      </w:r>
      <w:r>
        <w:t>in writing</w:t>
      </w:r>
      <w:r w:rsidR="00CF656C">
        <w:t xml:space="preserve"> for</w:t>
      </w:r>
      <w:r>
        <w:t xml:space="preserve"> two or more </w:t>
      </w:r>
      <w:r w:rsidR="00CF656C">
        <w:t xml:space="preserve">Commissioners </w:t>
      </w:r>
      <w:r>
        <w:t xml:space="preserve">to constitute </w:t>
      </w:r>
      <w:r w:rsidR="00CF656C">
        <w:t xml:space="preserve">a ‘Division of the </w:t>
      </w:r>
      <w:proofErr w:type="spellStart"/>
      <w:r w:rsidR="00CF656C">
        <w:t>ACCC</w:t>
      </w:r>
      <w:proofErr w:type="spellEnd"/>
      <w:r w:rsidR="00CF656C">
        <w:t xml:space="preserve">’ to exercise the powers of the </w:t>
      </w:r>
      <w:proofErr w:type="spellStart"/>
      <w:r w:rsidR="00CF656C">
        <w:t>ACCC</w:t>
      </w:r>
      <w:proofErr w:type="spellEnd"/>
      <w:r w:rsidR="00CF656C">
        <w:t xml:space="preserve"> under Part 3 of the </w:t>
      </w:r>
      <w:proofErr w:type="spellStart"/>
      <w:r w:rsidR="00CF656C">
        <w:t>AP</w:t>
      </w:r>
      <w:r w:rsidR="00503B5E">
        <w:t>C</w:t>
      </w:r>
      <w:r w:rsidR="00CF656C">
        <w:t>R</w:t>
      </w:r>
      <w:proofErr w:type="spellEnd"/>
      <w:r w:rsidR="00CF656C">
        <w:t xml:space="preserve"> </w:t>
      </w:r>
      <w:r>
        <w:t>(r. 15(1))</w:t>
      </w:r>
      <w:r w:rsidR="00D0107A">
        <w:t>.</w:t>
      </w:r>
    </w:p>
    <w:p w:rsidR="00936C48" w:rsidRDefault="00936C48" w:rsidP="00936C48">
      <w:r>
        <w:t xml:space="preserve">If the Chairperson is </w:t>
      </w:r>
      <w:r w:rsidR="00F31679">
        <w:t xml:space="preserve">included in the ‘Division of the </w:t>
      </w:r>
      <w:proofErr w:type="spellStart"/>
      <w:r w:rsidR="00F31679">
        <w:t>ACCC</w:t>
      </w:r>
      <w:proofErr w:type="spellEnd"/>
      <w:r w:rsidR="00F31679">
        <w:t>’</w:t>
      </w:r>
      <w:r>
        <w:t xml:space="preserve"> they must preside over </w:t>
      </w:r>
      <w:r w:rsidR="00CD434F">
        <w:t xml:space="preserve">the </w:t>
      </w:r>
      <w:r>
        <w:t>inquiry (r. 15(3)).</w:t>
      </w:r>
      <w:r w:rsidR="009D1FE5">
        <w:t xml:space="preserve"> </w:t>
      </w:r>
      <w:r w:rsidR="00F31679">
        <w:t xml:space="preserve">If the Chairperson is not included in the ‘Division of the </w:t>
      </w:r>
      <w:proofErr w:type="spellStart"/>
      <w:r w:rsidR="00F31679">
        <w:t>ACCC</w:t>
      </w:r>
      <w:proofErr w:type="spellEnd"/>
      <w:r w:rsidR="00F31679">
        <w:t xml:space="preserve">’ and </w:t>
      </w:r>
      <w:r w:rsidR="00B15A58">
        <w:t xml:space="preserve">a </w:t>
      </w:r>
      <w:r w:rsidR="00F31679">
        <w:t xml:space="preserve">Deputy Chairperson of the </w:t>
      </w:r>
      <w:proofErr w:type="spellStart"/>
      <w:r w:rsidR="00F31679">
        <w:t>ACCC</w:t>
      </w:r>
      <w:proofErr w:type="spellEnd"/>
      <w:r w:rsidR="00F31679">
        <w:t xml:space="preserve"> is included then </w:t>
      </w:r>
      <w:r w:rsidR="00B15A58">
        <w:t xml:space="preserve">a </w:t>
      </w:r>
      <w:r w:rsidR="00F31679">
        <w:t>Deputy Chairperson must preside over the inquiry (r. 15(4)).</w:t>
      </w:r>
      <w:r w:rsidR="009D1FE5">
        <w:t xml:space="preserve"> </w:t>
      </w:r>
      <w:r>
        <w:t xml:space="preserve">If </w:t>
      </w:r>
      <w:r w:rsidR="00F31679">
        <w:t xml:space="preserve">neither the </w:t>
      </w:r>
      <w:r>
        <w:t xml:space="preserve">Chairperson </w:t>
      </w:r>
      <w:r w:rsidR="00F31679">
        <w:t xml:space="preserve">nor </w:t>
      </w:r>
      <w:r w:rsidR="001A3236">
        <w:t xml:space="preserve">a </w:t>
      </w:r>
      <w:r w:rsidR="00F31679">
        <w:t xml:space="preserve">Deputy Chairperson is included in the ‘Division of the </w:t>
      </w:r>
      <w:proofErr w:type="spellStart"/>
      <w:r w:rsidR="00F31679">
        <w:t>ACCC</w:t>
      </w:r>
      <w:proofErr w:type="spellEnd"/>
      <w:r w:rsidR="00F31679">
        <w:t xml:space="preserve">’ the Chairperson </w:t>
      </w:r>
      <w:r>
        <w:t xml:space="preserve">must nominate in writing the member who is to preside over </w:t>
      </w:r>
      <w:r w:rsidR="00CD434F">
        <w:t xml:space="preserve">the </w:t>
      </w:r>
      <w:r>
        <w:t>inquiry (r. 15(5))</w:t>
      </w:r>
      <w:r w:rsidR="00D0107A">
        <w:t>.</w:t>
      </w:r>
    </w:p>
    <w:p w:rsidR="00936C48" w:rsidRDefault="00936C48" w:rsidP="00936C48">
      <w:pPr>
        <w:pStyle w:val="Heading4"/>
        <w:numPr>
          <w:ilvl w:val="0"/>
          <w:numId w:val="0"/>
        </w:numPr>
      </w:pPr>
      <w:bookmarkStart w:id="90" w:name="_Toc332363523"/>
      <w:r>
        <w:t>3.</w:t>
      </w:r>
      <w:r w:rsidR="004A713C">
        <w:t>5</w:t>
      </w:r>
      <w:r>
        <w:t>.2</w:t>
      </w:r>
      <w:r>
        <w:tab/>
        <w:t xml:space="preserve">Reconstitution of the </w:t>
      </w:r>
      <w:proofErr w:type="spellStart"/>
      <w:r>
        <w:t>ACCC</w:t>
      </w:r>
      <w:proofErr w:type="spellEnd"/>
      <w:r w:rsidR="00CF656C">
        <w:t xml:space="preserve"> for the purpose of an inquiry</w:t>
      </w:r>
      <w:bookmarkEnd w:id="90"/>
    </w:p>
    <w:p w:rsidR="00936C48" w:rsidRDefault="00936C48" w:rsidP="00936C48">
      <w:r>
        <w:t xml:space="preserve">If a Commissioner sitting on an inquiry ceases to be a member of the </w:t>
      </w:r>
      <w:proofErr w:type="spellStart"/>
      <w:r>
        <w:t>ACCC</w:t>
      </w:r>
      <w:proofErr w:type="spellEnd"/>
      <w:r>
        <w:t xml:space="preserve"> or is otherwise unavailable for the purposes of the inquiry, the Chairperson must either</w:t>
      </w:r>
      <w:r w:rsidR="003C40D1">
        <w:t xml:space="preserve"> (</w:t>
      </w:r>
      <w:proofErr w:type="gramStart"/>
      <w:r w:rsidR="003C40D1">
        <w:t>r.16(</w:t>
      </w:r>
      <w:proofErr w:type="gramEnd"/>
      <w:r w:rsidR="003C40D1">
        <w:t>2)(a) and (b))</w:t>
      </w:r>
      <w:r>
        <w:t>:</w:t>
      </w:r>
    </w:p>
    <w:p w:rsidR="00936C48" w:rsidRDefault="007432E1" w:rsidP="00936C48">
      <w:pPr>
        <w:numPr>
          <w:ilvl w:val="0"/>
          <w:numId w:val="6"/>
        </w:numPr>
      </w:pPr>
      <w:r>
        <w:t>d</w:t>
      </w:r>
      <w:r w:rsidR="00936C48">
        <w:t xml:space="preserve">irect that the </w:t>
      </w:r>
      <w:proofErr w:type="spellStart"/>
      <w:r w:rsidR="00936C48">
        <w:t>ACCC</w:t>
      </w:r>
      <w:proofErr w:type="spellEnd"/>
      <w:r w:rsidR="00936C48">
        <w:t xml:space="preserve"> be constituted to finish the </w:t>
      </w:r>
      <w:r w:rsidR="00B07636">
        <w:t xml:space="preserve">inquiry </w:t>
      </w:r>
      <w:r w:rsidR="00936C48">
        <w:t xml:space="preserve">by the </w:t>
      </w:r>
      <w:r w:rsidR="00CF656C">
        <w:t>Commissioner(s)</w:t>
      </w:r>
      <w:r w:rsidR="00B10C43" w:rsidRPr="00B10C43">
        <w:t xml:space="preserve"> </w:t>
      </w:r>
      <w:r w:rsidR="00B10C43">
        <w:t xml:space="preserve">in the ‘Division of the </w:t>
      </w:r>
      <w:proofErr w:type="spellStart"/>
      <w:r w:rsidR="00B10C43">
        <w:t>ACCC</w:t>
      </w:r>
      <w:proofErr w:type="spellEnd"/>
      <w:r w:rsidR="00B10C43">
        <w:t>’</w:t>
      </w:r>
      <w:r w:rsidR="00936C48">
        <w:t>; or</w:t>
      </w:r>
    </w:p>
    <w:p w:rsidR="00936C48" w:rsidRDefault="007432E1" w:rsidP="00936C48">
      <w:pPr>
        <w:numPr>
          <w:ilvl w:val="0"/>
          <w:numId w:val="6"/>
        </w:numPr>
      </w:pPr>
      <w:r>
        <w:t>d</w:t>
      </w:r>
      <w:r w:rsidR="00936C48">
        <w:t xml:space="preserve">irect that the </w:t>
      </w:r>
      <w:proofErr w:type="spellStart"/>
      <w:r w:rsidR="00936C48">
        <w:t>ACCC</w:t>
      </w:r>
      <w:proofErr w:type="spellEnd"/>
      <w:r w:rsidR="00936C48">
        <w:t xml:space="preserve"> be constituted for that purpose by the </w:t>
      </w:r>
      <w:r w:rsidR="00CF656C">
        <w:t xml:space="preserve">Commissioner(s) </w:t>
      </w:r>
      <w:r w:rsidR="00936C48">
        <w:t xml:space="preserve">together with one or more other </w:t>
      </w:r>
      <w:r w:rsidR="00CF656C">
        <w:t>Commissioner(s)</w:t>
      </w:r>
      <w:r w:rsidR="00B10C43" w:rsidRPr="00B10C43">
        <w:t xml:space="preserve"> </w:t>
      </w:r>
      <w:r w:rsidR="00B10C43">
        <w:t xml:space="preserve">remaining in the ‘Division of the </w:t>
      </w:r>
      <w:proofErr w:type="spellStart"/>
      <w:r w:rsidR="00B10C43">
        <w:t>ACCC</w:t>
      </w:r>
      <w:proofErr w:type="spellEnd"/>
      <w:r w:rsidR="00B10C43">
        <w:t>’</w:t>
      </w:r>
      <w:r w:rsidR="00CF656C">
        <w:t>.</w:t>
      </w:r>
    </w:p>
    <w:p w:rsidR="00936C48" w:rsidRDefault="00936C48" w:rsidP="00936C48">
      <w:r>
        <w:t xml:space="preserve">The </w:t>
      </w:r>
      <w:proofErr w:type="spellStart"/>
      <w:r>
        <w:t>ACCC</w:t>
      </w:r>
      <w:proofErr w:type="spellEnd"/>
      <w:r>
        <w:t xml:space="preserve">, as reconstituted, must complete the inquiry and may have regard to any record of the proceedings of the inquiry made by the </w:t>
      </w:r>
      <w:proofErr w:type="spellStart"/>
      <w:r>
        <w:t>ACCC</w:t>
      </w:r>
      <w:proofErr w:type="spellEnd"/>
      <w:r>
        <w:t xml:space="preserve"> as previously constituted.</w:t>
      </w:r>
    </w:p>
    <w:p w:rsidR="00936C48" w:rsidRDefault="00936C48" w:rsidP="00936C48">
      <w:pPr>
        <w:pStyle w:val="Heading4"/>
        <w:numPr>
          <w:ilvl w:val="0"/>
          <w:numId w:val="0"/>
        </w:numPr>
      </w:pPr>
      <w:bookmarkStart w:id="91" w:name="_Toc332363524"/>
      <w:r>
        <w:t>3.</w:t>
      </w:r>
      <w:r w:rsidR="004A713C">
        <w:t>5</w:t>
      </w:r>
      <w:r>
        <w:t>.3</w:t>
      </w:r>
      <w:r>
        <w:tab/>
        <w:t xml:space="preserve">Decisions of the </w:t>
      </w:r>
      <w:proofErr w:type="spellStart"/>
      <w:r>
        <w:t>ACCC</w:t>
      </w:r>
      <w:bookmarkEnd w:id="91"/>
      <w:proofErr w:type="spellEnd"/>
    </w:p>
    <w:p w:rsidR="009D1FE5" w:rsidRDefault="00936C48" w:rsidP="00936C48">
      <w:r>
        <w:t xml:space="preserve">When the </w:t>
      </w:r>
      <w:proofErr w:type="spellStart"/>
      <w:r>
        <w:t>ACCC</w:t>
      </w:r>
      <w:proofErr w:type="spellEnd"/>
      <w:r>
        <w:t xml:space="preserve"> is constituted for an inquiry by two or more </w:t>
      </w:r>
      <w:r w:rsidR="00CF656C">
        <w:t>Commissioners</w:t>
      </w:r>
      <w:r>
        <w:t>, any question</w:t>
      </w:r>
      <w:r w:rsidR="00DD1172">
        <w:t xml:space="preserve">, including </w:t>
      </w:r>
      <w:r w:rsidR="00DA1629">
        <w:t xml:space="preserve">both </w:t>
      </w:r>
      <w:r w:rsidR="00DD1172">
        <w:t>procedural and substantive issues,</w:t>
      </w:r>
      <w:r>
        <w:t xml:space="preserve"> </w:t>
      </w:r>
      <w:r w:rsidR="009D1FE5">
        <w:t xml:space="preserve">will normally be decided by consensus. If consensus cannot be reached, the question </w:t>
      </w:r>
      <w:r>
        <w:t>is to be decided by a majority of those members</w:t>
      </w:r>
      <w:r w:rsidR="00DA1629">
        <w:t>. I</w:t>
      </w:r>
      <w:r>
        <w:t>f there is not a majority in favour of a recommendation, the recommendation of the presiding member</w:t>
      </w:r>
      <w:r w:rsidR="00DA1629">
        <w:t xml:space="preserve"> </w:t>
      </w:r>
      <w:r w:rsidR="009D1FE5">
        <w:t xml:space="preserve">will </w:t>
      </w:r>
      <w:r w:rsidR="00DA1629">
        <w:t>prevail</w:t>
      </w:r>
      <w:r>
        <w:t xml:space="preserve">. </w:t>
      </w:r>
    </w:p>
    <w:p w:rsidR="00936C48" w:rsidRDefault="009D1FE5" w:rsidP="00936C48">
      <w:r>
        <w:t>In the case of disagreement between members about a recommendation in the report to the Minister, t</w:t>
      </w:r>
      <w:r w:rsidR="00936C48">
        <w:t>he report must also set out the other recommendation (r. 27(4)).</w:t>
      </w:r>
    </w:p>
    <w:p w:rsidR="00936C48" w:rsidRDefault="00936C48" w:rsidP="00936C48">
      <w:pPr>
        <w:pStyle w:val="Heading4"/>
        <w:numPr>
          <w:ilvl w:val="0"/>
          <w:numId w:val="0"/>
        </w:numPr>
      </w:pPr>
      <w:bookmarkStart w:id="92" w:name="_Toc332363525"/>
      <w:r>
        <w:t>3.</w:t>
      </w:r>
      <w:r w:rsidR="004A713C">
        <w:t>5</w:t>
      </w:r>
      <w:r>
        <w:t>.4</w:t>
      </w:r>
      <w:r>
        <w:tab/>
      </w:r>
      <w:proofErr w:type="spellStart"/>
      <w:r w:rsidR="00E55394">
        <w:t>ACCC</w:t>
      </w:r>
      <w:proofErr w:type="spellEnd"/>
      <w:r w:rsidR="00E55394">
        <w:t xml:space="preserve"> staff</w:t>
      </w:r>
      <w:r w:rsidR="00712A1A">
        <w:t xml:space="preserve"> and experts</w:t>
      </w:r>
      <w:bookmarkEnd w:id="92"/>
    </w:p>
    <w:p w:rsidR="00936C48" w:rsidRDefault="00936C48" w:rsidP="00936C48">
      <w:r>
        <w:t xml:space="preserve">Once the </w:t>
      </w:r>
      <w:proofErr w:type="spellStart"/>
      <w:r>
        <w:t>ACCC</w:t>
      </w:r>
      <w:proofErr w:type="spellEnd"/>
      <w:r>
        <w:t xml:space="preserve"> has been notified of a dispute which satisfies the pre-conditions for notification, the </w:t>
      </w:r>
      <w:proofErr w:type="spellStart"/>
      <w:r>
        <w:t>ACCC</w:t>
      </w:r>
      <w:proofErr w:type="spellEnd"/>
      <w:r>
        <w:t xml:space="preserve"> will</w:t>
      </w:r>
      <w:r w:rsidR="00D0107A">
        <w:t xml:space="preserve"> </w:t>
      </w:r>
      <w:r w:rsidR="00E55394">
        <w:t xml:space="preserve">inform the parties of the appropriate </w:t>
      </w:r>
      <w:proofErr w:type="spellStart"/>
      <w:r w:rsidR="00450432">
        <w:t>ACCC</w:t>
      </w:r>
      <w:proofErr w:type="spellEnd"/>
      <w:r w:rsidR="00450432">
        <w:t xml:space="preserve"> </w:t>
      </w:r>
      <w:r w:rsidR="004F00C8">
        <w:t xml:space="preserve">staff </w:t>
      </w:r>
      <w:r w:rsidR="00450432">
        <w:t>contact</w:t>
      </w:r>
      <w:r w:rsidR="004F00C8">
        <w:t>s</w:t>
      </w:r>
      <w:r w:rsidR="00450432">
        <w:t xml:space="preserve"> for the dispute.</w:t>
      </w:r>
      <w:r w:rsidR="00812D5E">
        <w:t xml:space="preserve"> </w:t>
      </w:r>
      <w:r w:rsidR="00033841">
        <w:t xml:space="preserve">Parties should note that </w:t>
      </w:r>
      <w:proofErr w:type="spellStart"/>
      <w:r w:rsidR="00812D5E">
        <w:t>ACCC</w:t>
      </w:r>
      <w:proofErr w:type="spellEnd"/>
      <w:r w:rsidR="00812D5E">
        <w:t xml:space="preserve"> </w:t>
      </w:r>
      <w:proofErr w:type="gramStart"/>
      <w:r w:rsidR="00812D5E">
        <w:t>staff do</w:t>
      </w:r>
      <w:proofErr w:type="gramEnd"/>
      <w:r w:rsidR="00812D5E">
        <w:t xml:space="preserve"> not have decision making responsibilities as this is the role of Commissioners.</w:t>
      </w:r>
    </w:p>
    <w:p w:rsidR="00936C48" w:rsidRDefault="00936C48" w:rsidP="00936C48">
      <w:r>
        <w:t xml:space="preserve">The </w:t>
      </w:r>
      <w:proofErr w:type="spellStart"/>
      <w:r w:rsidR="00B10C43">
        <w:t>ACCC</w:t>
      </w:r>
      <w:proofErr w:type="spellEnd"/>
      <w:r w:rsidR="00033841">
        <w:t>,</w:t>
      </w:r>
      <w:r w:rsidR="00B10C43">
        <w:t xml:space="preserve"> when</w:t>
      </w:r>
      <w:r>
        <w:t xml:space="preserve"> </w:t>
      </w:r>
      <w:r w:rsidR="00B07636">
        <w:t xml:space="preserve">inquiring into </w:t>
      </w:r>
      <w:r>
        <w:t>the dispute</w:t>
      </w:r>
      <w:r w:rsidR="00033841">
        <w:t xml:space="preserve">, </w:t>
      </w:r>
      <w:r>
        <w:t xml:space="preserve">may also engage an expert to </w:t>
      </w:r>
      <w:proofErr w:type="gramStart"/>
      <w:r>
        <w:t>advise</w:t>
      </w:r>
      <w:proofErr w:type="gramEnd"/>
      <w:r>
        <w:t xml:space="preserve"> on any matter relevant to the dispute. However, the role of the expert is to assist the </w:t>
      </w:r>
      <w:proofErr w:type="spellStart"/>
      <w:r>
        <w:t>ACCC</w:t>
      </w:r>
      <w:proofErr w:type="spellEnd"/>
      <w:r>
        <w:t xml:space="preserve"> with </w:t>
      </w:r>
      <w:r w:rsidR="004F00C8">
        <w:t>analysis of the dispute</w:t>
      </w:r>
      <w:r>
        <w:t xml:space="preserve"> and not to resolve the dispute through expert determination. </w:t>
      </w:r>
    </w:p>
    <w:p w:rsidR="00714F66" w:rsidRPr="0071178C" w:rsidRDefault="00D1452D" w:rsidP="00714F66">
      <w:pPr>
        <w:pBdr>
          <w:top w:val="single" w:sz="4" w:space="1" w:color="auto"/>
          <w:left w:val="single" w:sz="4" w:space="1" w:color="auto"/>
          <w:bottom w:val="single" w:sz="4" w:space="1" w:color="auto"/>
          <w:right w:val="single" w:sz="4" w:space="1" w:color="auto"/>
        </w:pBdr>
        <w:shd w:val="clear" w:color="auto" w:fill="C0C0C0"/>
        <w:spacing w:before="120" w:after="120"/>
        <w:rPr>
          <w:b/>
        </w:rPr>
      </w:pPr>
      <w:r w:rsidRPr="0071178C">
        <w:rPr>
          <w:b/>
        </w:rPr>
        <w:t>Chapter</w:t>
      </w:r>
      <w:r w:rsidR="00714F66" w:rsidRPr="0071178C">
        <w:rPr>
          <w:b/>
        </w:rPr>
        <w:t xml:space="preserve"> 3 questions</w:t>
      </w:r>
    </w:p>
    <w:p w:rsidR="00066287" w:rsidRDefault="00CF2B44">
      <w:pPr>
        <w:pBdr>
          <w:top w:val="single" w:sz="4" w:space="1" w:color="auto"/>
          <w:left w:val="single" w:sz="4" w:space="1" w:color="auto"/>
          <w:bottom w:val="single" w:sz="4" w:space="1" w:color="auto"/>
          <w:right w:val="single" w:sz="4" w:space="1" w:color="auto"/>
        </w:pBdr>
        <w:shd w:val="clear" w:color="auto" w:fill="C0C0C0"/>
        <w:spacing w:before="120" w:after="120"/>
        <w:ind w:left="720" w:hanging="720"/>
      </w:pPr>
      <w:r>
        <w:t xml:space="preserve">Q </w:t>
      </w:r>
      <w:r w:rsidR="0095185F">
        <w:t>3.1</w:t>
      </w:r>
      <w:r w:rsidR="0095185F">
        <w:tab/>
        <w:t xml:space="preserve">Do you have any </w:t>
      </w:r>
      <w:r w:rsidR="00714F66" w:rsidRPr="0071178C">
        <w:t>comments on the proposed use of a pre-notification process in a bulk interconnection service dispute</w:t>
      </w:r>
      <w:r w:rsidR="0095185F">
        <w:t>?</w:t>
      </w:r>
      <w:r w:rsidR="00714F66" w:rsidRPr="0071178C">
        <w:t xml:space="preserve">  </w:t>
      </w:r>
    </w:p>
    <w:p w:rsidR="00066287" w:rsidRDefault="00CF2B44">
      <w:pPr>
        <w:pBdr>
          <w:top w:val="single" w:sz="4" w:space="1" w:color="auto"/>
          <w:left w:val="single" w:sz="4" w:space="1" w:color="auto"/>
          <w:bottom w:val="single" w:sz="4" w:space="1" w:color="auto"/>
          <w:right w:val="single" w:sz="4" w:space="1" w:color="auto"/>
        </w:pBdr>
        <w:shd w:val="clear" w:color="auto" w:fill="C0C0C0"/>
        <w:spacing w:before="120" w:after="120"/>
        <w:ind w:left="720" w:hanging="720"/>
      </w:pPr>
      <w:r>
        <w:t xml:space="preserve">Q </w:t>
      </w:r>
      <w:r w:rsidR="0095185F">
        <w:t>3.2</w:t>
      </w:r>
      <w:r w:rsidR="0095185F">
        <w:tab/>
        <w:t xml:space="preserve">Do you have </w:t>
      </w:r>
      <w:r w:rsidR="00714F66" w:rsidRPr="0071178C">
        <w:t xml:space="preserve">any other comments on </w:t>
      </w:r>
      <w:r w:rsidR="00885ABD">
        <w:t xml:space="preserve">how </w:t>
      </w:r>
      <w:r w:rsidR="00714F66" w:rsidRPr="0071178C">
        <w:t xml:space="preserve">the </w:t>
      </w:r>
      <w:proofErr w:type="spellStart"/>
      <w:r w:rsidR="00714F66" w:rsidRPr="0071178C">
        <w:t>ACCC</w:t>
      </w:r>
      <w:proofErr w:type="spellEnd"/>
      <w:r w:rsidR="00714F66" w:rsidRPr="0071178C">
        <w:t xml:space="preserve"> </w:t>
      </w:r>
      <w:r w:rsidR="00885ABD">
        <w:t xml:space="preserve">would </w:t>
      </w:r>
      <w:r w:rsidR="00714F66" w:rsidRPr="0071178C">
        <w:t>commence</w:t>
      </w:r>
      <w:r w:rsidR="00397C7C" w:rsidRPr="0071178C">
        <w:t xml:space="preserve"> </w:t>
      </w:r>
      <w:r w:rsidR="00714F66" w:rsidRPr="0071178C">
        <w:t xml:space="preserve">a bulk interconnection service inquiry that are discussed in this </w:t>
      </w:r>
      <w:r w:rsidR="00D1452D" w:rsidRPr="0071178C">
        <w:t>chapter</w:t>
      </w:r>
      <w:r w:rsidR="0095185F">
        <w:t>?</w:t>
      </w:r>
    </w:p>
    <w:p w:rsidR="00936C48" w:rsidRPr="00703D65" w:rsidRDefault="00761B3C" w:rsidP="00033841">
      <w:pPr>
        <w:pStyle w:val="Heading2"/>
        <w:numPr>
          <w:ilvl w:val="0"/>
          <w:numId w:val="0"/>
        </w:numPr>
        <w:ind w:left="720" w:hanging="720"/>
      </w:pPr>
      <w:r>
        <w:br w:type="page"/>
      </w:r>
      <w:bookmarkStart w:id="93" w:name="_Toc332363526"/>
      <w:r w:rsidR="00936C48">
        <w:t>4</w:t>
      </w:r>
      <w:r w:rsidR="00936C48">
        <w:tab/>
      </w:r>
      <w:r w:rsidR="004F00C8">
        <w:t>Stages</w:t>
      </w:r>
      <w:r w:rsidR="004F00C8" w:rsidRPr="00703D65">
        <w:t xml:space="preserve"> </w:t>
      </w:r>
      <w:r w:rsidR="00936C48" w:rsidRPr="00703D65">
        <w:t>of an inquiry</w:t>
      </w:r>
      <w:r w:rsidR="00CF656C">
        <w:t xml:space="preserve"> after notification of a dispute</w:t>
      </w:r>
      <w:bookmarkEnd w:id="93"/>
    </w:p>
    <w:p w:rsidR="00CD21D4" w:rsidRDefault="00936C48" w:rsidP="00936C48">
      <w:r>
        <w:t xml:space="preserve">There are </w:t>
      </w:r>
      <w:r w:rsidR="0009531C">
        <w:t xml:space="preserve">three </w:t>
      </w:r>
      <w:r>
        <w:t xml:space="preserve">phases to </w:t>
      </w:r>
      <w:r w:rsidR="00B14B82">
        <w:t xml:space="preserve">an </w:t>
      </w:r>
      <w:r>
        <w:t>inquir</w:t>
      </w:r>
      <w:r w:rsidR="00B14B82">
        <w:t>y</w:t>
      </w:r>
      <w:r w:rsidR="00CF656C">
        <w:t xml:space="preserve"> </w:t>
      </w:r>
      <w:r w:rsidR="0055666B">
        <w:t xml:space="preserve">after </w:t>
      </w:r>
      <w:r w:rsidR="00CF656C">
        <w:t xml:space="preserve">the </w:t>
      </w:r>
      <w:proofErr w:type="spellStart"/>
      <w:r w:rsidR="00CF656C">
        <w:t>ACCC</w:t>
      </w:r>
      <w:proofErr w:type="spellEnd"/>
      <w:r w:rsidR="00CF656C">
        <w:t xml:space="preserve"> receives a </w:t>
      </w:r>
      <w:r w:rsidR="009D1FE5">
        <w:t xml:space="preserve">valid </w:t>
      </w:r>
      <w:r w:rsidR="00CF656C">
        <w:t>notification of dispute</w:t>
      </w:r>
      <w:r>
        <w:t xml:space="preserve"> – the </w:t>
      </w:r>
      <w:r w:rsidR="0009531C">
        <w:t xml:space="preserve">pre-commencement, </w:t>
      </w:r>
      <w:r w:rsidR="00A50077">
        <w:t xml:space="preserve">inquiry </w:t>
      </w:r>
      <w:r>
        <w:t xml:space="preserve">assessment and </w:t>
      </w:r>
      <w:r w:rsidR="00FF6668">
        <w:t>recommendation</w:t>
      </w:r>
      <w:r w:rsidR="00BB4901">
        <w:t xml:space="preserve">, which </w:t>
      </w:r>
      <w:r>
        <w:t>may overlap</w:t>
      </w:r>
      <w:r w:rsidR="00BB4901">
        <w:t xml:space="preserve"> in some situations</w:t>
      </w:r>
      <w:r>
        <w:t>.</w:t>
      </w:r>
      <w:r w:rsidR="00893830">
        <w:t xml:space="preserve">  </w:t>
      </w:r>
    </w:p>
    <w:p w:rsidR="009D0887" w:rsidRDefault="009D0887" w:rsidP="009D0887">
      <w:r>
        <w:t xml:space="preserve">In </w:t>
      </w:r>
      <w:r w:rsidR="00B940C5">
        <w:t>communicating</w:t>
      </w:r>
      <w:r>
        <w:t xml:space="preserve"> during the inquiry, the </w:t>
      </w:r>
      <w:proofErr w:type="spellStart"/>
      <w:r>
        <w:t>ACCC</w:t>
      </w:r>
      <w:proofErr w:type="spellEnd"/>
      <w:r>
        <w:t xml:space="preserve"> will establish appropriate procedures to ensure any correspondence issued by it a</w:t>
      </w:r>
      <w:r w:rsidR="00B940C5">
        <w:t>s part of its consideration of the</w:t>
      </w:r>
      <w:r>
        <w:t xml:space="preserve"> </w:t>
      </w:r>
      <w:r w:rsidR="009E748C">
        <w:t>bulk interconnection service</w:t>
      </w:r>
      <w:r>
        <w:t xml:space="preserve"> dispute is received </w:t>
      </w:r>
      <w:r w:rsidR="00B940C5">
        <w:t xml:space="preserve">in a timely way </w:t>
      </w:r>
      <w:r>
        <w:t xml:space="preserve">by </w:t>
      </w:r>
      <w:r w:rsidR="00B940C5">
        <w:t xml:space="preserve">all </w:t>
      </w:r>
      <w:r>
        <w:t>parties</w:t>
      </w:r>
      <w:r w:rsidR="00B940C5">
        <w:t>.</w:t>
      </w:r>
    </w:p>
    <w:p w:rsidR="00936C48" w:rsidRDefault="00936C48" w:rsidP="00936C48">
      <w:pPr>
        <w:pStyle w:val="Heading3"/>
        <w:numPr>
          <w:ilvl w:val="0"/>
          <w:numId w:val="0"/>
        </w:numPr>
      </w:pPr>
      <w:bookmarkStart w:id="94" w:name="_Toc332363527"/>
      <w:r w:rsidRPr="002F7571">
        <w:t>4.1</w:t>
      </w:r>
      <w:r w:rsidRPr="002F7571">
        <w:tab/>
      </w:r>
      <w:bookmarkStart w:id="95" w:name="OLE_LINK30"/>
      <w:bookmarkStart w:id="96" w:name="OLE_LINK31"/>
      <w:r w:rsidRPr="002F7571">
        <w:t xml:space="preserve">The </w:t>
      </w:r>
      <w:r w:rsidR="00397C7C">
        <w:t>P</w:t>
      </w:r>
      <w:r w:rsidR="00397C7C" w:rsidRPr="002F7571">
        <w:t>re</w:t>
      </w:r>
      <w:r w:rsidR="00F81D54">
        <w:t>-commenc</w:t>
      </w:r>
      <w:r w:rsidR="008C4CF8">
        <w:t>e</w:t>
      </w:r>
      <w:r w:rsidR="00F81D54">
        <w:t>ment</w:t>
      </w:r>
      <w:r w:rsidR="00F81D54" w:rsidRPr="002F7571">
        <w:t xml:space="preserve"> </w:t>
      </w:r>
      <w:bookmarkEnd w:id="95"/>
      <w:bookmarkEnd w:id="96"/>
      <w:r w:rsidR="004F00C8">
        <w:t>stage</w:t>
      </w:r>
      <w:bookmarkEnd w:id="94"/>
    </w:p>
    <w:p w:rsidR="000B464F" w:rsidRDefault="009D1FE5" w:rsidP="009D1FE5">
      <w:r>
        <w:t xml:space="preserve">This </w:t>
      </w:r>
      <w:r w:rsidR="009D0887">
        <w:t xml:space="preserve">part of the guide discusses the period from the notification of the dispute until the </w:t>
      </w:r>
      <w:proofErr w:type="spellStart"/>
      <w:r w:rsidR="009D0887">
        <w:t>ACCC</w:t>
      </w:r>
      <w:proofErr w:type="spellEnd"/>
      <w:r w:rsidR="009D0887">
        <w:t xml:space="preserve"> commences the inquiry.</w:t>
      </w:r>
    </w:p>
    <w:p w:rsidR="00936C48" w:rsidRPr="00703D65" w:rsidRDefault="00936C48" w:rsidP="00936C48">
      <w:pPr>
        <w:pStyle w:val="Heading4"/>
        <w:numPr>
          <w:ilvl w:val="0"/>
          <w:numId w:val="0"/>
        </w:numPr>
      </w:pPr>
      <w:r w:rsidRPr="00703D65">
        <w:t xml:space="preserve"> </w:t>
      </w:r>
      <w:bookmarkStart w:id="97" w:name="_Toc332363528"/>
      <w:r>
        <w:t>4.1.1</w:t>
      </w:r>
      <w:r>
        <w:tab/>
      </w:r>
      <w:r w:rsidRPr="00703D65">
        <w:t xml:space="preserve">Notifying </w:t>
      </w:r>
      <w:r w:rsidR="004422D7">
        <w:t xml:space="preserve">Australia Post and </w:t>
      </w:r>
      <w:r w:rsidRPr="00703D65">
        <w:t>other persons of the dispute</w:t>
      </w:r>
      <w:bookmarkEnd w:id="97"/>
    </w:p>
    <w:p w:rsidR="00D246ED" w:rsidRDefault="00D246ED" w:rsidP="002A6108">
      <w:r w:rsidRPr="00D246ED">
        <w:t xml:space="preserve">As soon as practicable after </w:t>
      </w:r>
      <w:r w:rsidR="00686C3E">
        <w:t xml:space="preserve">the </w:t>
      </w:r>
      <w:proofErr w:type="spellStart"/>
      <w:r w:rsidR="00686C3E">
        <w:t>ACCC</w:t>
      </w:r>
      <w:proofErr w:type="spellEnd"/>
      <w:r w:rsidR="00686C3E">
        <w:t xml:space="preserve"> receives</w:t>
      </w:r>
      <w:r w:rsidR="00686C3E" w:rsidRPr="00BB4901">
        <w:t xml:space="preserve"> </w:t>
      </w:r>
      <w:r w:rsidR="0055666B">
        <w:t xml:space="preserve">notice </w:t>
      </w:r>
      <w:r w:rsidR="00BB4901">
        <w:t xml:space="preserve">of a dispute </w:t>
      </w:r>
      <w:r w:rsidRPr="00D246ED">
        <w:t xml:space="preserve">the </w:t>
      </w:r>
      <w:proofErr w:type="spellStart"/>
      <w:r w:rsidRPr="00D246ED">
        <w:t>ACCC</w:t>
      </w:r>
      <w:proofErr w:type="spellEnd"/>
      <w:r w:rsidRPr="00D246ED">
        <w:t xml:space="preserve"> must:</w:t>
      </w:r>
    </w:p>
    <w:p w:rsidR="00F50604" w:rsidRDefault="00936C48" w:rsidP="00D246ED">
      <w:pPr>
        <w:numPr>
          <w:ilvl w:val="0"/>
          <w:numId w:val="39"/>
        </w:numPr>
      </w:pPr>
      <w:r>
        <w:t>give written notice to</w:t>
      </w:r>
      <w:r w:rsidR="0055666B">
        <w:t xml:space="preserve"> both</w:t>
      </w:r>
      <w:r>
        <w:t xml:space="preserve"> the complainant</w:t>
      </w:r>
      <w:r w:rsidR="00F50604">
        <w:t xml:space="preserve"> and </w:t>
      </w:r>
      <w:r w:rsidR="0055666B">
        <w:t xml:space="preserve">to </w:t>
      </w:r>
      <w:r>
        <w:t>Australia Post</w:t>
      </w:r>
      <w:r w:rsidR="002A6108">
        <w:t xml:space="preserve"> </w:t>
      </w:r>
      <w:r w:rsidR="00F50604">
        <w:t>identifying the date</w:t>
      </w:r>
      <w:r w:rsidR="00686C3E">
        <w:t xml:space="preserve"> (r. 10(a))</w:t>
      </w:r>
      <w:r w:rsidR="00F50604">
        <w:t xml:space="preserve">: </w:t>
      </w:r>
    </w:p>
    <w:p w:rsidR="00D246ED" w:rsidRDefault="002A6108" w:rsidP="002A6108">
      <w:pPr>
        <w:numPr>
          <w:ilvl w:val="0"/>
          <w:numId w:val="38"/>
        </w:numPr>
      </w:pPr>
      <w:r>
        <w:t xml:space="preserve">on which the </w:t>
      </w:r>
      <w:proofErr w:type="spellStart"/>
      <w:r w:rsidR="00686C3E">
        <w:t>ACCC</w:t>
      </w:r>
      <w:proofErr w:type="spellEnd"/>
      <w:r w:rsidR="00686C3E">
        <w:t xml:space="preserve"> received the notification</w:t>
      </w:r>
    </w:p>
    <w:p w:rsidR="00D246ED" w:rsidRDefault="002A6108" w:rsidP="002A6108">
      <w:pPr>
        <w:numPr>
          <w:ilvl w:val="0"/>
          <w:numId w:val="38"/>
        </w:numPr>
      </w:pPr>
      <w:r>
        <w:t xml:space="preserve">on which the </w:t>
      </w:r>
      <w:proofErr w:type="spellStart"/>
      <w:r>
        <w:t>ACCC</w:t>
      </w:r>
      <w:proofErr w:type="spellEnd"/>
      <w:r>
        <w:t xml:space="preserve"> must</w:t>
      </w:r>
      <w:r w:rsidR="00F50604">
        <w:t xml:space="preserve"> </w:t>
      </w:r>
      <w:r>
        <w:t>commence an inquiry into the dispute</w:t>
      </w:r>
      <w:r w:rsidR="00F50604">
        <w:t xml:space="preserve"> </w:t>
      </w:r>
    </w:p>
    <w:p w:rsidR="00456285" w:rsidRDefault="002A6108" w:rsidP="00033841">
      <w:pPr>
        <w:numPr>
          <w:ilvl w:val="0"/>
          <w:numId w:val="38"/>
        </w:numPr>
      </w:pPr>
      <w:r>
        <w:t xml:space="preserve">by which the </w:t>
      </w:r>
      <w:proofErr w:type="spellStart"/>
      <w:r>
        <w:t>ACCC</w:t>
      </w:r>
      <w:proofErr w:type="spellEnd"/>
      <w:r>
        <w:t xml:space="preserve"> must complete the inquiry</w:t>
      </w:r>
      <w:r w:rsidR="006755F5">
        <w:t xml:space="preserve"> </w:t>
      </w:r>
    </w:p>
    <w:p w:rsidR="00033841" w:rsidRDefault="00033841" w:rsidP="00033841">
      <w:pPr>
        <w:numPr>
          <w:ilvl w:val="0"/>
          <w:numId w:val="38"/>
        </w:numPr>
      </w:pPr>
      <w:r>
        <w:t>the substance of regulations 13(1) and 23(1) and (2)</w:t>
      </w:r>
    </w:p>
    <w:p w:rsidR="002A6108" w:rsidRDefault="002A6108" w:rsidP="00456285">
      <w:pPr>
        <w:numPr>
          <w:ilvl w:val="0"/>
          <w:numId w:val="39"/>
        </w:numPr>
      </w:pPr>
      <w:r>
        <w:t>give Australia Post a copy of</w:t>
      </w:r>
      <w:r w:rsidR="00FF6F54">
        <w:t xml:space="preserve"> (r. 10(</w:t>
      </w:r>
      <w:r w:rsidR="004F00C8">
        <w:t>b</w:t>
      </w:r>
      <w:r w:rsidR="00FF6F54">
        <w:t>))</w:t>
      </w:r>
      <w:r>
        <w:t>:</w:t>
      </w:r>
      <w:r w:rsidR="006755F5">
        <w:t xml:space="preserve"> </w:t>
      </w:r>
    </w:p>
    <w:p w:rsidR="00A95C6C" w:rsidRPr="00A95C6C" w:rsidRDefault="00A95C6C" w:rsidP="00A95C6C">
      <w:pPr>
        <w:pStyle w:val="BodyText"/>
        <w:numPr>
          <w:ilvl w:val="1"/>
          <w:numId w:val="75"/>
        </w:numPr>
        <w:tabs>
          <w:tab w:val="clear" w:pos="1080"/>
        </w:tabs>
        <w:ind w:left="709"/>
      </w:pPr>
      <w:r w:rsidRPr="00A95C6C">
        <w:t>the notice of dispute</w:t>
      </w:r>
    </w:p>
    <w:p w:rsidR="00A95C6C" w:rsidRPr="00A95C6C" w:rsidRDefault="00A95C6C" w:rsidP="00A95C6C">
      <w:pPr>
        <w:pStyle w:val="BodyText"/>
        <w:numPr>
          <w:ilvl w:val="1"/>
          <w:numId w:val="75"/>
        </w:numPr>
        <w:tabs>
          <w:tab w:val="clear" w:pos="1080"/>
        </w:tabs>
        <w:ind w:left="709"/>
      </w:pPr>
      <w:r w:rsidRPr="00A95C6C">
        <w:t>any document that accompanies the formal notification of dispute</w:t>
      </w:r>
      <w:r w:rsidRPr="00A95C6C" w:rsidDel="000B5923">
        <w:t xml:space="preserve"> </w:t>
      </w:r>
      <w:r w:rsidRPr="00A95C6C">
        <w:t>(subject to confidentiality provisions in r. 21)</w:t>
      </w:r>
    </w:p>
    <w:p w:rsidR="002072DD" w:rsidRDefault="000B5923">
      <w:pPr>
        <w:numPr>
          <w:ilvl w:val="0"/>
          <w:numId w:val="63"/>
        </w:numPr>
      </w:pPr>
      <w:r>
        <w:t xml:space="preserve">inform in writing </w:t>
      </w:r>
      <w:r w:rsidR="002A6108">
        <w:t xml:space="preserve">any other person the </w:t>
      </w:r>
      <w:proofErr w:type="spellStart"/>
      <w:r w:rsidR="002A6108">
        <w:t>ACCC</w:t>
      </w:r>
      <w:proofErr w:type="spellEnd"/>
      <w:r w:rsidR="002A6108">
        <w:t xml:space="preserve"> thinks might want to become a party to the inquiry</w:t>
      </w:r>
      <w:r w:rsidR="00FF6F54">
        <w:t xml:space="preserve"> </w:t>
      </w:r>
      <w:r w:rsidR="00CD7558">
        <w:t>(r. 10(c</w:t>
      </w:r>
      <w:r w:rsidR="00FF6F54">
        <w:t>))</w:t>
      </w:r>
      <w:r w:rsidR="002A6108">
        <w:tab/>
      </w:r>
    </w:p>
    <w:p w:rsidR="002A6108" w:rsidRDefault="0055666B" w:rsidP="002A6108">
      <w:pPr>
        <w:numPr>
          <w:ilvl w:val="0"/>
          <w:numId w:val="39"/>
        </w:numPr>
      </w:pPr>
      <w:proofErr w:type="gramStart"/>
      <w:r>
        <w:t>give</w:t>
      </w:r>
      <w:proofErr w:type="gramEnd"/>
      <w:r>
        <w:t xml:space="preserve"> </w:t>
      </w:r>
      <w:r w:rsidR="004422D7">
        <w:t xml:space="preserve">the </w:t>
      </w:r>
      <w:r>
        <w:t>notice of the dispute to the</w:t>
      </w:r>
      <w:r w:rsidR="002A6108">
        <w:t xml:space="preserve"> public in such manner as it thinks fit</w:t>
      </w:r>
      <w:r w:rsidR="00CD7558">
        <w:t xml:space="preserve"> (r. 10(</w:t>
      </w:r>
      <w:r w:rsidR="00724B8F">
        <w:t>d</w:t>
      </w:r>
      <w:r w:rsidR="00CD7558">
        <w:t>))</w:t>
      </w:r>
      <w:r w:rsidR="002A6108">
        <w:t>.</w:t>
      </w:r>
      <w:r w:rsidR="00CD434F">
        <w:t xml:space="preserve"> The </w:t>
      </w:r>
      <w:proofErr w:type="spellStart"/>
      <w:r w:rsidR="00CD434F">
        <w:t>ACCC</w:t>
      </w:r>
      <w:proofErr w:type="spellEnd"/>
      <w:r w:rsidR="00CD434F">
        <w:t xml:space="preserve"> will generally </w:t>
      </w:r>
      <w:r w:rsidR="000B5923">
        <w:t>notify</w:t>
      </w:r>
      <w:r w:rsidR="00CD434F">
        <w:t xml:space="preserve"> the public </w:t>
      </w:r>
      <w:r w:rsidR="00317999">
        <w:t>by an entry on its website.</w:t>
      </w:r>
    </w:p>
    <w:p w:rsidR="00C56819" w:rsidRDefault="00C56819" w:rsidP="00C56819">
      <w:r>
        <w:t xml:space="preserve">Members of the public who consider that they have a sufficient interest in the dispute may apply in writing to the </w:t>
      </w:r>
      <w:proofErr w:type="spellStart"/>
      <w:r>
        <w:t>ACCC</w:t>
      </w:r>
      <w:proofErr w:type="spellEnd"/>
      <w:r>
        <w:t xml:space="preserve">, with reasons, to be made a party to the </w:t>
      </w:r>
      <w:r w:rsidR="00DD1172">
        <w:t>inquiry</w:t>
      </w:r>
      <w:r>
        <w:t>.</w:t>
      </w:r>
    </w:p>
    <w:p w:rsidR="00936C48" w:rsidRPr="002F7571" w:rsidRDefault="00936C48" w:rsidP="00936C48">
      <w:pPr>
        <w:pStyle w:val="Heading4"/>
        <w:numPr>
          <w:ilvl w:val="0"/>
          <w:numId w:val="0"/>
        </w:numPr>
      </w:pPr>
      <w:bookmarkStart w:id="98" w:name="_Toc332363529"/>
      <w:r w:rsidRPr="002F7571">
        <w:t>4.1.2</w:t>
      </w:r>
      <w:r w:rsidRPr="002F7571">
        <w:tab/>
      </w:r>
      <w:smartTag w:uri="urn:schemas-microsoft-com:office:smarttags" w:element="place">
        <w:smartTag w:uri="urn:schemas-microsoft-com:office:smarttags" w:element="country-region">
          <w:r w:rsidRPr="002F7571">
            <w:t>Australia</w:t>
          </w:r>
        </w:smartTag>
      </w:smartTag>
      <w:r w:rsidRPr="002F7571">
        <w:t xml:space="preserve"> Post response to notification of a dispute</w:t>
      </w:r>
      <w:bookmarkEnd w:id="98"/>
    </w:p>
    <w:p w:rsidR="00936C48" w:rsidRDefault="00936C48" w:rsidP="00936C48">
      <w:r>
        <w:t xml:space="preserve">Within 7 days of receiving a notification of a dispute from the </w:t>
      </w:r>
      <w:proofErr w:type="spellStart"/>
      <w:r>
        <w:t>ACCC</w:t>
      </w:r>
      <w:proofErr w:type="spellEnd"/>
      <w:r w:rsidR="004F00C8">
        <w:t>,</w:t>
      </w:r>
      <w:r>
        <w:t xml:space="preserve"> Australia Post is required to </w:t>
      </w:r>
      <w:r w:rsidR="000B5923">
        <w:t>respond in writing</w:t>
      </w:r>
      <w:r>
        <w:t xml:space="preserve"> to the </w:t>
      </w:r>
      <w:proofErr w:type="spellStart"/>
      <w:r>
        <w:t>ACCC</w:t>
      </w:r>
      <w:proofErr w:type="spellEnd"/>
      <w:r>
        <w:t xml:space="preserve"> stating:</w:t>
      </w:r>
    </w:p>
    <w:p w:rsidR="00936C48" w:rsidRDefault="007432E1" w:rsidP="007F7960">
      <w:pPr>
        <w:numPr>
          <w:ilvl w:val="0"/>
          <w:numId w:val="35"/>
        </w:numPr>
      </w:pPr>
      <w:r>
        <w:t>w</w:t>
      </w:r>
      <w:r w:rsidR="00936C48">
        <w:t xml:space="preserve">hether Australia Post has made an offer that is more advantageous to the complainant </w:t>
      </w:r>
      <w:r w:rsidR="004422D7">
        <w:t xml:space="preserve">than </w:t>
      </w:r>
      <w:r w:rsidR="00936C48">
        <w:t>the standard term</w:t>
      </w:r>
      <w:r w:rsidR="004F00C8">
        <w:t>s</w:t>
      </w:r>
      <w:r w:rsidR="00936C48">
        <w:t xml:space="preserve"> and conditions for the bulk interconn</w:t>
      </w:r>
      <w:r w:rsidR="00893830">
        <w:t>ection service (r. 11(1)(a))</w:t>
      </w:r>
    </w:p>
    <w:p w:rsidR="00CD7558" w:rsidRDefault="00CD7558" w:rsidP="00CD7558">
      <w:pPr>
        <w:numPr>
          <w:ilvl w:val="0"/>
          <w:numId w:val="35"/>
        </w:numPr>
      </w:pPr>
      <w:r w:rsidRPr="00CD7558">
        <w:t>if an offer has been made</w:t>
      </w:r>
      <w:r w:rsidR="004422D7">
        <w:t xml:space="preserve">, the </w:t>
      </w:r>
      <w:r w:rsidRPr="00CD7558">
        <w:t>details of the offer and of the method by which any rate reduction is to be applied</w:t>
      </w:r>
      <w:r>
        <w:t xml:space="preserve"> and </w:t>
      </w:r>
      <w:r w:rsidR="00C47E29">
        <w:t xml:space="preserve">the period during which the rate reduction is to be applied </w:t>
      </w:r>
      <w:r w:rsidR="00D66596">
        <w:t xml:space="preserve">and </w:t>
      </w:r>
      <w:r>
        <w:t xml:space="preserve">has been </w:t>
      </w:r>
      <w:r w:rsidRPr="00CD7558">
        <w:t>calculated</w:t>
      </w:r>
      <w:r>
        <w:t xml:space="preserve"> (r. 11(1)(b))</w:t>
      </w:r>
    </w:p>
    <w:p w:rsidR="00936C48" w:rsidRDefault="004422D7" w:rsidP="00CD7558">
      <w:pPr>
        <w:numPr>
          <w:ilvl w:val="0"/>
          <w:numId w:val="35"/>
        </w:numPr>
      </w:pPr>
      <w:r>
        <w:t xml:space="preserve">if </w:t>
      </w:r>
      <w:r w:rsidR="00936C48">
        <w:t>an offer has not been made</w:t>
      </w:r>
      <w:r w:rsidR="004F00C8">
        <w:t>,</w:t>
      </w:r>
      <w:r w:rsidR="00936C48">
        <w:t xml:space="preserve"> Australia Post is required to state the reasons why the  standard term</w:t>
      </w:r>
      <w:r w:rsidR="004F00C8">
        <w:t>s</w:t>
      </w:r>
      <w:r w:rsidR="00936C48">
        <w:t xml:space="preserve"> and conditions for the bulk interconnection service are appropriate (r</w:t>
      </w:r>
      <w:r w:rsidR="00255212">
        <w:t>. </w:t>
      </w:r>
      <w:r w:rsidR="00936C48">
        <w:t>11(1)(c)</w:t>
      </w:r>
      <w:r>
        <w:t>)</w:t>
      </w:r>
    </w:p>
    <w:p w:rsidR="00CD7558" w:rsidRDefault="00CD7558" w:rsidP="007432E1">
      <w:r w:rsidRPr="00CD7558">
        <w:t xml:space="preserve">Any rate reduction method used by </w:t>
      </w:r>
      <w:r w:rsidR="004E2B4B" w:rsidRPr="00CD7558">
        <w:t>Australia</w:t>
      </w:r>
      <w:r w:rsidRPr="00CD7558">
        <w:t xml:space="preserve"> Post must show the component that is Australia Post’s estimate of the average transport costs per letter avoided in relation to letters lodged with Australia Post for delivery in accordance with the offer</w:t>
      </w:r>
      <w:r>
        <w:t xml:space="preserve"> (r. 11(2</w:t>
      </w:r>
      <w:r w:rsidR="00B27D74">
        <w:t>)</w:t>
      </w:r>
      <w:r w:rsidR="004422D7">
        <w:t>)</w:t>
      </w:r>
      <w:r w:rsidR="00B27D74">
        <w:t>.</w:t>
      </w:r>
    </w:p>
    <w:p w:rsidR="004A713C" w:rsidRDefault="004A713C" w:rsidP="004A713C">
      <w:pPr>
        <w:pStyle w:val="Heading4"/>
        <w:numPr>
          <w:ilvl w:val="0"/>
          <w:numId w:val="0"/>
        </w:numPr>
        <w:ind w:left="864" w:hanging="864"/>
      </w:pPr>
      <w:bookmarkStart w:id="99" w:name="_Toc332363530"/>
      <w:r>
        <w:t>4.1.3</w:t>
      </w:r>
      <w:r>
        <w:tab/>
      </w:r>
      <w:r w:rsidRPr="006E3E70">
        <w:t>Circumstances where an inquiry should not be undertaken</w:t>
      </w:r>
      <w:bookmarkEnd w:id="99"/>
    </w:p>
    <w:p w:rsidR="00D66596" w:rsidRPr="00D66596" w:rsidRDefault="00D66596" w:rsidP="00D66596">
      <w:r>
        <w:t xml:space="preserve">The </w:t>
      </w:r>
      <w:proofErr w:type="spellStart"/>
      <w:r>
        <w:t>ACCC</w:t>
      </w:r>
      <w:proofErr w:type="spellEnd"/>
      <w:r>
        <w:t xml:space="preserve"> must not undertake an inquiry if the complainant has withdrawn notification of the dispute (r. 13(1</w:t>
      </w:r>
      <w:proofErr w:type="gramStart"/>
      <w:r>
        <w:t>)(</w:t>
      </w:r>
      <w:proofErr w:type="gramEnd"/>
      <w:r>
        <w:t xml:space="preserve">a)).  </w:t>
      </w:r>
    </w:p>
    <w:p w:rsidR="004A713C" w:rsidRDefault="004A713C" w:rsidP="004A713C">
      <w:r>
        <w:t xml:space="preserve">The </w:t>
      </w:r>
      <w:proofErr w:type="spellStart"/>
      <w:r>
        <w:t>AP</w:t>
      </w:r>
      <w:r w:rsidR="00C47E29">
        <w:t>C</w:t>
      </w:r>
      <w:r>
        <w:t>R</w:t>
      </w:r>
      <w:proofErr w:type="spellEnd"/>
      <w:r>
        <w:t xml:space="preserve"> </w:t>
      </w:r>
      <w:r w:rsidR="00D66596">
        <w:t xml:space="preserve">also </w:t>
      </w:r>
      <w:r>
        <w:t>require</w:t>
      </w:r>
      <w:r w:rsidR="00D66596">
        <w:t>s</w:t>
      </w:r>
      <w:r>
        <w:t xml:space="preserve"> that where the </w:t>
      </w:r>
      <w:proofErr w:type="spellStart"/>
      <w:r>
        <w:t>ACCC</w:t>
      </w:r>
      <w:proofErr w:type="spellEnd"/>
      <w:r>
        <w:t xml:space="preserve"> reasonably believes the dispute is trivial, misconceived or lacking in substance, or that the dispute arises from negotiations between Australia Post and the complainant that were not conducted by the complainant in good faith, it must not undertake an inquiry (r. 13(1)</w:t>
      </w:r>
      <w:r w:rsidR="00D66596">
        <w:t>(b)</w:t>
      </w:r>
      <w:r>
        <w:t xml:space="preserve">). </w:t>
      </w:r>
    </w:p>
    <w:p w:rsidR="00D815F9" w:rsidRDefault="00D815F9" w:rsidP="00D815F9">
      <w:r>
        <w:t xml:space="preserve">The </w:t>
      </w:r>
      <w:proofErr w:type="spellStart"/>
      <w:r>
        <w:t>ACCC</w:t>
      </w:r>
      <w:proofErr w:type="spellEnd"/>
      <w:r>
        <w:t xml:space="preserve"> must not undertake an inquiry </w:t>
      </w:r>
      <w:r w:rsidR="00D40360">
        <w:t>i</w:t>
      </w:r>
      <w:r>
        <w:t xml:space="preserve">f the complainant does not, within 7 days of being requested by the </w:t>
      </w:r>
      <w:proofErr w:type="spellStart"/>
      <w:r>
        <w:t>ACCC</w:t>
      </w:r>
      <w:proofErr w:type="spellEnd"/>
      <w:r>
        <w:t xml:space="preserve"> to do so, give the </w:t>
      </w:r>
      <w:proofErr w:type="spellStart"/>
      <w:r>
        <w:t>ACCC</w:t>
      </w:r>
      <w:proofErr w:type="spellEnd"/>
      <w:r>
        <w:t xml:space="preserve"> sufficient information to enable the </w:t>
      </w:r>
      <w:proofErr w:type="spellStart"/>
      <w:r>
        <w:t>ACCC</w:t>
      </w:r>
      <w:proofErr w:type="spellEnd"/>
      <w:r>
        <w:t xml:space="preserve"> to satisfy itself that </w:t>
      </w:r>
      <w:r w:rsidR="00D40360">
        <w:t>r. 13(1)(b)) does not apply (r. 13(1)(c)).</w:t>
      </w:r>
    </w:p>
    <w:p w:rsidR="00D815F9" w:rsidRDefault="00D815F9" w:rsidP="00D815F9">
      <w:r>
        <w:t xml:space="preserve">If the </w:t>
      </w:r>
      <w:proofErr w:type="spellStart"/>
      <w:r>
        <w:t>ACCC</w:t>
      </w:r>
      <w:proofErr w:type="spellEnd"/>
      <w:r>
        <w:t xml:space="preserve"> decides not to undertake an inquiry, it must give written notice to the Minister and to the parties of the reasons for the decision</w:t>
      </w:r>
      <w:r w:rsidR="00D40360">
        <w:t xml:space="preserve"> (r. 13(2)</w:t>
      </w:r>
      <w:r w:rsidR="00E82DB4">
        <w:t>)</w:t>
      </w:r>
      <w:r>
        <w:t>.</w:t>
      </w:r>
    </w:p>
    <w:p w:rsidR="00F05DAE" w:rsidRPr="00AB5241" w:rsidRDefault="00F05DAE" w:rsidP="00AB5241">
      <w:pPr>
        <w:pStyle w:val="Heading3"/>
        <w:numPr>
          <w:ilvl w:val="0"/>
          <w:numId w:val="0"/>
        </w:numPr>
      </w:pPr>
      <w:bookmarkStart w:id="100" w:name="_Toc332363531"/>
      <w:r w:rsidRPr="00AB5241">
        <w:t>4.2</w:t>
      </w:r>
      <w:r w:rsidRPr="00AB5241">
        <w:tab/>
        <w:t xml:space="preserve">The </w:t>
      </w:r>
      <w:r w:rsidR="007A5EC7" w:rsidRPr="00AB5241">
        <w:t xml:space="preserve">Inquiry </w:t>
      </w:r>
      <w:r w:rsidRPr="00AB5241">
        <w:t xml:space="preserve">Assessment </w:t>
      </w:r>
      <w:r w:rsidR="004F00C8" w:rsidRPr="00AB5241">
        <w:t>Stage</w:t>
      </w:r>
      <w:bookmarkEnd w:id="100"/>
      <w:r w:rsidR="004F00C8" w:rsidRPr="00AB5241">
        <w:t xml:space="preserve"> </w:t>
      </w:r>
    </w:p>
    <w:p w:rsidR="0097586C" w:rsidRDefault="00B940C5" w:rsidP="00B940C5">
      <w:r>
        <w:t xml:space="preserve">This part of the guide discusses the period from the commencement of the inquiry to the </w:t>
      </w:r>
      <w:proofErr w:type="spellStart"/>
      <w:r>
        <w:t>ACCC’s</w:t>
      </w:r>
      <w:proofErr w:type="spellEnd"/>
      <w:r>
        <w:t xml:space="preserve"> report to the Minister.</w:t>
      </w:r>
    </w:p>
    <w:p w:rsidR="00D00196" w:rsidRDefault="00D00196" w:rsidP="00936C48">
      <w:pPr>
        <w:pStyle w:val="Heading4"/>
        <w:numPr>
          <w:ilvl w:val="0"/>
          <w:numId w:val="0"/>
        </w:numPr>
      </w:pPr>
      <w:bookmarkStart w:id="101" w:name="_Toc332363532"/>
      <w:r>
        <w:t>4.</w:t>
      </w:r>
      <w:r w:rsidR="00F05DAE">
        <w:t>2</w:t>
      </w:r>
      <w:r>
        <w:t>.</w:t>
      </w:r>
      <w:r w:rsidR="00F05DAE">
        <w:t>1</w:t>
      </w:r>
      <w:r>
        <w:tab/>
        <w:t>Commencement of inquiry</w:t>
      </w:r>
      <w:bookmarkEnd w:id="101"/>
      <w:r>
        <w:t xml:space="preserve"> </w:t>
      </w:r>
    </w:p>
    <w:p w:rsidR="00D00196" w:rsidRPr="00D00196" w:rsidRDefault="005C5FED" w:rsidP="00D00196">
      <w:r>
        <w:t xml:space="preserve">The </w:t>
      </w:r>
      <w:proofErr w:type="spellStart"/>
      <w:r w:rsidR="00D00196">
        <w:t>ACCC</w:t>
      </w:r>
      <w:proofErr w:type="spellEnd"/>
      <w:r w:rsidR="00D00196">
        <w:t xml:space="preserve"> </w:t>
      </w:r>
      <w:r>
        <w:t xml:space="preserve">must </w:t>
      </w:r>
      <w:r w:rsidR="00D00196">
        <w:t>commence an inquiry into the dispute</w:t>
      </w:r>
      <w:r>
        <w:t xml:space="preserve"> within 21 days after it receives notification of the dispute (unless the </w:t>
      </w:r>
      <w:proofErr w:type="spellStart"/>
      <w:r>
        <w:t>ACCC</w:t>
      </w:r>
      <w:proofErr w:type="spellEnd"/>
      <w:r>
        <w:t xml:space="preserve"> considers there are circumstances in which an inquiry is not to be undertaken as discussed in section</w:t>
      </w:r>
      <w:r w:rsidR="0097586C">
        <w:t xml:space="preserve">s 3.4 and </w:t>
      </w:r>
      <w:r w:rsidR="004A713C">
        <w:t>4.1.3</w:t>
      </w:r>
      <w:r w:rsidR="0097586C">
        <w:t xml:space="preserve"> </w:t>
      </w:r>
      <w:r>
        <w:t>above).</w:t>
      </w:r>
      <w:r w:rsidR="00841925">
        <w:t xml:space="preserve"> </w:t>
      </w:r>
      <w:r>
        <w:t xml:space="preserve">The </w:t>
      </w:r>
      <w:proofErr w:type="spellStart"/>
      <w:r>
        <w:t>ACCC</w:t>
      </w:r>
      <w:proofErr w:type="spellEnd"/>
      <w:r>
        <w:t xml:space="preserve"> must give the Minister written notice of the commencement of the inquiry </w:t>
      </w:r>
      <w:r w:rsidR="0055427C">
        <w:br/>
      </w:r>
      <w:r w:rsidR="00841925">
        <w:t>(r. 14</w:t>
      </w:r>
      <w:r w:rsidR="0055427C">
        <w:t xml:space="preserve"> (1)</w:t>
      </w:r>
      <w:r w:rsidR="00841925">
        <w:t>)</w:t>
      </w:r>
      <w:r w:rsidR="00D00196">
        <w:t>.</w:t>
      </w:r>
    </w:p>
    <w:p w:rsidR="00936C48" w:rsidRPr="002F7571" w:rsidRDefault="00936C48" w:rsidP="00936C48">
      <w:pPr>
        <w:pStyle w:val="Heading4"/>
        <w:numPr>
          <w:ilvl w:val="0"/>
          <w:numId w:val="0"/>
        </w:numPr>
      </w:pPr>
      <w:bookmarkStart w:id="102" w:name="_Toc332363533"/>
      <w:r w:rsidRPr="002F7571">
        <w:t>4.</w:t>
      </w:r>
      <w:r w:rsidR="00F05DAE">
        <w:t>2</w:t>
      </w:r>
      <w:r w:rsidRPr="002F7571">
        <w:t>.</w:t>
      </w:r>
      <w:r w:rsidR="00F05DAE">
        <w:t>2</w:t>
      </w:r>
      <w:r w:rsidRPr="002F7571">
        <w:tab/>
        <w:t>The case management meeting</w:t>
      </w:r>
      <w:bookmarkEnd w:id="102"/>
    </w:p>
    <w:p w:rsidR="000B5923" w:rsidRDefault="0097586C" w:rsidP="00812923">
      <w:bookmarkStart w:id="103" w:name="OLE_LINK6"/>
      <w:bookmarkStart w:id="104" w:name="OLE_LINK9"/>
      <w:proofErr w:type="spellStart"/>
      <w:r>
        <w:t>ACCC</w:t>
      </w:r>
      <w:proofErr w:type="spellEnd"/>
      <w:r>
        <w:t xml:space="preserve"> staff</w:t>
      </w:r>
      <w:r w:rsidR="005C5FED">
        <w:t xml:space="preserve"> </w:t>
      </w:r>
      <w:r w:rsidR="00936C48">
        <w:t>may hold an initial meeting with Australia Post and the complainant</w:t>
      </w:r>
      <w:r w:rsidR="00AE3811">
        <w:t xml:space="preserve"> shortly after the commencement of an inquiry</w:t>
      </w:r>
      <w:r w:rsidR="00936C48">
        <w:t xml:space="preserve">. </w:t>
      </w:r>
      <w:bookmarkEnd w:id="103"/>
      <w:bookmarkEnd w:id="104"/>
      <w:r w:rsidR="00936C48">
        <w:t xml:space="preserve">At such a meeting, the </w:t>
      </w:r>
      <w:r>
        <w:t xml:space="preserve">relevant </w:t>
      </w:r>
      <w:proofErr w:type="spellStart"/>
      <w:r>
        <w:t>ACCC</w:t>
      </w:r>
      <w:proofErr w:type="spellEnd"/>
      <w:r>
        <w:t xml:space="preserve"> staff </w:t>
      </w:r>
      <w:r w:rsidR="00936C48">
        <w:t>would ensure that all parties understand the nature of the dispute and the dispute resolution process.</w:t>
      </w:r>
      <w:r w:rsidR="003C204E">
        <w:t xml:space="preserve"> </w:t>
      </w:r>
    </w:p>
    <w:p w:rsidR="00B676C1" w:rsidRDefault="00812923" w:rsidP="00B676C1">
      <w:pPr>
        <w:spacing w:before="120" w:after="120"/>
      </w:pPr>
      <w:r>
        <w:t xml:space="preserve">It should be noted that </w:t>
      </w:r>
      <w:proofErr w:type="spellStart"/>
      <w:r w:rsidR="0097586C">
        <w:t>ACCC</w:t>
      </w:r>
      <w:proofErr w:type="spellEnd"/>
      <w:r w:rsidR="0097586C">
        <w:t xml:space="preserve"> staff do</w:t>
      </w:r>
      <w:r w:rsidR="00B334DD">
        <w:t xml:space="preserve"> not have decision making responsibilities</w:t>
      </w:r>
      <w:r w:rsidR="005C5FED">
        <w:t xml:space="preserve"> </w:t>
      </w:r>
      <w:bookmarkStart w:id="105" w:name="OLE_LINK27"/>
      <w:bookmarkStart w:id="106" w:name="OLE_LINK28"/>
      <w:r w:rsidR="00D00196">
        <w:t>and Commissioners will not usually be present at a case management meeting</w:t>
      </w:r>
      <w:bookmarkEnd w:id="105"/>
      <w:bookmarkEnd w:id="106"/>
      <w:r w:rsidR="00B334DD">
        <w:t xml:space="preserve">. </w:t>
      </w:r>
    </w:p>
    <w:p w:rsidR="00936C48" w:rsidRDefault="00936C48" w:rsidP="00812923">
      <w:r>
        <w:t xml:space="preserve">At the </w:t>
      </w:r>
      <w:r w:rsidR="00B940C5">
        <w:t xml:space="preserve">case management </w:t>
      </w:r>
      <w:r>
        <w:t>meeting,</w:t>
      </w:r>
      <w:r w:rsidR="00CA0E17">
        <w:t xml:space="preserve"> </w:t>
      </w:r>
      <w:proofErr w:type="spellStart"/>
      <w:r w:rsidR="0097586C">
        <w:t>ACCC</w:t>
      </w:r>
      <w:proofErr w:type="spellEnd"/>
      <w:r w:rsidR="0097586C">
        <w:t xml:space="preserve"> staff </w:t>
      </w:r>
      <w:r>
        <w:t>will seek to:</w:t>
      </w:r>
    </w:p>
    <w:p w:rsidR="00936C48" w:rsidRDefault="007432E1" w:rsidP="00936C48">
      <w:pPr>
        <w:numPr>
          <w:ilvl w:val="0"/>
          <w:numId w:val="29"/>
        </w:numPr>
      </w:pPr>
      <w:r>
        <w:t>i</w:t>
      </w:r>
      <w:r w:rsidR="00936C48">
        <w:t>dentify the issues in dispute and the respective positions of Australia Post and the complainant on those issues</w:t>
      </w:r>
    </w:p>
    <w:p w:rsidR="00936C48" w:rsidRDefault="007432E1" w:rsidP="00936C48">
      <w:pPr>
        <w:numPr>
          <w:ilvl w:val="0"/>
          <w:numId w:val="29"/>
        </w:numPr>
      </w:pPr>
      <w:r>
        <w:t>d</w:t>
      </w:r>
      <w:r w:rsidR="00936C48">
        <w:t xml:space="preserve">iscuss whether </w:t>
      </w:r>
      <w:smartTag w:uri="urn:schemas-microsoft-com:office:smarttags" w:element="country-region">
        <w:smartTag w:uri="urn:schemas-microsoft-com:office:smarttags" w:element="place">
          <w:r w:rsidR="00936C48">
            <w:t>Australia</w:t>
          </w:r>
        </w:smartTag>
      </w:smartTag>
      <w:r w:rsidR="00936C48">
        <w:t xml:space="preserve"> Post or the complainant have any concerns with the </w:t>
      </w:r>
      <w:proofErr w:type="spellStart"/>
      <w:r w:rsidR="00936C48">
        <w:t>ACCC’s</w:t>
      </w:r>
      <w:proofErr w:type="spellEnd"/>
      <w:r w:rsidR="00936C48">
        <w:t xml:space="preserve"> jurisdiction</w:t>
      </w:r>
    </w:p>
    <w:p w:rsidR="00936C48" w:rsidRDefault="007432E1" w:rsidP="00936C48">
      <w:pPr>
        <w:numPr>
          <w:ilvl w:val="0"/>
          <w:numId w:val="29"/>
        </w:numPr>
      </w:pPr>
      <w:r>
        <w:t>d</w:t>
      </w:r>
      <w:r w:rsidR="00936C48">
        <w:t xml:space="preserve">iscuss whether Australia Post or the complainant have any concerns with the Commissioner(s) or staff involved in the </w:t>
      </w:r>
      <w:r w:rsidR="00F35249">
        <w:t>inquiry</w:t>
      </w:r>
    </w:p>
    <w:p w:rsidR="00936C48" w:rsidRDefault="007432E1" w:rsidP="00936C48">
      <w:pPr>
        <w:numPr>
          <w:ilvl w:val="0"/>
          <w:numId w:val="29"/>
        </w:numPr>
      </w:pPr>
      <w:r>
        <w:t>c</w:t>
      </w:r>
      <w:r w:rsidR="00936C48">
        <w:t>onsider requests received from people who wish to become parties to the inquiry, and the views of Australia Post and the complainant</w:t>
      </w:r>
      <w:r w:rsidR="005C5FED">
        <w:t xml:space="preserve"> on such requests</w:t>
      </w:r>
    </w:p>
    <w:p w:rsidR="00936C48" w:rsidRDefault="007432E1" w:rsidP="00936C48">
      <w:pPr>
        <w:numPr>
          <w:ilvl w:val="0"/>
          <w:numId w:val="29"/>
        </w:numPr>
      </w:pPr>
      <w:r>
        <w:t>d</w:t>
      </w:r>
      <w:r w:rsidR="00936C48">
        <w:t xml:space="preserve">iscuss whether the </w:t>
      </w:r>
      <w:proofErr w:type="spellStart"/>
      <w:r w:rsidR="00936C48">
        <w:t>ACCC</w:t>
      </w:r>
      <w:proofErr w:type="spellEnd"/>
      <w:r w:rsidR="00936C48">
        <w:t xml:space="preserve"> is conducting any other inquiries involving similar issues where it may be useful to hold joint </w:t>
      </w:r>
      <w:r w:rsidR="00A862CA">
        <w:t xml:space="preserve">meetings </w:t>
      </w:r>
      <w:r w:rsidR="00936C48">
        <w:t>and seek the view of Australia Post and the complainant</w:t>
      </w:r>
    </w:p>
    <w:p w:rsidR="00E743D1" w:rsidRDefault="007432E1" w:rsidP="00936C48">
      <w:pPr>
        <w:numPr>
          <w:ilvl w:val="0"/>
          <w:numId w:val="29"/>
        </w:numPr>
      </w:pPr>
      <w:proofErr w:type="gramStart"/>
      <w:r>
        <w:t>i</w:t>
      </w:r>
      <w:r w:rsidR="00936C48">
        <w:t>dentify</w:t>
      </w:r>
      <w:proofErr w:type="gramEnd"/>
      <w:r w:rsidR="00936C48">
        <w:t xml:space="preserve"> any potential barriers and delays to resolution of the dispute</w:t>
      </w:r>
      <w:r w:rsidR="004F00C8">
        <w:t>.</w:t>
      </w:r>
    </w:p>
    <w:p w:rsidR="00936C48" w:rsidRDefault="00936C48" w:rsidP="00E743D1">
      <w:r>
        <w:t xml:space="preserve">Before the </w:t>
      </w:r>
      <w:r w:rsidR="00B940C5">
        <w:t xml:space="preserve">case management </w:t>
      </w:r>
      <w:r>
        <w:t xml:space="preserve">meeting, the </w:t>
      </w:r>
      <w:proofErr w:type="spellStart"/>
      <w:r w:rsidR="00CA0E17">
        <w:t>ACCC</w:t>
      </w:r>
      <w:proofErr w:type="spellEnd"/>
      <w:r>
        <w:t xml:space="preserve"> will </w:t>
      </w:r>
      <w:r w:rsidR="00B940C5">
        <w:t xml:space="preserve">usually </w:t>
      </w:r>
      <w:r>
        <w:t>send an agenda to Australia Post and the complainant.</w:t>
      </w:r>
    </w:p>
    <w:p w:rsidR="00936C48" w:rsidRDefault="00C47E29" w:rsidP="00936C48">
      <w:r>
        <w:t xml:space="preserve">When the </w:t>
      </w:r>
      <w:proofErr w:type="spellStart"/>
      <w:r>
        <w:t>ACCC</w:t>
      </w:r>
      <w:proofErr w:type="spellEnd"/>
      <w:r>
        <w:t xml:space="preserve"> is considering requests from people to </w:t>
      </w:r>
      <w:r w:rsidR="00936C48">
        <w:t xml:space="preserve">become a party to the </w:t>
      </w:r>
      <w:r w:rsidR="00B07636">
        <w:t xml:space="preserve">inquiry </w:t>
      </w:r>
      <w:r w:rsidR="00530B05" w:rsidRPr="00530B05">
        <w:t xml:space="preserve">and </w:t>
      </w:r>
      <w:r w:rsidR="00B940C5">
        <w:t>deciding whether they should be</w:t>
      </w:r>
      <w:r w:rsidR="00530B05" w:rsidRPr="00530B05">
        <w:t xml:space="preserve"> accepted by the </w:t>
      </w:r>
      <w:proofErr w:type="spellStart"/>
      <w:r w:rsidR="00530B05" w:rsidRPr="00530B05">
        <w:t>ACCC</w:t>
      </w:r>
      <w:proofErr w:type="spellEnd"/>
      <w:r w:rsidR="00530B05" w:rsidRPr="00530B05">
        <w:t xml:space="preserve"> as having a sufficient interest</w:t>
      </w:r>
      <w:r w:rsidR="00530B05">
        <w:t xml:space="preserve"> (r.</w:t>
      </w:r>
      <w:r w:rsidR="005C5FED">
        <w:t xml:space="preserve"> </w:t>
      </w:r>
      <w:r w:rsidR="00530B05">
        <w:t>8(</w:t>
      </w:r>
      <w:r w:rsidR="00A862CA">
        <w:t>c</w:t>
      </w:r>
      <w:r w:rsidR="00530B05">
        <w:t>))</w:t>
      </w:r>
      <w:r w:rsidR="00B940C5">
        <w:t>,</w:t>
      </w:r>
      <w:r w:rsidR="00530B05">
        <w:t xml:space="preserve"> </w:t>
      </w:r>
      <w:r w:rsidR="00F32BB7">
        <w:t>the</w:t>
      </w:r>
      <w:r w:rsidR="00B940C5">
        <w:t xml:space="preserve"> </w:t>
      </w:r>
      <w:proofErr w:type="spellStart"/>
      <w:r w:rsidR="009308CD">
        <w:t>ACCC</w:t>
      </w:r>
      <w:proofErr w:type="spellEnd"/>
      <w:r w:rsidR="009308CD">
        <w:t xml:space="preserve"> will usually invite the applicant</w:t>
      </w:r>
      <w:r w:rsidR="00F32BB7">
        <w:t xml:space="preserve"> </w:t>
      </w:r>
      <w:r w:rsidR="00936C48">
        <w:t>to participate in the part of the meeting where their application</w:t>
      </w:r>
      <w:r w:rsidR="00DA1629">
        <w:t xml:space="preserve"> is</w:t>
      </w:r>
      <w:r w:rsidR="00936C48">
        <w:t xml:space="preserve"> discussed with the </w:t>
      </w:r>
      <w:r w:rsidR="00F32BB7">
        <w:t>complainant and Australia Post</w:t>
      </w:r>
      <w:r w:rsidR="00936C48">
        <w:t xml:space="preserve">. </w:t>
      </w:r>
    </w:p>
    <w:p w:rsidR="00936C48" w:rsidRDefault="00E862F8" w:rsidP="00936C48">
      <w:r>
        <w:t xml:space="preserve">Typically the </w:t>
      </w:r>
      <w:proofErr w:type="spellStart"/>
      <w:r>
        <w:t>ACCC</w:t>
      </w:r>
      <w:proofErr w:type="spellEnd"/>
      <w:r>
        <w:t xml:space="preserve"> expects that there will only be one case management meeting during the inquiry, given the timeframes involved.</w:t>
      </w:r>
      <w:r w:rsidR="00F40AB2">
        <w:t xml:space="preserve"> </w:t>
      </w:r>
      <w:r w:rsidR="00936C48">
        <w:t>While the matters addressed at a case management meeting are likely to depend on the case at hand, a</w:t>
      </w:r>
      <w:r w:rsidR="00E743D1">
        <w:t>n additional</w:t>
      </w:r>
      <w:r w:rsidR="00936C48">
        <w:t xml:space="preserve"> </w:t>
      </w:r>
      <w:r w:rsidR="00B940C5">
        <w:t xml:space="preserve">case management </w:t>
      </w:r>
      <w:r w:rsidR="00936C48">
        <w:t>meeting may be called to:</w:t>
      </w:r>
    </w:p>
    <w:p w:rsidR="00936C48" w:rsidRDefault="00936C48" w:rsidP="00936C48">
      <w:pPr>
        <w:numPr>
          <w:ilvl w:val="0"/>
          <w:numId w:val="30"/>
        </w:numPr>
      </w:pPr>
      <w:r>
        <w:t xml:space="preserve">identify the information that is relevant to matters on which the </w:t>
      </w:r>
      <w:proofErr w:type="spellStart"/>
      <w:r>
        <w:t>ACCC</w:t>
      </w:r>
      <w:proofErr w:type="spellEnd"/>
      <w:r>
        <w:t xml:space="preserve"> is deliberating, including claims for confidentiality</w:t>
      </w:r>
    </w:p>
    <w:p w:rsidR="00936C48" w:rsidRDefault="00936C48" w:rsidP="00936C48">
      <w:pPr>
        <w:numPr>
          <w:ilvl w:val="0"/>
          <w:numId w:val="30"/>
        </w:numPr>
      </w:pPr>
      <w:proofErr w:type="gramStart"/>
      <w:r>
        <w:t>identify</w:t>
      </w:r>
      <w:proofErr w:type="gramEnd"/>
      <w:r>
        <w:t xml:space="preserve"> and discuss issues which have subsequently emerged as being in dispute between the parties.</w:t>
      </w:r>
    </w:p>
    <w:p w:rsidR="00E0341C" w:rsidRDefault="003A4E8D" w:rsidP="003A4E8D">
      <w:pPr>
        <w:pStyle w:val="Heading4"/>
        <w:numPr>
          <w:ilvl w:val="0"/>
          <w:numId w:val="0"/>
        </w:numPr>
      </w:pPr>
      <w:bookmarkStart w:id="107" w:name="_Toc332363534"/>
      <w:r>
        <w:t>4.</w:t>
      </w:r>
      <w:r w:rsidR="00F05DAE">
        <w:t>2</w:t>
      </w:r>
      <w:r>
        <w:t>.</w:t>
      </w:r>
      <w:r w:rsidR="00F05DAE">
        <w:t>3</w:t>
      </w:r>
      <w:r>
        <w:tab/>
      </w:r>
      <w:proofErr w:type="spellStart"/>
      <w:r w:rsidR="00E0341C" w:rsidRPr="00E0341C">
        <w:t>ACCC</w:t>
      </w:r>
      <w:proofErr w:type="spellEnd"/>
      <w:r w:rsidR="00E0341C" w:rsidRPr="00E0341C">
        <w:t xml:space="preserve"> issues paper</w:t>
      </w:r>
      <w:bookmarkEnd w:id="107"/>
    </w:p>
    <w:p w:rsidR="00B940C5" w:rsidRDefault="00A50077" w:rsidP="00E0341C">
      <w:r>
        <w:t xml:space="preserve">Depending on the nature of the dispute and the issues raised, </w:t>
      </w:r>
      <w:r w:rsidR="005C5FED">
        <w:t xml:space="preserve">the </w:t>
      </w:r>
      <w:proofErr w:type="spellStart"/>
      <w:r w:rsidR="005C5FED">
        <w:t>ACCC</w:t>
      </w:r>
      <w:proofErr w:type="spellEnd"/>
      <w:r w:rsidR="005C5FED">
        <w:t xml:space="preserve"> </w:t>
      </w:r>
      <w:r w:rsidR="00B940C5">
        <w:t xml:space="preserve">is likely to </w:t>
      </w:r>
      <w:r w:rsidR="005C5FED">
        <w:t>prepare</w:t>
      </w:r>
      <w:r w:rsidR="00E0341C" w:rsidRPr="00E0341C">
        <w:t xml:space="preserve"> an issues paper to </w:t>
      </w:r>
      <w:r w:rsidR="00B940C5">
        <w:t>be issued to the parties to the dispute. The issues paper will:</w:t>
      </w:r>
    </w:p>
    <w:p w:rsidR="00B940C5" w:rsidRDefault="00E0341C" w:rsidP="00B940C5">
      <w:pPr>
        <w:numPr>
          <w:ilvl w:val="0"/>
          <w:numId w:val="30"/>
        </w:numPr>
      </w:pPr>
      <w:r w:rsidRPr="00E0341C">
        <w:t xml:space="preserve">outline </w:t>
      </w:r>
      <w:r w:rsidR="00B940C5">
        <w:t xml:space="preserve">what the </w:t>
      </w:r>
      <w:proofErr w:type="spellStart"/>
      <w:r w:rsidR="00B940C5">
        <w:t>ACCC</w:t>
      </w:r>
      <w:proofErr w:type="spellEnd"/>
      <w:r w:rsidR="00B940C5">
        <w:t xml:space="preserve"> considers to be </w:t>
      </w:r>
      <w:r w:rsidR="00380E05">
        <w:t xml:space="preserve">the </w:t>
      </w:r>
      <w:r w:rsidRPr="00E0341C">
        <w:t xml:space="preserve">important </w:t>
      </w:r>
      <w:r w:rsidR="004F00C8">
        <w:t>aspects</w:t>
      </w:r>
      <w:r w:rsidR="004F00C8" w:rsidRPr="00E0341C">
        <w:t xml:space="preserve"> </w:t>
      </w:r>
      <w:r w:rsidRPr="00E0341C">
        <w:t>of the dispute</w:t>
      </w:r>
    </w:p>
    <w:p w:rsidR="00B940C5" w:rsidRDefault="00E0341C" w:rsidP="00B940C5">
      <w:pPr>
        <w:numPr>
          <w:ilvl w:val="0"/>
          <w:numId w:val="30"/>
        </w:numPr>
      </w:pPr>
      <w:r w:rsidRPr="00E0341C">
        <w:t xml:space="preserve">identify those issues on which the </w:t>
      </w:r>
      <w:proofErr w:type="spellStart"/>
      <w:r w:rsidRPr="00E0341C">
        <w:t>ACCC</w:t>
      </w:r>
      <w:proofErr w:type="spellEnd"/>
      <w:r w:rsidRPr="00E0341C">
        <w:t xml:space="preserve"> would be assisted by the views of </w:t>
      </w:r>
      <w:r w:rsidR="00E743D1">
        <w:t>the parties</w:t>
      </w:r>
      <w:r w:rsidR="00B940C5">
        <w:t xml:space="preserve"> when they are providing submissions</w:t>
      </w:r>
    </w:p>
    <w:p w:rsidR="00E0341C" w:rsidRPr="00E0341C" w:rsidRDefault="00380E05" w:rsidP="00B940C5">
      <w:pPr>
        <w:numPr>
          <w:ilvl w:val="0"/>
          <w:numId w:val="30"/>
        </w:numPr>
      </w:pPr>
      <w:proofErr w:type="gramStart"/>
      <w:r>
        <w:t>seek</w:t>
      </w:r>
      <w:proofErr w:type="gramEnd"/>
      <w:r>
        <w:t xml:space="preserve"> the views of the parties on any other matters they consider to be relevant to the inquiry. </w:t>
      </w:r>
    </w:p>
    <w:p w:rsidR="00936C48" w:rsidRDefault="00936C48" w:rsidP="00936C48">
      <w:pPr>
        <w:pStyle w:val="Heading4"/>
        <w:numPr>
          <w:ilvl w:val="0"/>
          <w:numId w:val="0"/>
        </w:numPr>
      </w:pPr>
      <w:bookmarkStart w:id="108" w:name="_Toc332363535"/>
      <w:r>
        <w:t>4.</w:t>
      </w:r>
      <w:r w:rsidR="00F05DAE">
        <w:t>2</w:t>
      </w:r>
      <w:r>
        <w:t>.</w:t>
      </w:r>
      <w:r w:rsidR="00F05DAE">
        <w:t>4</w:t>
      </w:r>
      <w:r w:rsidR="00BE11F2">
        <w:tab/>
      </w:r>
      <w:r>
        <w:t>Information</w:t>
      </w:r>
      <w:r w:rsidR="00097D36">
        <w:t xml:space="preserve"> gathering</w:t>
      </w:r>
      <w:r w:rsidR="00D810F3">
        <w:t xml:space="preserve"> – submissions</w:t>
      </w:r>
      <w:r w:rsidR="00097D36">
        <w:t xml:space="preserve">, information </w:t>
      </w:r>
      <w:r w:rsidR="00D810F3">
        <w:t>notices</w:t>
      </w:r>
      <w:r w:rsidR="00097D36">
        <w:t xml:space="preserve">, and information </w:t>
      </w:r>
      <w:r w:rsidR="00AB5241">
        <w:t xml:space="preserve">provided </w:t>
      </w:r>
      <w:r w:rsidR="00097D36">
        <w:t xml:space="preserve">under Part </w:t>
      </w:r>
      <w:proofErr w:type="spellStart"/>
      <w:r w:rsidR="00097D36">
        <w:t>VIIA</w:t>
      </w:r>
      <w:proofErr w:type="spellEnd"/>
      <w:r w:rsidR="00AB5241">
        <w:t xml:space="preserve"> of the </w:t>
      </w:r>
      <w:proofErr w:type="spellStart"/>
      <w:r w:rsidR="00AB5241">
        <w:t>CCA</w:t>
      </w:r>
      <w:bookmarkEnd w:id="108"/>
      <w:proofErr w:type="spellEnd"/>
    </w:p>
    <w:p w:rsidR="00180991" w:rsidRDefault="00380E05" w:rsidP="00180991">
      <w:r>
        <w:t xml:space="preserve">The </w:t>
      </w:r>
      <w:proofErr w:type="spellStart"/>
      <w:r>
        <w:t>ACCC</w:t>
      </w:r>
      <w:proofErr w:type="spellEnd"/>
      <w:r>
        <w:t xml:space="preserve"> has the power to inform itself of any matter relevant to a dispute in any manner that it reasonably believes to be appropriate</w:t>
      </w:r>
      <w:r w:rsidR="00097D36">
        <w:t xml:space="preserve"> (r. 17(2))</w:t>
      </w:r>
      <w:r>
        <w:t>.</w:t>
      </w:r>
      <w:r w:rsidR="00097D36">
        <w:t xml:space="preserve"> T</w:t>
      </w:r>
      <w:r w:rsidR="00180991">
        <w:t xml:space="preserve">he </w:t>
      </w:r>
      <w:proofErr w:type="spellStart"/>
      <w:r w:rsidR="00180991">
        <w:t>ACCC</w:t>
      </w:r>
      <w:proofErr w:type="spellEnd"/>
      <w:r w:rsidR="00097D36">
        <w:t xml:space="preserve"> may</w:t>
      </w:r>
      <w:r w:rsidR="00180991">
        <w:t xml:space="preserve"> undertake its own analysis and may seek material in addition to that provided by the parties (for example, expert opinions on particular issues).</w:t>
      </w:r>
    </w:p>
    <w:p w:rsidR="00131533" w:rsidRDefault="00131533" w:rsidP="006F3344">
      <w:r>
        <w:t xml:space="preserve">To consider the relevant issues that are subject to its inquiry, the </w:t>
      </w:r>
      <w:proofErr w:type="spellStart"/>
      <w:r>
        <w:t>ACCC</w:t>
      </w:r>
      <w:proofErr w:type="spellEnd"/>
      <w:r>
        <w:t xml:space="preserve"> </w:t>
      </w:r>
      <w:r w:rsidR="00097D36">
        <w:t xml:space="preserve">may </w:t>
      </w:r>
      <w:r>
        <w:t xml:space="preserve">need </w:t>
      </w:r>
      <w:r w:rsidR="00097D36">
        <w:t xml:space="preserve">to gather </w:t>
      </w:r>
      <w:r>
        <w:t xml:space="preserve">specific information, such as information on service costs and prices. </w:t>
      </w:r>
      <w:r w:rsidR="00B940C5">
        <w:t xml:space="preserve">Typically, the </w:t>
      </w:r>
      <w:proofErr w:type="spellStart"/>
      <w:r w:rsidR="00B940C5">
        <w:t>ACCC</w:t>
      </w:r>
      <w:proofErr w:type="spellEnd"/>
      <w:r w:rsidR="00B940C5">
        <w:t xml:space="preserve"> will gather relevant information in one of three ways:</w:t>
      </w:r>
    </w:p>
    <w:p w:rsidR="00B940C5" w:rsidRDefault="00B940C5" w:rsidP="00B940C5">
      <w:pPr>
        <w:numPr>
          <w:ilvl w:val="0"/>
          <w:numId w:val="30"/>
        </w:numPr>
      </w:pPr>
      <w:r>
        <w:t>submissions from the parties</w:t>
      </w:r>
    </w:p>
    <w:p w:rsidR="00B940C5" w:rsidRDefault="00B940C5" w:rsidP="00B940C5">
      <w:pPr>
        <w:numPr>
          <w:ilvl w:val="0"/>
          <w:numId w:val="30"/>
        </w:numPr>
      </w:pPr>
      <w:r>
        <w:t>issuing notices to parties to provide information</w:t>
      </w:r>
    </w:p>
    <w:p w:rsidR="00B940C5" w:rsidRDefault="00B940C5" w:rsidP="00B940C5">
      <w:pPr>
        <w:numPr>
          <w:ilvl w:val="0"/>
          <w:numId w:val="30"/>
        </w:numPr>
      </w:pPr>
      <w:proofErr w:type="gramStart"/>
      <w:r>
        <w:t>using</w:t>
      </w:r>
      <w:proofErr w:type="gramEnd"/>
      <w:r>
        <w:t xml:space="preserve"> information provided under Part </w:t>
      </w:r>
      <w:proofErr w:type="spellStart"/>
      <w:r>
        <w:t>VIIA</w:t>
      </w:r>
      <w:proofErr w:type="spellEnd"/>
      <w:r>
        <w:t>, such as during a price notification.</w:t>
      </w:r>
    </w:p>
    <w:p w:rsidR="00B940C5" w:rsidRPr="008D3F28" w:rsidRDefault="00B940C5" w:rsidP="00B940C5">
      <w:pPr>
        <w:rPr>
          <w:i/>
        </w:rPr>
      </w:pPr>
      <w:r>
        <w:rPr>
          <w:i/>
        </w:rPr>
        <w:t xml:space="preserve">Types of </w:t>
      </w:r>
      <w:r w:rsidR="00F441C8">
        <w:rPr>
          <w:i/>
        </w:rPr>
        <w:t>information</w:t>
      </w:r>
      <w:r>
        <w:rPr>
          <w:i/>
        </w:rPr>
        <w:t xml:space="preserve"> </w:t>
      </w:r>
      <w:r w:rsidR="00F441C8">
        <w:rPr>
          <w:i/>
        </w:rPr>
        <w:t>sought</w:t>
      </w:r>
    </w:p>
    <w:p w:rsidR="00DB6E65" w:rsidRDefault="00F441C8" w:rsidP="00DB6E65">
      <w:r>
        <w:t xml:space="preserve">The </w:t>
      </w:r>
      <w:proofErr w:type="spellStart"/>
      <w:r>
        <w:t>ACCC</w:t>
      </w:r>
      <w:proofErr w:type="spellEnd"/>
      <w:r>
        <w:t xml:space="preserve"> will seek information from parties relating to the different matters in dispute between the complainant and Australia Post. Accordingly, the information sought will depend on the nature of the dispute.</w:t>
      </w:r>
      <w:r w:rsidR="00DB6E65">
        <w:t xml:space="preserve"> </w:t>
      </w:r>
    </w:p>
    <w:p w:rsidR="006C76F7" w:rsidRDefault="0047632D">
      <w:pPr>
        <w:rPr>
          <w:i/>
        </w:rPr>
      </w:pPr>
      <w:r>
        <w:rPr>
          <w:i/>
        </w:rPr>
        <w:t>Submissions</w:t>
      </w:r>
    </w:p>
    <w:p w:rsidR="00F441C8" w:rsidRDefault="00F441C8" w:rsidP="002537BC">
      <w:r>
        <w:t xml:space="preserve">The first way that the </w:t>
      </w:r>
      <w:proofErr w:type="spellStart"/>
      <w:r>
        <w:t>ACCC</w:t>
      </w:r>
      <w:proofErr w:type="spellEnd"/>
      <w:r>
        <w:t xml:space="preserve"> would be likely to obtain information is through submissions made by parties.</w:t>
      </w:r>
    </w:p>
    <w:p w:rsidR="002537BC" w:rsidRDefault="00097D36" w:rsidP="002537BC">
      <w:r>
        <w:t>T</w:t>
      </w:r>
      <w:r w:rsidR="0047632D">
        <w:t xml:space="preserve">he </w:t>
      </w:r>
      <w:proofErr w:type="spellStart"/>
      <w:r w:rsidR="0047632D">
        <w:t>ACCC</w:t>
      </w:r>
      <w:proofErr w:type="spellEnd"/>
      <w:r w:rsidR="0047632D">
        <w:t xml:space="preserve"> will seek submissions from </w:t>
      </w:r>
      <w:r w:rsidR="004F6EFD">
        <w:t>interested</w:t>
      </w:r>
      <w:r w:rsidR="0047632D">
        <w:t xml:space="preserve"> parties</w:t>
      </w:r>
      <w:r>
        <w:t xml:space="preserve"> on the issues relevant to a dispute</w:t>
      </w:r>
      <w:r w:rsidR="0047632D">
        <w:t>.</w:t>
      </w:r>
      <w:r w:rsidR="002537BC">
        <w:t xml:space="preserve"> The </w:t>
      </w:r>
      <w:proofErr w:type="spellStart"/>
      <w:r w:rsidR="002537BC">
        <w:t>ACCC</w:t>
      </w:r>
      <w:proofErr w:type="spellEnd"/>
      <w:r w:rsidR="002537BC">
        <w:t xml:space="preserve"> will set out the issues relevant to the dispute in the issues paper. If necessary the </w:t>
      </w:r>
      <w:proofErr w:type="spellStart"/>
      <w:r w:rsidR="002537BC">
        <w:t>ACCC</w:t>
      </w:r>
      <w:proofErr w:type="spellEnd"/>
      <w:r w:rsidR="002537BC">
        <w:t xml:space="preserve"> may seek additional submissions from parties as required.</w:t>
      </w:r>
    </w:p>
    <w:p w:rsidR="002537BC" w:rsidRDefault="002537BC" w:rsidP="002537BC">
      <w:pPr>
        <w:pStyle w:val="CommentText"/>
        <w:rPr>
          <w:sz w:val="24"/>
        </w:rPr>
      </w:pPr>
      <w:r w:rsidRPr="00CA0E17">
        <w:rPr>
          <w:sz w:val="24"/>
        </w:rPr>
        <w:t xml:space="preserve">The </w:t>
      </w:r>
      <w:proofErr w:type="spellStart"/>
      <w:r w:rsidRPr="00CA0E17">
        <w:rPr>
          <w:sz w:val="24"/>
        </w:rPr>
        <w:t>ACCC</w:t>
      </w:r>
      <w:proofErr w:type="spellEnd"/>
      <w:r w:rsidRPr="00CA0E17">
        <w:rPr>
          <w:sz w:val="24"/>
        </w:rPr>
        <w:t xml:space="preserve"> may also invite a person who is not party to the dispute to make a submission in relation to the inquiry </w:t>
      </w:r>
      <w:proofErr w:type="gramStart"/>
      <w:r w:rsidRPr="00CA0E17">
        <w:rPr>
          <w:sz w:val="24"/>
        </w:rPr>
        <w:t>( r</w:t>
      </w:r>
      <w:proofErr w:type="gramEnd"/>
      <w:r w:rsidRPr="00CA0E17">
        <w:rPr>
          <w:sz w:val="24"/>
        </w:rPr>
        <w:t>. 17(2)(b)).</w:t>
      </w:r>
    </w:p>
    <w:p w:rsidR="002537BC" w:rsidRDefault="002537BC" w:rsidP="002537BC">
      <w:pPr>
        <w:pStyle w:val="CommentText"/>
      </w:pPr>
    </w:p>
    <w:p w:rsidR="0047632D" w:rsidRDefault="0047632D" w:rsidP="0047632D">
      <w:r>
        <w:t xml:space="preserve">A submission </w:t>
      </w:r>
      <w:r w:rsidR="00097D36">
        <w:t xml:space="preserve">to the </w:t>
      </w:r>
      <w:proofErr w:type="spellStart"/>
      <w:r w:rsidR="00097D36">
        <w:t>ACCC</w:t>
      </w:r>
      <w:proofErr w:type="spellEnd"/>
      <w:r w:rsidR="00097D36">
        <w:t xml:space="preserve"> should set </w:t>
      </w:r>
      <w:r>
        <w:t xml:space="preserve">out the view or conclusion that the party believes the </w:t>
      </w:r>
      <w:proofErr w:type="spellStart"/>
      <w:r>
        <w:t>ACCC</w:t>
      </w:r>
      <w:proofErr w:type="spellEnd"/>
      <w:r>
        <w:t xml:space="preserve"> should adopt on particular issues, along with supporting reasons.</w:t>
      </w:r>
    </w:p>
    <w:p w:rsidR="0047632D" w:rsidRDefault="0047632D" w:rsidP="0047632D">
      <w:r>
        <w:t>Generally</w:t>
      </w:r>
      <w:r w:rsidR="00F441C8">
        <w:t>,</w:t>
      </w:r>
      <w:r>
        <w:t xml:space="preserve"> written submissions </w:t>
      </w:r>
      <w:r w:rsidR="00F441C8">
        <w:t xml:space="preserve">will </w:t>
      </w:r>
      <w:r>
        <w:t xml:space="preserve">provide the primary means by which the </w:t>
      </w:r>
      <w:proofErr w:type="spellStart"/>
      <w:r>
        <w:t>ACCC</w:t>
      </w:r>
      <w:proofErr w:type="spellEnd"/>
      <w:r>
        <w:t xml:space="preserve"> receives argument from the parties. Detailed written submissions are particularly useful in disputes involving:</w:t>
      </w:r>
    </w:p>
    <w:p w:rsidR="0047632D" w:rsidRDefault="0047632D" w:rsidP="0047632D">
      <w:pPr>
        <w:numPr>
          <w:ilvl w:val="0"/>
          <w:numId w:val="14"/>
        </w:numPr>
      </w:pPr>
      <w:r>
        <w:t>complex questions of law</w:t>
      </w:r>
    </w:p>
    <w:p w:rsidR="0047632D" w:rsidRDefault="0047632D" w:rsidP="0047632D">
      <w:pPr>
        <w:numPr>
          <w:ilvl w:val="0"/>
          <w:numId w:val="14"/>
        </w:numPr>
      </w:pPr>
      <w:r>
        <w:t>methodology of calculating costs/charges</w:t>
      </w:r>
    </w:p>
    <w:p w:rsidR="0047632D" w:rsidRDefault="0047632D" w:rsidP="0047632D">
      <w:pPr>
        <w:numPr>
          <w:ilvl w:val="0"/>
          <w:numId w:val="14"/>
        </w:numPr>
      </w:pPr>
      <w:r>
        <w:t>analysis of detailed or extensive information that has been presented in evidence</w:t>
      </w:r>
    </w:p>
    <w:p w:rsidR="0047632D" w:rsidRDefault="0047632D" w:rsidP="0047632D">
      <w:pPr>
        <w:numPr>
          <w:ilvl w:val="0"/>
          <w:numId w:val="14"/>
        </w:numPr>
      </w:pPr>
      <w:proofErr w:type="gramStart"/>
      <w:r>
        <w:t>resolution</w:t>
      </w:r>
      <w:proofErr w:type="gramEnd"/>
      <w:r>
        <w:t xml:space="preserve"> of apparent conflicts in the evidence on which an argument is based.</w:t>
      </w:r>
    </w:p>
    <w:p w:rsidR="008D3F28" w:rsidRPr="00180991" w:rsidRDefault="008D3F28" w:rsidP="006F3344">
      <w:pPr>
        <w:rPr>
          <w:i/>
        </w:rPr>
      </w:pPr>
      <w:r w:rsidRPr="00180991">
        <w:rPr>
          <w:i/>
        </w:rPr>
        <w:t>Notices</w:t>
      </w:r>
    </w:p>
    <w:p w:rsidR="00F441C8" w:rsidRDefault="00F441C8" w:rsidP="00F441C8">
      <w:r>
        <w:t xml:space="preserve">The second way that the </w:t>
      </w:r>
      <w:proofErr w:type="spellStart"/>
      <w:r>
        <w:t>ACCC</w:t>
      </w:r>
      <w:proofErr w:type="spellEnd"/>
      <w:r>
        <w:t xml:space="preserve"> would be likely to obtain information is through issuing notices requiring a party to provide information or documents.</w:t>
      </w:r>
    </w:p>
    <w:p w:rsidR="00EE5CD9" w:rsidRDefault="00EE5CD9" w:rsidP="00DF2D22">
      <w:r>
        <w:t xml:space="preserve">If the </w:t>
      </w:r>
      <w:proofErr w:type="spellStart"/>
      <w:r>
        <w:t>ACCC</w:t>
      </w:r>
      <w:proofErr w:type="spellEnd"/>
      <w:r>
        <w:t xml:space="preserve"> reasonably believes that a party is capable of providing information or producing a document that is relevant to a dispute or to an inquiry, the Chairman or the presiding Commissioner</w:t>
      </w:r>
      <w:r>
        <w:rPr>
          <w:rStyle w:val="FootnoteReference"/>
        </w:rPr>
        <w:footnoteReference w:id="7"/>
      </w:r>
      <w:r>
        <w:t xml:space="preserve"> may give written notice to the party to provide the information or produce the document (r. 19(1)). The notice will set out the place, date and time in which the information or the production of the document is to be provided. </w:t>
      </w:r>
    </w:p>
    <w:p w:rsidR="00DF2D22" w:rsidRDefault="00131533" w:rsidP="00DF2D22">
      <w:r>
        <w:t>T</w:t>
      </w:r>
      <w:r w:rsidR="00740779">
        <w:t>he party must</w:t>
      </w:r>
      <w:r w:rsidR="00DF2D22">
        <w:t xml:space="preserve"> </w:t>
      </w:r>
      <w:r w:rsidR="00EE5CD9">
        <w:t xml:space="preserve">then </w:t>
      </w:r>
      <w:r w:rsidR="00DF2D22">
        <w:t xml:space="preserve">provide the information requested at the time and place </w:t>
      </w:r>
      <w:r w:rsidR="00740779">
        <w:t>described in the notice</w:t>
      </w:r>
      <w:r w:rsidR="00DF2D22" w:rsidRPr="00DF2D22">
        <w:t xml:space="preserve"> </w:t>
      </w:r>
      <w:r w:rsidR="00E64B1C">
        <w:t>(</w:t>
      </w:r>
      <w:r w:rsidR="00DF2D22">
        <w:t xml:space="preserve">r. 19(2)). </w:t>
      </w:r>
      <w:r w:rsidR="00EE5CD9">
        <w:t xml:space="preserve">The </w:t>
      </w:r>
      <w:proofErr w:type="spellStart"/>
      <w:r w:rsidR="00EE5CD9">
        <w:t>ACCC</w:t>
      </w:r>
      <w:proofErr w:type="spellEnd"/>
      <w:r w:rsidR="00EE5CD9">
        <w:t xml:space="preserve"> may</w:t>
      </w:r>
      <w:r w:rsidR="001B0815">
        <w:t>,</w:t>
      </w:r>
      <w:r w:rsidR="00EE5CD9">
        <w:t xml:space="preserve"> at its discretion</w:t>
      </w:r>
      <w:r w:rsidR="001B0815">
        <w:t>,</w:t>
      </w:r>
      <w:r w:rsidR="00EE5CD9">
        <w:t xml:space="preserve"> extend </w:t>
      </w:r>
      <w:r w:rsidR="00B061B0">
        <w:t>the</w:t>
      </w:r>
      <w:r w:rsidR="00EE5CD9">
        <w:t xml:space="preserve"> time at or before which information must be given, or a document must be produced, to the </w:t>
      </w:r>
      <w:proofErr w:type="spellStart"/>
      <w:r w:rsidR="00EE5CD9">
        <w:t>ACCC</w:t>
      </w:r>
      <w:proofErr w:type="spellEnd"/>
      <w:r w:rsidR="00EE5CD9">
        <w:t xml:space="preserve"> (r. 17(2</w:t>
      </w:r>
      <w:proofErr w:type="gramStart"/>
      <w:r w:rsidR="00EE5CD9">
        <w:t>)(</w:t>
      </w:r>
      <w:proofErr w:type="gramEnd"/>
      <w:r w:rsidR="00EE5CD9">
        <w:t>a)).</w:t>
      </w:r>
    </w:p>
    <w:p w:rsidR="00DF2D22" w:rsidRDefault="00740779" w:rsidP="00DF2D22">
      <w:r>
        <w:t xml:space="preserve">If a party fails to comply with a notice, the </w:t>
      </w:r>
      <w:proofErr w:type="spellStart"/>
      <w:r>
        <w:t>ACCC</w:t>
      </w:r>
      <w:proofErr w:type="spellEnd"/>
      <w:r>
        <w:t xml:space="preserve"> may draw an inference from the failure that is adverse to the party</w:t>
      </w:r>
      <w:r w:rsidR="00DF2D22" w:rsidRPr="00DF2D22">
        <w:t xml:space="preserve"> </w:t>
      </w:r>
      <w:r w:rsidR="00E64B1C">
        <w:t>(</w:t>
      </w:r>
      <w:r w:rsidR="00DF2D22">
        <w:t>r. 19(3)</w:t>
      </w:r>
      <w:r w:rsidR="00E64B1C">
        <w:t>)</w:t>
      </w:r>
      <w:r w:rsidR="00DF2D22">
        <w:t xml:space="preserve">. </w:t>
      </w:r>
      <w:r w:rsidR="007171FC">
        <w:t>Additionally, if the party is capable of providing the information and fails to comply with the notice</w:t>
      </w:r>
      <w:r w:rsidR="001B0815">
        <w:t>,</w:t>
      </w:r>
      <w:r w:rsidR="007171FC">
        <w:t xml:space="preserve"> it commits an offence </w:t>
      </w:r>
      <w:r w:rsidR="00131533">
        <w:t>(</w:t>
      </w:r>
      <w:r w:rsidR="00DF2D22">
        <w:t xml:space="preserve">r. 19(5)). </w:t>
      </w:r>
    </w:p>
    <w:p w:rsidR="00397B5A" w:rsidRDefault="00936C48" w:rsidP="00397B5A">
      <w:r>
        <w:t xml:space="preserve">Before issuing these notices the </w:t>
      </w:r>
      <w:proofErr w:type="spellStart"/>
      <w:r>
        <w:t>ACCC</w:t>
      </w:r>
      <w:proofErr w:type="spellEnd"/>
      <w:r>
        <w:t xml:space="preserve"> will often (but not always) ask the parties what information</w:t>
      </w:r>
      <w:r w:rsidR="00EE5CD9">
        <w:t xml:space="preserve"> </w:t>
      </w:r>
      <w:r w:rsidR="00255212">
        <w:t xml:space="preserve">they </w:t>
      </w:r>
      <w:r>
        <w:t xml:space="preserve">think is required. This may be done in the context of a case management meeting, a conference with the </w:t>
      </w:r>
      <w:r w:rsidR="00BE755D">
        <w:t>Commissioner</w:t>
      </w:r>
      <w:r>
        <w:t>(s), or by written submission</w:t>
      </w:r>
      <w:r w:rsidR="004E2B4B">
        <w:t>.</w:t>
      </w:r>
      <w:r>
        <w:t xml:space="preserve"> </w:t>
      </w:r>
      <w:r w:rsidR="00397B5A">
        <w:t xml:space="preserve">However it is ultimately the </w:t>
      </w:r>
      <w:proofErr w:type="spellStart"/>
      <w:r w:rsidR="00397B5A">
        <w:t>ACCC</w:t>
      </w:r>
      <w:proofErr w:type="spellEnd"/>
      <w:r w:rsidR="00397B5A">
        <w:t xml:space="preserve"> that must determine what information the parties must provide.</w:t>
      </w:r>
    </w:p>
    <w:p w:rsidR="00936C48" w:rsidRDefault="00936C48" w:rsidP="00936C48">
      <w:r>
        <w:t xml:space="preserve">If the </w:t>
      </w:r>
      <w:proofErr w:type="spellStart"/>
      <w:r>
        <w:t>ACCC</w:t>
      </w:r>
      <w:proofErr w:type="spellEnd"/>
      <w:r>
        <w:t xml:space="preserve"> issues a notice requiring a party to provide information </w:t>
      </w:r>
      <w:r w:rsidR="004E7DA9">
        <w:t xml:space="preserve">(including further and better information) </w:t>
      </w:r>
      <w:r>
        <w:t>to it for the purposes of an inquiry, the period of the inquiry is extended by the amount of time the party takes to supply th</w:t>
      </w:r>
      <w:r w:rsidR="007171FC">
        <w:t>at</w:t>
      </w:r>
      <w:r>
        <w:t xml:space="preserve"> information (r. 14(5)).  </w:t>
      </w:r>
    </w:p>
    <w:p w:rsidR="0047632D" w:rsidRPr="00BE28A0" w:rsidRDefault="0047632D" w:rsidP="0047632D">
      <w:pPr>
        <w:rPr>
          <w:i/>
        </w:rPr>
      </w:pPr>
      <w:r w:rsidRPr="00BE28A0">
        <w:rPr>
          <w:i/>
        </w:rPr>
        <w:t>Documents pro</w:t>
      </w:r>
      <w:r>
        <w:rPr>
          <w:i/>
        </w:rPr>
        <w:t>vid</w:t>
      </w:r>
      <w:r w:rsidRPr="00BE28A0">
        <w:rPr>
          <w:i/>
        </w:rPr>
        <w:t xml:space="preserve">ed to </w:t>
      </w:r>
      <w:proofErr w:type="spellStart"/>
      <w:r w:rsidRPr="00BE28A0">
        <w:rPr>
          <w:i/>
        </w:rPr>
        <w:t>ACCC</w:t>
      </w:r>
      <w:proofErr w:type="spellEnd"/>
    </w:p>
    <w:p w:rsidR="0047632D" w:rsidRDefault="0047632D" w:rsidP="0047632D">
      <w:r>
        <w:t xml:space="preserve">If a document is provided to the </w:t>
      </w:r>
      <w:proofErr w:type="spellStart"/>
      <w:r>
        <w:t>ACCC</w:t>
      </w:r>
      <w:proofErr w:type="spellEnd"/>
      <w:r>
        <w:t xml:space="preserve"> in the context of an inquiry, </w:t>
      </w:r>
      <w:r w:rsidR="00F441C8">
        <w:t xml:space="preserve">either as a submission or a response to a notice, </w:t>
      </w:r>
      <w:r>
        <w:t xml:space="preserve">the </w:t>
      </w:r>
      <w:proofErr w:type="spellStart"/>
      <w:r>
        <w:t>ACCC</w:t>
      </w:r>
      <w:proofErr w:type="spellEnd"/>
      <w:r>
        <w:t xml:space="preserve"> may</w:t>
      </w:r>
      <w:r w:rsidR="00FF6668">
        <w:t xml:space="preserve"> (r.20)</w:t>
      </w:r>
      <w:r>
        <w:t>:</w:t>
      </w:r>
    </w:p>
    <w:p w:rsidR="0047632D" w:rsidRDefault="0047632D" w:rsidP="0047632D">
      <w:pPr>
        <w:numPr>
          <w:ilvl w:val="0"/>
          <w:numId w:val="34"/>
        </w:numPr>
      </w:pPr>
      <w:r>
        <w:t>make a copy of, and take an extract from, the document</w:t>
      </w:r>
    </w:p>
    <w:p w:rsidR="0047632D" w:rsidRDefault="0047632D" w:rsidP="0047632D">
      <w:pPr>
        <w:numPr>
          <w:ilvl w:val="0"/>
          <w:numId w:val="34"/>
        </w:numPr>
      </w:pPr>
      <w:proofErr w:type="gramStart"/>
      <w:r>
        <w:t>keep</w:t>
      </w:r>
      <w:proofErr w:type="gramEnd"/>
      <w:r>
        <w:t xml:space="preserve"> the document for as long as is necessary for the purposes of the inquiry.</w:t>
      </w:r>
    </w:p>
    <w:p w:rsidR="00BE28A0" w:rsidRPr="00BE28A0" w:rsidRDefault="00BE28A0" w:rsidP="00F441C8">
      <w:pPr>
        <w:keepNext/>
        <w:rPr>
          <w:i/>
        </w:rPr>
      </w:pPr>
      <w:r w:rsidRPr="00BE28A0">
        <w:rPr>
          <w:i/>
        </w:rPr>
        <w:t xml:space="preserve">Use of information obtained under Part </w:t>
      </w:r>
      <w:proofErr w:type="spellStart"/>
      <w:r w:rsidRPr="00BE28A0">
        <w:rPr>
          <w:i/>
        </w:rPr>
        <w:t>VIIA</w:t>
      </w:r>
      <w:proofErr w:type="spellEnd"/>
      <w:r w:rsidRPr="00BE28A0">
        <w:rPr>
          <w:i/>
        </w:rPr>
        <w:t xml:space="preserve"> of the </w:t>
      </w:r>
      <w:proofErr w:type="spellStart"/>
      <w:r w:rsidRPr="00BE28A0">
        <w:rPr>
          <w:i/>
        </w:rPr>
        <w:t>CCA</w:t>
      </w:r>
      <w:proofErr w:type="spellEnd"/>
    </w:p>
    <w:p w:rsidR="00BE28A0" w:rsidRPr="00BE28A0" w:rsidRDefault="00F441C8" w:rsidP="00BE28A0">
      <w:r>
        <w:t xml:space="preserve">The third way that the </w:t>
      </w:r>
      <w:proofErr w:type="spellStart"/>
      <w:r>
        <w:t>ACCC</w:t>
      </w:r>
      <w:proofErr w:type="spellEnd"/>
      <w:r>
        <w:t xml:space="preserve"> would be likely to obtain information is that, if</w:t>
      </w:r>
      <w:r w:rsidR="00BE28A0" w:rsidRPr="00BE28A0">
        <w:t xml:space="preserve"> the </w:t>
      </w:r>
      <w:proofErr w:type="spellStart"/>
      <w:r w:rsidR="00BE28A0" w:rsidRPr="00BE28A0">
        <w:t>ACCC</w:t>
      </w:r>
      <w:proofErr w:type="spellEnd"/>
      <w:r w:rsidR="00BE28A0" w:rsidRPr="00BE28A0">
        <w:t xml:space="preserve"> thinks that any information obtained by </w:t>
      </w:r>
      <w:r>
        <w:t xml:space="preserve">the </w:t>
      </w:r>
      <w:proofErr w:type="spellStart"/>
      <w:r>
        <w:t>ACCC</w:t>
      </w:r>
      <w:proofErr w:type="spellEnd"/>
      <w:r w:rsidRPr="00BE28A0">
        <w:t xml:space="preserve"> </w:t>
      </w:r>
      <w:r w:rsidR="00500295">
        <w:t xml:space="preserve">as part of </w:t>
      </w:r>
      <w:r>
        <w:t>its</w:t>
      </w:r>
      <w:r w:rsidR="00500295">
        <w:t xml:space="preserve"> consideration of a price notification from Australia Post </w:t>
      </w:r>
      <w:r w:rsidR="00BE28A0" w:rsidRPr="00BE28A0">
        <w:t xml:space="preserve">under Part </w:t>
      </w:r>
      <w:proofErr w:type="spellStart"/>
      <w:r w:rsidR="00BE28A0" w:rsidRPr="00BE28A0">
        <w:t>VIIA</w:t>
      </w:r>
      <w:proofErr w:type="spellEnd"/>
      <w:r w:rsidR="00BE28A0" w:rsidRPr="00BE28A0">
        <w:t xml:space="preserve"> of the </w:t>
      </w:r>
      <w:proofErr w:type="spellStart"/>
      <w:r w:rsidR="00BE28A0" w:rsidRPr="00BE28A0">
        <w:t>CCA</w:t>
      </w:r>
      <w:proofErr w:type="spellEnd"/>
      <w:r w:rsidR="00BE28A0" w:rsidRPr="00BE28A0">
        <w:t xml:space="preserve"> may be relevant to an inquiry, the </w:t>
      </w:r>
      <w:proofErr w:type="spellStart"/>
      <w:r w:rsidR="00BE28A0" w:rsidRPr="00BE28A0">
        <w:t>ACCC</w:t>
      </w:r>
      <w:proofErr w:type="spellEnd"/>
      <w:r w:rsidR="00BE28A0" w:rsidRPr="00BE28A0">
        <w:t xml:space="preserve"> may use the information in the inquiry</w:t>
      </w:r>
      <w:r w:rsidR="00DF1748">
        <w:t xml:space="preserve"> (r.</w:t>
      </w:r>
      <w:r w:rsidR="00EE5CD9">
        <w:t xml:space="preserve"> </w:t>
      </w:r>
      <w:r w:rsidR="00DF1748">
        <w:t>18A)</w:t>
      </w:r>
      <w:r w:rsidR="00BE28A0" w:rsidRPr="00BE28A0">
        <w:t xml:space="preserve">. </w:t>
      </w:r>
    </w:p>
    <w:p w:rsidR="00AA2A7A" w:rsidRDefault="005072D0">
      <w:pPr>
        <w:pStyle w:val="Heading4"/>
        <w:numPr>
          <w:ilvl w:val="0"/>
          <w:numId w:val="0"/>
        </w:numPr>
      </w:pPr>
      <w:bookmarkStart w:id="109" w:name="_Toc332363536"/>
      <w:r>
        <w:t>4.2.5</w:t>
      </w:r>
      <w:r>
        <w:tab/>
      </w:r>
      <w:r w:rsidRPr="00A44674">
        <w:t>Alternative access pricing methodologies</w:t>
      </w:r>
      <w:bookmarkEnd w:id="109"/>
    </w:p>
    <w:p w:rsidR="009E6A45" w:rsidRDefault="005072D0" w:rsidP="005072D0">
      <w:r>
        <w:t xml:space="preserve">In assessing </w:t>
      </w:r>
      <w:r w:rsidR="005F00A7">
        <w:t>what</w:t>
      </w:r>
      <w:r>
        <w:t xml:space="preserve"> rate reduction should apply to a bulk interconnection service, the </w:t>
      </w:r>
      <w:proofErr w:type="spellStart"/>
      <w:r>
        <w:t>ACCC</w:t>
      </w:r>
      <w:proofErr w:type="spellEnd"/>
      <w:r>
        <w:t xml:space="preserve"> may make use of a number of alternative access pricing methodologies such as a ‘top down’ ‘retail minus avoidable cost’ methodology or a ‘bottom up’ ‘building block’ approach . </w:t>
      </w:r>
    </w:p>
    <w:p w:rsidR="00AA2A7A" w:rsidRDefault="009E6A45" w:rsidP="005072D0">
      <w:r>
        <w:t xml:space="preserve">These approaches involve the </w:t>
      </w:r>
      <w:proofErr w:type="spellStart"/>
      <w:r>
        <w:t>ACCC</w:t>
      </w:r>
      <w:proofErr w:type="spellEnd"/>
      <w:r>
        <w:t xml:space="preserve"> making an assessment of the </w:t>
      </w:r>
      <w:r w:rsidRPr="000B633D">
        <w:t xml:space="preserve">efficiency of </w:t>
      </w:r>
      <w:r>
        <w:t xml:space="preserve">costs incurred by </w:t>
      </w:r>
      <w:r w:rsidRPr="000B633D">
        <w:t xml:space="preserve">Australia Post </w:t>
      </w:r>
      <w:r>
        <w:t xml:space="preserve">in processing and sorting letters. The </w:t>
      </w:r>
      <w:proofErr w:type="spellStart"/>
      <w:r>
        <w:t>ACCC</w:t>
      </w:r>
      <w:proofErr w:type="spellEnd"/>
      <w:r>
        <w:t xml:space="preserve"> would expect that </w:t>
      </w:r>
      <w:r w:rsidR="009E748C">
        <w:t>bulk interconnection service</w:t>
      </w:r>
      <w:r>
        <w:t xml:space="preserve"> prices would be </w:t>
      </w:r>
      <w:r w:rsidRPr="000B633D">
        <w:t xml:space="preserve">sufficient </w:t>
      </w:r>
      <w:r>
        <w:t xml:space="preserve">for Australia Post </w:t>
      </w:r>
      <w:r w:rsidRPr="000B633D">
        <w:t xml:space="preserve">to recover </w:t>
      </w:r>
      <w:r>
        <w:t>efficient costs of the service</w:t>
      </w:r>
      <w:r w:rsidRPr="000B633D">
        <w:t>.</w:t>
      </w:r>
    </w:p>
    <w:p w:rsidR="00975BDE" w:rsidRDefault="00372DA0" w:rsidP="00975BDE">
      <w:r>
        <w:t>T</w:t>
      </w:r>
      <w:r w:rsidR="00975BDE">
        <w:t xml:space="preserve">he </w:t>
      </w:r>
      <w:proofErr w:type="spellStart"/>
      <w:r w:rsidR="00975BDE">
        <w:t>ACC</w:t>
      </w:r>
      <w:r w:rsidR="00613A55">
        <w:t>C</w:t>
      </w:r>
      <w:proofErr w:type="spellEnd"/>
      <w:r w:rsidR="00975BDE">
        <w:t xml:space="preserve"> will also consider the limited time</w:t>
      </w:r>
      <w:r>
        <w:t>frame</w:t>
      </w:r>
      <w:r w:rsidR="00975BDE">
        <w:t xml:space="preserve"> (60 days plus a possible extension of up to 30 days) </w:t>
      </w:r>
      <w:r>
        <w:t xml:space="preserve">available </w:t>
      </w:r>
      <w:r w:rsidR="00975BDE">
        <w:t xml:space="preserve">for it to conduct an inquiry into a </w:t>
      </w:r>
      <w:r w:rsidR="009E748C">
        <w:t>bulk interconnection service</w:t>
      </w:r>
      <w:r w:rsidR="00975BDE">
        <w:t xml:space="preserve"> dispute</w:t>
      </w:r>
      <w:r>
        <w:t xml:space="preserve"> when deciding on an appropriate pricing methodology to apply</w:t>
      </w:r>
      <w:r w:rsidR="00975BDE">
        <w:t>.</w:t>
      </w:r>
    </w:p>
    <w:p w:rsidR="005072D0" w:rsidRPr="00A44674" w:rsidRDefault="005072D0" w:rsidP="005072D0">
      <w:pPr>
        <w:rPr>
          <w:i/>
        </w:rPr>
      </w:pPr>
      <w:r w:rsidRPr="00A44674">
        <w:rPr>
          <w:i/>
        </w:rPr>
        <w:t xml:space="preserve">Avoidable cost methodology </w:t>
      </w:r>
    </w:p>
    <w:p w:rsidR="005072D0" w:rsidRDefault="005072D0" w:rsidP="005072D0">
      <w:r>
        <w:t xml:space="preserve">Under an avoidable cost methodology the access price for a particular bulk interconnection service should be no higher than the retail price </w:t>
      </w:r>
      <w:r w:rsidR="007B703B">
        <w:t xml:space="preserve">or the </w:t>
      </w:r>
      <w:r w:rsidR="002D5F03">
        <w:t xml:space="preserve">equivalent ordinary letter </w:t>
      </w:r>
      <w:r>
        <w:t xml:space="preserve">service less Australia Post’s avoidable cost in providing that service. </w:t>
      </w:r>
    </w:p>
    <w:p w:rsidR="005072D0" w:rsidRDefault="005072D0" w:rsidP="005072D0">
      <w:r>
        <w:t>For example</w:t>
      </w:r>
      <w:r w:rsidR="00597369">
        <w:t>,</w:t>
      </w:r>
      <w:r>
        <w:t xml:space="preserve"> the </w:t>
      </w:r>
      <w:r w:rsidR="009E748C">
        <w:t>bulk interconnection service</w:t>
      </w:r>
      <w:r>
        <w:t xml:space="preserve"> access price for small letters could be calculated as the basic postage rate less Australia Post’s avoidable cost in providing that service (in this case</w:t>
      </w:r>
      <w:r w:rsidR="00597369">
        <w:t>,</w:t>
      </w:r>
      <w:r>
        <w:t xml:space="preserve"> Australia Post’s costs of sorting, processing and transporting letters). </w:t>
      </w:r>
    </w:p>
    <w:p w:rsidR="00425524" w:rsidRDefault="00425524" w:rsidP="00425524">
      <w:r>
        <w:t xml:space="preserve">However some small letter bulk interconnection services such as Charity mail are currently provided to customers at a discount to the small </w:t>
      </w:r>
      <w:proofErr w:type="spellStart"/>
      <w:r>
        <w:t>PreSort</w:t>
      </w:r>
      <w:proofErr w:type="spellEnd"/>
      <w:r>
        <w:t xml:space="preserve"> rate without any additional savings in sorting, processing and transporting costs to Australia Post. This would be a consideration for the </w:t>
      </w:r>
      <w:proofErr w:type="spellStart"/>
      <w:r>
        <w:t>ACCC</w:t>
      </w:r>
      <w:proofErr w:type="spellEnd"/>
      <w:r>
        <w:t xml:space="preserve"> in relation to any dispute notification for such a service.</w:t>
      </w:r>
    </w:p>
    <w:p w:rsidR="005072D0" w:rsidRPr="005072D0" w:rsidRDefault="005072D0" w:rsidP="005072D0">
      <w:pPr>
        <w:autoSpaceDE w:val="0"/>
        <w:autoSpaceDN w:val="0"/>
        <w:adjustRightInd w:val="0"/>
        <w:spacing w:after="0"/>
        <w:rPr>
          <w:i/>
          <w:szCs w:val="24"/>
        </w:rPr>
      </w:pPr>
      <w:r w:rsidRPr="005072D0">
        <w:rPr>
          <w:i/>
          <w:szCs w:val="24"/>
        </w:rPr>
        <w:t>Building-block approach</w:t>
      </w:r>
    </w:p>
    <w:p w:rsidR="005072D0" w:rsidRDefault="005072D0" w:rsidP="005072D0">
      <w:pPr>
        <w:autoSpaceDE w:val="0"/>
        <w:autoSpaceDN w:val="0"/>
        <w:adjustRightInd w:val="0"/>
        <w:spacing w:after="0"/>
        <w:rPr>
          <w:szCs w:val="24"/>
        </w:rPr>
      </w:pPr>
    </w:p>
    <w:p w:rsidR="005072D0" w:rsidRDefault="005072D0" w:rsidP="005072D0">
      <w:pPr>
        <w:rPr>
          <w:i/>
        </w:rPr>
      </w:pPr>
      <w:r>
        <w:rPr>
          <w:szCs w:val="24"/>
        </w:rPr>
        <w:t xml:space="preserve">Under a </w:t>
      </w:r>
      <w:r w:rsidR="00597369">
        <w:rPr>
          <w:szCs w:val="24"/>
        </w:rPr>
        <w:t>‘</w:t>
      </w:r>
      <w:r>
        <w:rPr>
          <w:szCs w:val="24"/>
        </w:rPr>
        <w:t>bottom</w:t>
      </w:r>
      <w:r w:rsidR="00597369">
        <w:rPr>
          <w:szCs w:val="24"/>
        </w:rPr>
        <w:t xml:space="preserve"> </w:t>
      </w:r>
      <w:r>
        <w:rPr>
          <w:szCs w:val="24"/>
        </w:rPr>
        <w:t>up</w:t>
      </w:r>
      <w:r w:rsidR="00597369">
        <w:rPr>
          <w:szCs w:val="24"/>
        </w:rPr>
        <w:t>’</w:t>
      </w:r>
      <w:r>
        <w:rPr>
          <w:szCs w:val="24"/>
        </w:rPr>
        <w:t xml:space="preserve"> approach an access price </w:t>
      </w:r>
      <w:r w:rsidR="0071590A">
        <w:rPr>
          <w:szCs w:val="24"/>
        </w:rPr>
        <w:t>could be</w:t>
      </w:r>
      <w:r>
        <w:rPr>
          <w:szCs w:val="24"/>
        </w:rPr>
        <w:t xml:space="preserve"> calculated using a </w:t>
      </w:r>
      <w:r w:rsidR="00597369">
        <w:rPr>
          <w:szCs w:val="24"/>
        </w:rPr>
        <w:t>‘</w:t>
      </w:r>
      <w:r>
        <w:rPr>
          <w:szCs w:val="24"/>
        </w:rPr>
        <w:t>b</w:t>
      </w:r>
      <w:r w:rsidRPr="005072D0">
        <w:rPr>
          <w:szCs w:val="24"/>
        </w:rPr>
        <w:t>uilding-block</w:t>
      </w:r>
      <w:r w:rsidR="00597369">
        <w:rPr>
          <w:szCs w:val="24"/>
        </w:rPr>
        <w:t>’</w:t>
      </w:r>
      <w:r w:rsidRPr="005072D0">
        <w:rPr>
          <w:i/>
          <w:szCs w:val="24"/>
        </w:rPr>
        <w:t xml:space="preserve"> </w:t>
      </w:r>
      <w:r w:rsidR="00597369">
        <w:rPr>
          <w:szCs w:val="24"/>
        </w:rPr>
        <w:t>methodology</w:t>
      </w:r>
      <w:r>
        <w:rPr>
          <w:szCs w:val="24"/>
        </w:rPr>
        <w:t xml:space="preserve">. In calculating an access price of a bulk interconnection service the </w:t>
      </w:r>
      <w:proofErr w:type="spellStart"/>
      <w:r>
        <w:rPr>
          <w:szCs w:val="24"/>
        </w:rPr>
        <w:t>ACCC</w:t>
      </w:r>
      <w:proofErr w:type="spellEnd"/>
      <w:r>
        <w:rPr>
          <w:szCs w:val="24"/>
        </w:rPr>
        <w:t xml:space="preserve"> would consider the various ‘blocks’ of costs associated with providing th</w:t>
      </w:r>
      <w:r w:rsidR="004B3774">
        <w:rPr>
          <w:szCs w:val="24"/>
        </w:rPr>
        <w:t>at</w:t>
      </w:r>
      <w:r>
        <w:rPr>
          <w:szCs w:val="24"/>
        </w:rPr>
        <w:t xml:space="preserve"> service.</w:t>
      </w:r>
      <w:r>
        <w:rPr>
          <w:sz w:val="16"/>
          <w:szCs w:val="16"/>
        </w:rPr>
        <w:t xml:space="preserve">  </w:t>
      </w:r>
      <w:r>
        <w:rPr>
          <w:szCs w:val="24"/>
        </w:rPr>
        <w:t>These cost blocks would include capital costs (including a return on capital</w:t>
      </w:r>
      <w:r w:rsidR="004B3774">
        <w:rPr>
          <w:szCs w:val="24"/>
        </w:rPr>
        <w:t>)</w:t>
      </w:r>
      <w:r>
        <w:rPr>
          <w:szCs w:val="24"/>
        </w:rPr>
        <w:t xml:space="preserve"> and a return of operating costs and indirect costs</w:t>
      </w:r>
      <w:r w:rsidR="004B3774">
        <w:rPr>
          <w:szCs w:val="24"/>
        </w:rPr>
        <w:t xml:space="preserve">. Together these would represent the cost of providing the service and </w:t>
      </w:r>
      <w:r w:rsidR="009E6A45">
        <w:rPr>
          <w:szCs w:val="24"/>
        </w:rPr>
        <w:t>prices would be forecast to recover those costs</w:t>
      </w:r>
      <w:r>
        <w:rPr>
          <w:szCs w:val="24"/>
        </w:rPr>
        <w:t xml:space="preserve">. </w:t>
      </w:r>
    </w:p>
    <w:p w:rsidR="002811A0" w:rsidRPr="002F7571" w:rsidRDefault="002811A0" w:rsidP="002811A0">
      <w:pPr>
        <w:pStyle w:val="Heading4"/>
        <w:numPr>
          <w:ilvl w:val="0"/>
          <w:numId w:val="0"/>
        </w:numPr>
      </w:pPr>
      <w:bookmarkStart w:id="110" w:name="_Toc332363537"/>
      <w:r w:rsidRPr="002F7571">
        <w:t>4.</w:t>
      </w:r>
      <w:r w:rsidR="00F05DAE">
        <w:t>2</w:t>
      </w:r>
      <w:r w:rsidRPr="002F7571">
        <w:t>.</w:t>
      </w:r>
      <w:r w:rsidR="005072D0">
        <w:t>6</w:t>
      </w:r>
      <w:r w:rsidRPr="002F7571">
        <w:tab/>
      </w:r>
      <w:r>
        <w:t xml:space="preserve">Possible </w:t>
      </w:r>
      <w:r w:rsidRPr="002F7571">
        <w:t>Conference with the Commissioner(s)</w:t>
      </w:r>
      <w:bookmarkEnd w:id="110"/>
    </w:p>
    <w:p w:rsidR="00713D1B" w:rsidRDefault="004F6EFD" w:rsidP="002811A0">
      <w:r>
        <w:t xml:space="preserve">Given the timeframes involved, </w:t>
      </w:r>
      <w:r w:rsidR="00713D1B">
        <w:t xml:space="preserve">the </w:t>
      </w:r>
      <w:proofErr w:type="spellStart"/>
      <w:r w:rsidR="00713D1B">
        <w:t>ACCC</w:t>
      </w:r>
      <w:proofErr w:type="spellEnd"/>
      <w:r w:rsidR="00713D1B">
        <w:t xml:space="preserve"> </w:t>
      </w:r>
      <w:r>
        <w:t xml:space="preserve">generally </w:t>
      </w:r>
      <w:r w:rsidR="00713D1B">
        <w:t>anticipates</w:t>
      </w:r>
      <w:r>
        <w:t xml:space="preserve"> </w:t>
      </w:r>
      <w:r w:rsidR="00713D1B">
        <w:t xml:space="preserve">conducting </w:t>
      </w:r>
      <w:r>
        <w:t xml:space="preserve">its </w:t>
      </w:r>
      <w:r w:rsidR="00713D1B">
        <w:t xml:space="preserve">inquiries based </w:t>
      </w:r>
      <w:r>
        <w:t>o</w:t>
      </w:r>
      <w:r w:rsidR="00713D1B">
        <w:t xml:space="preserve">n information supplied to it in </w:t>
      </w:r>
      <w:r>
        <w:t>submissions and other documents</w:t>
      </w:r>
      <w:r w:rsidR="00605A1E">
        <w:t>.</w:t>
      </w:r>
    </w:p>
    <w:p w:rsidR="002811A0" w:rsidRDefault="00605A1E" w:rsidP="002811A0">
      <w:r>
        <w:t>However</w:t>
      </w:r>
      <w:r w:rsidR="00255212">
        <w:t>,</w:t>
      </w:r>
      <w:r>
        <w:t xml:space="preserve"> t</w:t>
      </w:r>
      <w:r w:rsidR="002811A0">
        <w:t xml:space="preserve">he </w:t>
      </w:r>
      <w:proofErr w:type="spellStart"/>
      <w:r w:rsidR="002811A0">
        <w:t>ACCC</w:t>
      </w:r>
      <w:proofErr w:type="spellEnd"/>
      <w:r w:rsidR="002811A0">
        <w:t xml:space="preserve"> may hold a conference </w:t>
      </w:r>
      <w:r>
        <w:t>between the parties and Commissioner(s)</w:t>
      </w:r>
      <w:r w:rsidR="007C0F45">
        <w:t xml:space="preserve"> </w:t>
      </w:r>
      <w:r w:rsidR="002811A0">
        <w:t xml:space="preserve">either before or after seeking submissions from interested parties. This conference may be held to expedite the progress of the inquiry or to clarify matters that have arisen during the course of the inquiry from a document or information provided to the </w:t>
      </w:r>
      <w:proofErr w:type="spellStart"/>
      <w:r w:rsidR="002811A0">
        <w:t>ACCC</w:t>
      </w:r>
      <w:proofErr w:type="spellEnd"/>
      <w:r w:rsidR="002811A0">
        <w:t>, or on any other matter relevant to the inquiry (r. 24(1)</w:t>
      </w:r>
      <w:r w:rsidR="001B0815">
        <w:t>)</w:t>
      </w:r>
      <w:r w:rsidR="0018082B">
        <w:t xml:space="preserve">. </w:t>
      </w:r>
    </w:p>
    <w:p w:rsidR="0018082B" w:rsidRDefault="0018082B" w:rsidP="0018082B">
      <w:pPr>
        <w:spacing w:before="120" w:after="120"/>
      </w:pPr>
      <w:r>
        <w:t xml:space="preserve">The specific requirements under the </w:t>
      </w:r>
      <w:proofErr w:type="spellStart"/>
      <w:r>
        <w:t>APCR</w:t>
      </w:r>
      <w:proofErr w:type="spellEnd"/>
      <w:r>
        <w:t xml:space="preserve"> associated with holding a conference are outlined in Box 4.</w:t>
      </w:r>
      <w:r w:rsidR="0071590A">
        <w:t xml:space="preserve">1 </w:t>
      </w:r>
      <w:r>
        <w:t>below.</w:t>
      </w:r>
    </w:p>
    <w:p w:rsidR="002811A0" w:rsidRDefault="00CF79EA" w:rsidP="002811A0">
      <w:r>
        <w:rPr>
          <w:noProof/>
        </w:rPr>
        <w:pict>
          <v:shape id="_x0000_s1051" type="#_x0000_t202" style="position:absolute;margin-left:0;margin-top:0;width:432.75pt;height:495.1pt;z-index:251648000;mso-wrap-style:none">
            <v:textbox style="mso-next-textbox:#_x0000_s1051;mso-fit-shape-to-text:t">
              <w:txbxContent>
                <w:p w:rsidR="00E82DB4" w:rsidRPr="0018082B" w:rsidRDefault="00E82DB4" w:rsidP="002811A0">
                  <w:pPr>
                    <w:rPr>
                      <w:b/>
                    </w:rPr>
                  </w:pPr>
                  <w:r w:rsidRPr="0018082B">
                    <w:rPr>
                      <w:b/>
                    </w:rPr>
                    <w:t>Box 4.</w:t>
                  </w:r>
                  <w:r>
                    <w:rPr>
                      <w:b/>
                    </w:rPr>
                    <w:t>1</w:t>
                  </w:r>
                  <w:r w:rsidRPr="0018082B">
                    <w:rPr>
                      <w:b/>
                    </w:rPr>
                    <w:t>: Requirements of a conference with Commissioner(s)</w:t>
                  </w:r>
                </w:p>
                <w:p w:rsidR="00E82DB4" w:rsidRDefault="00E82DB4" w:rsidP="002811A0">
                  <w:r>
                    <w:t xml:space="preserve">If the </w:t>
                  </w:r>
                  <w:proofErr w:type="spellStart"/>
                  <w:r>
                    <w:t>ACCC</w:t>
                  </w:r>
                  <w:proofErr w:type="spellEnd"/>
                  <w:r>
                    <w:t xml:space="preserve"> decides to hold a conference, the </w:t>
                  </w:r>
                  <w:proofErr w:type="spellStart"/>
                  <w:r>
                    <w:t>ACCC</w:t>
                  </w:r>
                  <w:proofErr w:type="spellEnd"/>
                  <w:r>
                    <w:t xml:space="preserve"> (</w:t>
                  </w:r>
                  <w:proofErr w:type="gramStart"/>
                  <w:r>
                    <w:t>r.25(</w:t>
                  </w:r>
                  <w:proofErr w:type="gramEnd"/>
                  <w:r>
                    <w:t>1)) :</w:t>
                  </w:r>
                </w:p>
                <w:p w:rsidR="00E82DB4" w:rsidRDefault="00E82DB4" w:rsidP="002811A0">
                  <w:pPr>
                    <w:numPr>
                      <w:ilvl w:val="0"/>
                      <w:numId w:val="42"/>
                    </w:numPr>
                  </w:pPr>
                  <w:r>
                    <w:t>must determine the date, time and place for holding the conference; and</w:t>
                  </w:r>
                </w:p>
                <w:p w:rsidR="00E82DB4" w:rsidRDefault="00E82DB4" w:rsidP="002811A0">
                  <w:pPr>
                    <w:numPr>
                      <w:ilvl w:val="0"/>
                      <w:numId w:val="42"/>
                    </w:numPr>
                  </w:pPr>
                  <w:r>
                    <w:t xml:space="preserve">may give written notice to a party, a member of the staff of the </w:t>
                  </w:r>
                  <w:proofErr w:type="spellStart"/>
                  <w:r>
                    <w:t>ACCC</w:t>
                  </w:r>
                  <w:proofErr w:type="spellEnd"/>
                  <w:r>
                    <w:t xml:space="preserve"> or another person of the conference</w:t>
                  </w:r>
                </w:p>
                <w:p w:rsidR="00E82DB4" w:rsidRDefault="00E82DB4" w:rsidP="002811A0">
                  <w:r>
                    <w:t>An individual who is given notice of a conference must attend the conference in person (</w:t>
                  </w:r>
                  <w:proofErr w:type="gramStart"/>
                  <w:r>
                    <w:t>r.25(</w:t>
                  </w:r>
                  <w:proofErr w:type="gramEnd"/>
                  <w:r>
                    <w:t>2)).</w:t>
                  </w:r>
                </w:p>
                <w:p w:rsidR="00E82DB4" w:rsidRDefault="00E82DB4" w:rsidP="002811A0">
                  <w:r>
                    <w:t>A corporation must be represented at a conference by a director, officer or employee of the corporation</w:t>
                  </w:r>
                  <w:r w:rsidRPr="00482BB2">
                    <w:t xml:space="preserve"> </w:t>
                  </w:r>
                  <w:r>
                    <w:t>(</w:t>
                  </w:r>
                  <w:proofErr w:type="gramStart"/>
                  <w:r>
                    <w:t>r.25(</w:t>
                  </w:r>
                  <w:proofErr w:type="gramEnd"/>
                  <w:r>
                    <w:t>3)).</w:t>
                  </w:r>
                </w:p>
                <w:p w:rsidR="00E82DB4" w:rsidRDefault="00E82DB4" w:rsidP="002811A0">
                  <w:r>
                    <w:t xml:space="preserve">If a person who is given notice of a conference does not attend, the </w:t>
                  </w:r>
                  <w:proofErr w:type="spellStart"/>
                  <w:r>
                    <w:t>ACCC</w:t>
                  </w:r>
                  <w:proofErr w:type="spellEnd"/>
                  <w:r>
                    <w:t xml:space="preserve"> may hold the conference in the absence of that person (</w:t>
                  </w:r>
                  <w:proofErr w:type="gramStart"/>
                  <w:r>
                    <w:t>r.25(</w:t>
                  </w:r>
                  <w:proofErr w:type="gramEnd"/>
                  <w:r>
                    <w:t>4)).</w:t>
                  </w:r>
                </w:p>
                <w:p w:rsidR="00E82DB4" w:rsidRDefault="00E82DB4" w:rsidP="002811A0">
                  <w:r>
                    <w:t>Conferences are to be held in private, or if the parties agree, may be held wholly or partly in public (r. 26(1) and (2)).</w:t>
                  </w:r>
                </w:p>
                <w:p w:rsidR="00E82DB4" w:rsidRDefault="00E82DB4" w:rsidP="00C46013">
                  <w:r>
                    <w:t xml:space="preserve">The </w:t>
                  </w:r>
                  <w:proofErr w:type="spellStart"/>
                  <w:r>
                    <w:t>ACCC</w:t>
                  </w:r>
                  <w:proofErr w:type="spellEnd"/>
                  <w:r>
                    <w:t xml:space="preserve"> may decide (r.17 (2) (e)):</w:t>
                  </w:r>
                </w:p>
                <w:p w:rsidR="00E82DB4" w:rsidRDefault="00E82DB4" w:rsidP="002811A0">
                  <w:pPr>
                    <w:numPr>
                      <w:ilvl w:val="0"/>
                      <w:numId w:val="13"/>
                    </w:numPr>
                  </w:pPr>
                  <w:r>
                    <w:t>to limit the duration of time which a person may give evidence or make a submission at a conference</w:t>
                  </w:r>
                </w:p>
                <w:p w:rsidR="00E82DB4" w:rsidRDefault="00E82DB4" w:rsidP="002811A0">
                  <w:pPr>
                    <w:numPr>
                      <w:ilvl w:val="0"/>
                      <w:numId w:val="13"/>
                    </w:numPr>
                  </w:pPr>
                  <w:r>
                    <w:t>who may be present at a conference</w:t>
                  </w:r>
                </w:p>
                <w:p w:rsidR="00E82DB4" w:rsidRDefault="00E82DB4" w:rsidP="004B473A">
                  <w:pPr>
                    <w:numPr>
                      <w:ilvl w:val="0"/>
                      <w:numId w:val="13"/>
                    </w:numPr>
                  </w:pPr>
                  <w:r>
                    <w:t xml:space="preserve">whether a conference may be conducted wholly or partly in person or by telephone, closed circuit television or another means of communication </w:t>
                  </w:r>
                </w:p>
                <w:p w:rsidR="00E82DB4" w:rsidRPr="001007DD" w:rsidRDefault="00E82DB4" w:rsidP="00C46013">
                  <w:r>
                    <w:t xml:space="preserve">A minute of the conference will be provided to the parties as soon as practicable afterwards. If a party believes the minute is inaccurate in any way, it should provide a submission, within a week of receiving the transcript to the </w:t>
                  </w:r>
                  <w:proofErr w:type="spellStart"/>
                  <w:r>
                    <w:t>ACCC</w:t>
                  </w:r>
                  <w:proofErr w:type="spellEnd"/>
                  <w:r>
                    <w:t xml:space="preserve"> (copy to the other party or parties) setting out the areas of inaccuracy, along with suggested changes.  The </w:t>
                  </w:r>
                  <w:proofErr w:type="spellStart"/>
                  <w:r>
                    <w:t>ACCC</w:t>
                  </w:r>
                  <w:proofErr w:type="spellEnd"/>
                  <w:r>
                    <w:t xml:space="preserve"> can then check areas of concern against the recording of the conference.</w:t>
                  </w:r>
                </w:p>
              </w:txbxContent>
            </v:textbox>
            <w10:wrap type="square"/>
          </v:shape>
        </w:pict>
      </w:r>
    </w:p>
    <w:p w:rsidR="00936C48" w:rsidRDefault="00936C48" w:rsidP="00936C48">
      <w:pPr>
        <w:pStyle w:val="Heading3"/>
        <w:numPr>
          <w:ilvl w:val="0"/>
          <w:numId w:val="0"/>
        </w:numPr>
      </w:pPr>
      <w:bookmarkStart w:id="111" w:name="_Toc332363538"/>
      <w:r>
        <w:t>4.</w:t>
      </w:r>
      <w:r w:rsidR="00F05DAE">
        <w:t>3</w:t>
      </w:r>
      <w:r>
        <w:tab/>
      </w:r>
      <w:proofErr w:type="spellStart"/>
      <w:r>
        <w:t>ACCC</w:t>
      </w:r>
      <w:proofErr w:type="spellEnd"/>
      <w:r>
        <w:t xml:space="preserve"> recommendation</w:t>
      </w:r>
      <w:bookmarkEnd w:id="111"/>
      <w:r>
        <w:t xml:space="preserve"> </w:t>
      </w:r>
    </w:p>
    <w:p w:rsidR="001E0BCB" w:rsidRDefault="00936C48" w:rsidP="00936C48">
      <w:r>
        <w:t xml:space="preserve">Once the </w:t>
      </w:r>
      <w:proofErr w:type="spellStart"/>
      <w:r>
        <w:t>ACCC</w:t>
      </w:r>
      <w:proofErr w:type="spellEnd"/>
      <w:r>
        <w:t xml:space="preserve"> has considered </w:t>
      </w:r>
      <w:r w:rsidR="00F441C8">
        <w:t xml:space="preserve">all of the relevant </w:t>
      </w:r>
      <w:r>
        <w:t xml:space="preserve">material </w:t>
      </w:r>
      <w:r w:rsidR="00F441C8">
        <w:t>available to it</w:t>
      </w:r>
      <w:r>
        <w:t xml:space="preserve">, it will proceed to form its view on particular issues. </w:t>
      </w:r>
      <w:r w:rsidR="001E0BCB">
        <w:t xml:space="preserve">The </w:t>
      </w:r>
      <w:proofErr w:type="spellStart"/>
      <w:r w:rsidR="001E0BCB">
        <w:t>ACCC</w:t>
      </w:r>
      <w:proofErr w:type="spellEnd"/>
      <w:r w:rsidR="001E0BCB">
        <w:t xml:space="preserve"> will then provide a report to Minister with its recommendations in relation to the dispute.</w:t>
      </w:r>
    </w:p>
    <w:p w:rsidR="007A5EC7" w:rsidRDefault="007A5EC7" w:rsidP="007A5EC7">
      <w:r>
        <w:t xml:space="preserve">The </w:t>
      </w:r>
      <w:proofErr w:type="spellStart"/>
      <w:r>
        <w:t>ACCC</w:t>
      </w:r>
      <w:proofErr w:type="spellEnd"/>
      <w:r>
        <w:t xml:space="preserve"> must report to the Minister within the time prescribed for completing the inquiry (r. 27(1)).</w:t>
      </w:r>
    </w:p>
    <w:p w:rsidR="007A5EC7" w:rsidRDefault="007A5EC7" w:rsidP="007A5EC7">
      <w:r>
        <w:t xml:space="preserve">The </w:t>
      </w:r>
      <w:proofErr w:type="spellStart"/>
      <w:r>
        <w:t>ACCC’s</w:t>
      </w:r>
      <w:proofErr w:type="spellEnd"/>
      <w:r>
        <w:t xml:space="preserve"> report must recommend if appropriate:</w:t>
      </w:r>
    </w:p>
    <w:p w:rsidR="007A5EC7" w:rsidRDefault="007A5EC7" w:rsidP="007A5EC7">
      <w:pPr>
        <w:numPr>
          <w:ilvl w:val="0"/>
          <w:numId w:val="22"/>
        </w:numPr>
      </w:pPr>
      <w:r>
        <w:t>the rate reduction that should apply to bulk interconnection service supplied to the complainant (r. 27(2)(a)(</w:t>
      </w:r>
      <w:proofErr w:type="spellStart"/>
      <w:r>
        <w:t>i</w:t>
      </w:r>
      <w:proofErr w:type="spellEnd"/>
      <w:r>
        <w:t>))</w:t>
      </w:r>
    </w:p>
    <w:p w:rsidR="007A5EC7" w:rsidRDefault="007A5EC7" w:rsidP="007A5EC7">
      <w:pPr>
        <w:numPr>
          <w:ilvl w:val="0"/>
          <w:numId w:val="22"/>
        </w:numPr>
      </w:pPr>
      <w:r>
        <w:t>the period during which the bulk interconnection service should be supplied to the complainant at the reduced rate (r. 27(2)(a)(ii))</w:t>
      </w:r>
    </w:p>
    <w:p w:rsidR="007A5EC7" w:rsidRDefault="007A5EC7" w:rsidP="007A5EC7">
      <w:pPr>
        <w:numPr>
          <w:ilvl w:val="0"/>
          <w:numId w:val="22"/>
        </w:numPr>
      </w:pPr>
      <w:r>
        <w:t>the other terms and conditions on which the bulk interconnection service should be supplied to the complainant at the reduced rate (r. 27(2)(a)(iii))</w:t>
      </w:r>
    </w:p>
    <w:p w:rsidR="006B73D3" w:rsidRDefault="006B73D3" w:rsidP="006B73D3">
      <w:r>
        <w:t>The</w:t>
      </w:r>
      <w:r w:rsidR="00F441C8">
        <w:t xml:space="preserve"> manner in which the recommendations on the</w:t>
      </w:r>
      <w:r>
        <w:t xml:space="preserve">se matters </w:t>
      </w:r>
      <w:r w:rsidR="00F441C8">
        <w:t xml:space="preserve">are specified </w:t>
      </w:r>
      <w:r>
        <w:t>will be determined on a case by case basis.</w:t>
      </w:r>
    </w:p>
    <w:p w:rsidR="007A5EC7" w:rsidRDefault="007A5EC7" w:rsidP="007A5EC7">
      <w:r w:rsidRPr="00AA685F">
        <w:t>Any such recommendation</w:t>
      </w:r>
      <w:r>
        <w:t>s</w:t>
      </w:r>
      <w:r w:rsidRPr="00AA685F">
        <w:t xml:space="preserve"> by the </w:t>
      </w:r>
      <w:proofErr w:type="spellStart"/>
      <w:r>
        <w:t>ACCC</w:t>
      </w:r>
      <w:proofErr w:type="spellEnd"/>
      <w:r>
        <w:t xml:space="preserve"> to the Minister:</w:t>
      </w:r>
    </w:p>
    <w:p w:rsidR="007A5EC7" w:rsidRDefault="007A5EC7" w:rsidP="007A5EC7">
      <w:pPr>
        <w:numPr>
          <w:ilvl w:val="0"/>
          <w:numId w:val="57"/>
        </w:numPr>
      </w:pPr>
      <w:r w:rsidRPr="00AA685F">
        <w:t xml:space="preserve">would relate only to the </w:t>
      </w:r>
      <w:r>
        <w:t xml:space="preserve">terms and conditions under which </w:t>
      </w:r>
      <w:r w:rsidRPr="00AA685F">
        <w:t xml:space="preserve">Australia Post </w:t>
      </w:r>
      <w:r>
        <w:t>supplied bulk interconnection services to</w:t>
      </w:r>
      <w:r w:rsidRPr="00AA685F">
        <w:t xml:space="preserve"> the </w:t>
      </w:r>
      <w:r>
        <w:t>complainant</w:t>
      </w:r>
      <w:r w:rsidRPr="00AA685F">
        <w:t xml:space="preserve"> </w:t>
      </w:r>
    </w:p>
    <w:p w:rsidR="007A5EC7" w:rsidRPr="00F0311F" w:rsidRDefault="007A5EC7" w:rsidP="007A5EC7">
      <w:pPr>
        <w:numPr>
          <w:ilvl w:val="0"/>
          <w:numId w:val="57"/>
        </w:numPr>
      </w:pPr>
      <w:r w:rsidRPr="00F0311F">
        <w:t>could include a recommended date from which a rate reduction or other terms and conditions of the relevant service should be supplied to the complainant, provided that the recommended date does not precede the date</w:t>
      </w:r>
      <w:r>
        <w:t xml:space="preserve"> of notification of the dispute</w:t>
      </w:r>
    </w:p>
    <w:p w:rsidR="007A5EC7" w:rsidRDefault="007A5EC7" w:rsidP="007A5EC7">
      <w:r>
        <w:t xml:space="preserve">In making a recommendation, the </w:t>
      </w:r>
      <w:proofErr w:type="spellStart"/>
      <w:r>
        <w:t>ACCC</w:t>
      </w:r>
      <w:proofErr w:type="spellEnd"/>
      <w:r>
        <w:t xml:space="preserve"> must have regard to (r. 27(3)): </w:t>
      </w:r>
    </w:p>
    <w:p w:rsidR="007A5EC7" w:rsidRPr="007238EC" w:rsidRDefault="007A5EC7" w:rsidP="007A5EC7">
      <w:pPr>
        <w:numPr>
          <w:ilvl w:val="0"/>
          <w:numId w:val="23"/>
        </w:numPr>
      </w:pPr>
      <w:r w:rsidRPr="007238EC">
        <w:t xml:space="preserve">all the known information relevant to the dispute including information provided to the inquiry </w:t>
      </w:r>
    </w:p>
    <w:p w:rsidR="007A5EC7" w:rsidRPr="007238EC" w:rsidRDefault="007A5EC7" w:rsidP="007A5EC7">
      <w:pPr>
        <w:numPr>
          <w:ilvl w:val="0"/>
          <w:numId w:val="23"/>
        </w:numPr>
      </w:pPr>
      <w:proofErr w:type="gramStart"/>
      <w:r w:rsidRPr="007238EC">
        <w:t>the</w:t>
      </w:r>
      <w:proofErr w:type="gramEnd"/>
      <w:r w:rsidRPr="007238EC">
        <w:t xml:space="preserve"> obligations of Australia Post under section 26,</w:t>
      </w:r>
      <w:r>
        <w:t xml:space="preserve"> </w:t>
      </w:r>
      <w:r w:rsidRPr="007238EC">
        <w:t xml:space="preserve">27 and 28 of </w:t>
      </w:r>
      <w:r>
        <w:t xml:space="preserve">the </w:t>
      </w:r>
      <w:proofErr w:type="spellStart"/>
      <w:r w:rsidRPr="007238EC">
        <w:t>APCA</w:t>
      </w:r>
      <w:proofErr w:type="spellEnd"/>
      <w:r w:rsidRPr="007238EC">
        <w:t xml:space="preserve"> which relate respectively to Australia Post’s commercial, community service and general governmental obligations.  </w:t>
      </w:r>
    </w:p>
    <w:p w:rsidR="007A5EC7" w:rsidRPr="007238EC" w:rsidRDefault="007A5EC7" w:rsidP="007A5EC7">
      <w:pPr>
        <w:numPr>
          <w:ilvl w:val="0"/>
          <w:numId w:val="23"/>
        </w:numPr>
      </w:pPr>
      <w:r w:rsidRPr="007238EC">
        <w:t>Australia Post’s estimate of the average transport costs avoided for letter</w:t>
      </w:r>
      <w:r>
        <w:t>s</w:t>
      </w:r>
      <w:r w:rsidRPr="007238EC">
        <w:t xml:space="preserve"> lodged for delivery under the service </w:t>
      </w:r>
    </w:p>
    <w:p w:rsidR="00761B3C" w:rsidRDefault="004A713C" w:rsidP="007E4462">
      <w:r>
        <w:t xml:space="preserve">The </w:t>
      </w:r>
      <w:r w:rsidR="00F441C8">
        <w:t xml:space="preserve">role </w:t>
      </w:r>
      <w:r>
        <w:t xml:space="preserve">of the Minister under the </w:t>
      </w:r>
      <w:proofErr w:type="spellStart"/>
      <w:r>
        <w:t>APCR</w:t>
      </w:r>
      <w:proofErr w:type="spellEnd"/>
      <w:r>
        <w:t>,</w:t>
      </w:r>
      <w:r w:rsidR="001B0815">
        <w:t xml:space="preserve"> in regards to the </w:t>
      </w:r>
      <w:proofErr w:type="spellStart"/>
      <w:r w:rsidR="001B0815">
        <w:t>ACCC’s</w:t>
      </w:r>
      <w:proofErr w:type="spellEnd"/>
      <w:r w:rsidR="001B0815">
        <w:t xml:space="preserve"> recommendation and the dispute,</w:t>
      </w:r>
      <w:r>
        <w:t xml:space="preserve"> </w:t>
      </w:r>
      <w:r w:rsidR="00F441C8">
        <w:t xml:space="preserve">is </w:t>
      </w:r>
      <w:r>
        <w:t>discussed in Chapter 5.</w:t>
      </w:r>
    </w:p>
    <w:p w:rsidR="007E4462" w:rsidRDefault="00761B3C" w:rsidP="007E4462">
      <w:r>
        <w:br w:type="page"/>
      </w:r>
    </w:p>
    <w:p w:rsidR="00714F66" w:rsidRPr="0071178C" w:rsidRDefault="00D1452D" w:rsidP="00714F66">
      <w:pPr>
        <w:pBdr>
          <w:top w:val="single" w:sz="4" w:space="1" w:color="auto"/>
          <w:left w:val="single" w:sz="4" w:space="1" w:color="auto"/>
          <w:bottom w:val="single" w:sz="4" w:space="1" w:color="auto"/>
          <w:right w:val="single" w:sz="4" w:space="1" w:color="auto"/>
        </w:pBdr>
        <w:shd w:val="clear" w:color="auto" w:fill="C0C0C0"/>
        <w:spacing w:before="120" w:after="120"/>
        <w:rPr>
          <w:b/>
        </w:rPr>
      </w:pPr>
      <w:r w:rsidRPr="0071178C">
        <w:rPr>
          <w:b/>
        </w:rPr>
        <w:t>Chapter</w:t>
      </w:r>
      <w:r w:rsidR="00714F66" w:rsidRPr="0071178C">
        <w:rPr>
          <w:b/>
        </w:rPr>
        <w:t xml:space="preserve"> 4 questions</w:t>
      </w:r>
    </w:p>
    <w:p w:rsidR="00066287" w:rsidRDefault="00CF2B44">
      <w:pPr>
        <w:pBdr>
          <w:top w:val="single" w:sz="4" w:space="1" w:color="auto"/>
          <w:left w:val="single" w:sz="4" w:space="1" w:color="auto"/>
          <w:bottom w:val="single" w:sz="4" w:space="1" w:color="auto"/>
          <w:right w:val="single" w:sz="4" w:space="1" w:color="auto"/>
        </w:pBdr>
        <w:shd w:val="clear" w:color="auto" w:fill="C0C0C0"/>
        <w:spacing w:before="120" w:after="120"/>
        <w:ind w:left="720" w:hanging="720"/>
      </w:pPr>
      <w:r>
        <w:t xml:space="preserve">Q </w:t>
      </w:r>
      <w:r w:rsidR="0095185F">
        <w:t>4.1</w:t>
      </w:r>
      <w:r w:rsidR="0095185F">
        <w:tab/>
        <w:t xml:space="preserve">Do you have any </w:t>
      </w:r>
      <w:r w:rsidR="00714F66" w:rsidRPr="0071178C">
        <w:t>comments on the proposed use of a case management meeting to assist the dispute resolution process</w:t>
      </w:r>
      <w:r w:rsidR="0095185F">
        <w:t>?</w:t>
      </w:r>
      <w:r w:rsidR="00714F66" w:rsidRPr="0071178C">
        <w:t xml:space="preserve">   </w:t>
      </w:r>
    </w:p>
    <w:p w:rsidR="00066287" w:rsidRDefault="00CF2B44">
      <w:pPr>
        <w:pBdr>
          <w:top w:val="single" w:sz="4" w:space="1" w:color="auto"/>
          <w:left w:val="single" w:sz="4" w:space="1" w:color="auto"/>
          <w:bottom w:val="single" w:sz="4" w:space="1" w:color="auto"/>
          <w:right w:val="single" w:sz="4" w:space="1" w:color="auto"/>
        </w:pBdr>
        <w:shd w:val="clear" w:color="auto" w:fill="C0C0C0"/>
        <w:spacing w:before="120" w:after="120"/>
        <w:ind w:left="720" w:hanging="720"/>
      </w:pPr>
      <w:r>
        <w:t xml:space="preserve">Q </w:t>
      </w:r>
      <w:r w:rsidR="0095185F">
        <w:t>4.2</w:t>
      </w:r>
      <w:r w:rsidR="0095185F">
        <w:tab/>
        <w:t>Do you have any</w:t>
      </w:r>
      <w:r w:rsidR="0095185F" w:rsidRPr="0071178C" w:rsidDel="0095185F">
        <w:t xml:space="preserve"> </w:t>
      </w:r>
      <w:r w:rsidR="00F03F69" w:rsidRPr="0071178C">
        <w:t xml:space="preserve">comments on the possible use by the </w:t>
      </w:r>
      <w:proofErr w:type="spellStart"/>
      <w:r w:rsidR="00F03F69" w:rsidRPr="0071178C">
        <w:t>ACCC</w:t>
      </w:r>
      <w:proofErr w:type="spellEnd"/>
      <w:r w:rsidR="00F03F69" w:rsidRPr="0071178C">
        <w:t xml:space="preserve"> of </w:t>
      </w:r>
      <w:r w:rsidR="005072D0">
        <w:t xml:space="preserve">a </w:t>
      </w:r>
      <w:r w:rsidR="008A3E22">
        <w:t>‘</w:t>
      </w:r>
      <w:r w:rsidR="005072D0">
        <w:t>top down</w:t>
      </w:r>
      <w:r w:rsidR="0071590A">
        <w:t xml:space="preserve">’ </w:t>
      </w:r>
      <w:r w:rsidR="007D0A17" w:rsidRPr="0071178C">
        <w:t xml:space="preserve">avoidable cost </w:t>
      </w:r>
      <w:r w:rsidR="00F03F69" w:rsidRPr="0071178C">
        <w:t xml:space="preserve">methodology in </w:t>
      </w:r>
      <w:r w:rsidR="0071590A">
        <w:t xml:space="preserve">determining </w:t>
      </w:r>
      <w:r w:rsidR="00F03F69" w:rsidRPr="0071178C">
        <w:t>a</w:t>
      </w:r>
      <w:r w:rsidR="0071590A">
        <w:t>n access price in a</w:t>
      </w:r>
      <w:r w:rsidR="00F03F69" w:rsidRPr="0071178C">
        <w:t xml:space="preserve"> bulk interconnection </w:t>
      </w:r>
      <w:r w:rsidR="009E748C">
        <w:t xml:space="preserve">service </w:t>
      </w:r>
      <w:r w:rsidR="00F03F69" w:rsidRPr="0071178C">
        <w:t>inquiry</w:t>
      </w:r>
      <w:r w:rsidR="0095185F">
        <w:t>?</w:t>
      </w:r>
    </w:p>
    <w:p w:rsidR="00E150A9" w:rsidRDefault="00CF2B44" w:rsidP="0095185F">
      <w:pPr>
        <w:pBdr>
          <w:top w:val="single" w:sz="4" w:space="1" w:color="auto"/>
          <w:left w:val="single" w:sz="4" w:space="1" w:color="auto"/>
          <w:bottom w:val="single" w:sz="4" w:space="1" w:color="auto"/>
          <w:right w:val="single" w:sz="4" w:space="1" w:color="auto"/>
        </w:pBdr>
        <w:shd w:val="clear" w:color="auto" w:fill="C0C0C0"/>
        <w:spacing w:before="120" w:after="120"/>
        <w:ind w:left="720" w:hanging="720"/>
      </w:pPr>
      <w:r>
        <w:t xml:space="preserve">Q </w:t>
      </w:r>
      <w:r w:rsidR="0095185F">
        <w:t>4.3</w:t>
      </w:r>
      <w:r w:rsidR="0095185F">
        <w:tab/>
        <w:t xml:space="preserve">Do you have any comments </w:t>
      </w:r>
      <w:r w:rsidR="0095185F" w:rsidRPr="0071178C">
        <w:t xml:space="preserve">on the possible use by the </w:t>
      </w:r>
      <w:proofErr w:type="spellStart"/>
      <w:r w:rsidR="0095185F" w:rsidRPr="0071178C">
        <w:t>ACCC</w:t>
      </w:r>
      <w:proofErr w:type="spellEnd"/>
      <w:r w:rsidR="0095185F" w:rsidRPr="0071178C">
        <w:t xml:space="preserve"> of a </w:t>
      </w:r>
      <w:r w:rsidR="0071590A">
        <w:t xml:space="preserve">‘bottom up’ </w:t>
      </w:r>
      <w:r w:rsidR="0095185F">
        <w:t xml:space="preserve">building block </w:t>
      </w:r>
      <w:r w:rsidR="00597369">
        <w:t>methodology</w:t>
      </w:r>
      <w:r w:rsidR="0071590A">
        <w:t xml:space="preserve"> </w:t>
      </w:r>
      <w:r w:rsidR="0095185F" w:rsidRPr="0071178C">
        <w:t xml:space="preserve">in </w:t>
      </w:r>
      <w:r w:rsidR="008A3E22">
        <w:t xml:space="preserve">determining </w:t>
      </w:r>
      <w:r w:rsidR="008A3E22" w:rsidRPr="0071178C">
        <w:t>a</w:t>
      </w:r>
      <w:r w:rsidR="008A3E22">
        <w:t>n access price in a</w:t>
      </w:r>
      <w:r w:rsidR="0095185F" w:rsidRPr="0071178C">
        <w:t xml:space="preserve"> </w:t>
      </w:r>
      <w:r w:rsidR="009E748C">
        <w:t>bulk interconnection service</w:t>
      </w:r>
      <w:r w:rsidR="0095185F" w:rsidRPr="0071178C">
        <w:t xml:space="preserve"> inquiry</w:t>
      </w:r>
      <w:r w:rsidR="0095185F">
        <w:t>?</w:t>
      </w:r>
    </w:p>
    <w:p w:rsidR="00630DB3" w:rsidRDefault="00630DB3" w:rsidP="00630DB3">
      <w:pPr>
        <w:pBdr>
          <w:top w:val="single" w:sz="4" w:space="1" w:color="auto"/>
          <w:left w:val="single" w:sz="4" w:space="1" w:color="auto"/>
          <w:bottom w:val="single" w:sz="4" w:space="1" w:color="auto"/>
          <w:right w:val="single" w:sz="4" w:space="1" w:color="auto"/>
        </w:pBdr>
        <w:shd w:val="clear" w:color="auto" w:fill="C0C0C0"/>
        <w:spacing w:before="120" w:after="120"/>
        <w:ind w:left="720" w:hanging="720"/>
      </w:pPr>
      <w:r>
        <w:t xml:space="preserve">Q 4.4 </w:t>
      </w:r>
      <w:r>
        <w:tab/>
        <w:t xml:space="preserve">Do you have any comments on the process for involvement of interested parties in a bulk interconnection service inquiry, including when and how this involvement could take place? </w:t>
      </w:r>
    </w:p>
    <w:p w:rsidR="00066287" w:rsidRDefault="00CF2B44">
      <w:pPr>
        <w:pBdr>
          <w:top w:val="single" w:sz="4" w:space="1" w:color="auto"/>
          <w:left w:val="single" w:sz="4" w:space="1" w:color="auto"/>
          <w:bottom w:val="single" w:sz="4" w:space="1" w:color="auto"/>
          <w:right w:val="single" w:sz="4" w:space="1" w:color="auto"/>
        </w:pBdr>
        <w:shd w:val="clear" w:color="auto" w:fill="C0C0C0"/>
        <w:spacing w:before="120" w:after="120"/>
        <w:ind w:left="720" w:hanging="720"/>
      </w:pPr>
      <w:r>
        <w:t xml:space="preserve">Q </w:t>
      </w:r>
      <w:r w:rsidR="0095185F">
        <w:t>4.</w:t>
      </w:r>
      <w:r w:rsidR="00630DB3">
        <w:t>5</w:t>
      </w:r>
      <w:r w:rsidR="00E150A9">
        <w:tab/>
      </w:r>
      <w:r w:rsidR="00A534E6">
        <w:t>Do you have</w:t>
      </w:r>
      <w:r w:rsidR="00A534E6" w:rsidRPr="0071178C" w:rsidDel="0095185F">
        <w:t xml:space="preserve"> </w:t>
      </w:r>
      <w:r w:rsidR="00714F66" w:rsidRPr="0071178C">
        <w:t xml:space="preserve">any other comments on </w:t>
      </w:r>
      <w:r w:rsidR="00286DAE" w:rsidRPr="0071178C">
        <w:t xml:space="preserve">matters </w:t>
      </w:r>
      <w:r w:rsidR="00714F66" w:rsidRPr="0071178C">
        <w:t xml:space="preserve">discussed in this </w:t>
      </w:r>
      <w:r w:rsidR="00D1452D" w:rsidRPr="0071178C">
        <w:t>chapter</w:t>
      </w:r>
      <w:r w:rsidR="00A534E6">
        <w:t>?</w:t>
      </w:r>
    </w:p>
    <w:p w:rsidR="00F03F69" w:rsidRDefault="00F03F69" w:rsidP="00714F66">
      <w:pPr>
        <w:pBdr>
          <w:top w:val="single" w:sz="4" w:space="1" w:color="auto"/>
          <w:left w:val="single" w:sz="4" w:space="1" w:color="auto"/>
          <w:bottom w:val="single" w:sz="4" w:space="1" w:color="auto"/>
          <w:right w:val="single" w:sz="4" w:space="1" w:color="auto"/>
        </w:pBdr>
        <w:shd w:val="clear" w:color="auto" w:fill="C0C0C0"/>
        <w:spacing w:before="120" w:after="120"/>
        <w:rPr>
          <w:i/>
        </w:rPr>
      </w:pPr>
    </w:p>
    <w:p w:rsidR="00714F66" w:rsidRDefault="00714F66" w:rsidP="007B466C"/>
    <w:p w:rsidR="004A01D8" w:rsidRDefault="004A01D8" w:rsidP="004A01D8">
      <w:pPr>
        <w:pStyle w:val="Heading2"/>
        <w:pageBreakBefore/>
        <w:numPr>
          <w:ilvl w:val="0"/>
          <w:numId w:val="0"/>
        </w:numPr>
        <w:ind w:left="720" w:hanging="720"/>
      </w:pPr>
      <w:bookmarkStart w:id="112" w:name="_Toc332363539"/>
      <w:r>
        <w:t>5</w:t>
      </w:r>
      <w:r w:rsidRPr="00A606A4">
        <w:tab/>
        <w:t>Ministerial consideration</w:t>
      </w:r>
      <w:r w:rsidR="001B0815">
        <w:t xml:space="preserve"> of reports and recommendations</w:t>
      </w:r>
      <w:bookmarkEnd w:id="112"/>
      <w:r w:rsidRPr="00A606A4">
        <w:t xml:space="preserve"> </w:t>
      </w:r>
    </w:p>
    <w:p w:rsidR="007E2C59" w:rsidRPr="007E2C59" w:rsidRDefault="00F441C8" w:rsidP="007E2C59">
      <w:r>
        <w:t xml:space="preserve">In addition to the </w:t>
      </w:r>
      <w:proofErr w:type="spellStart"/>
      <w:r w:rsidR="00141047">
        <w:t>ACCC</w:t>
      </w:r>
      <w:proofErr w:type="spellEnd"/>
      <w:r w:rsidR="00141047">
        <w:t xml:space="preserve"> procedures discussed elsewhere in this guide, t</w:t>
      </w:r>
      <w:r w:rsidR="008F5F0D">
        <w:t>his</w:t>
      </w:r>
      <w:r w:rsidR="007E2C59">
        <w:t xml:space="preserve"> </w:t>
      </w:r>
      <w:r w:rsidR="006F1C7B">
        <w:t>c</w:t>
      </w:r>
      <w:r w:rsidR="007E2C59">
        <w:t xml:space="preserve">hapter </w:t>
      </w:r>
      <w:r>
        <w:t xml:space="preserve">briefly </w:t>
      </w:r>
      <w:r w:rsidR="008F5F0D">
        <w:t xml:space="preserve">outlines </w:t>
      </w:r>
      <w:r w:rsidR="007E2C59">
        <w:t xml:space="preserve">processes </w:t>
      </w:r>
      <w:r w:rsidR="008F5F0D">
        <w:t>specified in</w:t>
      </w:r>
      <w:r w:rsidR="007E2C59">
        <w:t xml:space="preserve"> the </w:t>
      </w:r>
      <w:proofErr w:type="spellStart"/>
      <w:r w:rsidR="008F5F0D">
        <w:t>APCR</w:t>
      </w:r>
      <w:proofErr w:type="spellEnd"/>
      <w:r w:rsidR="007E2C59">
        <w:t xml:space="preserve"> </w:t>
      </w:r>
      <w:r w:rsidR="008F5F0D">
        <w:t xml:space="preserve">for ministerial consideration of an </w:t>
      </w:r>
      <w:proofErr w:type="spellStart"/>
      <w:r w:rsidR="008F5F0D">
        <w:t>ACCC</w:t>
      </w:r>
      <w:proofErr w:type="spellEnd"/>
      <w:r w:rsidR="008F5F0D">
        <w:t xml:space="preserve"> report </w:t>
      </w:r>
      <w:r w:rsidR="006F1C7B">
        <w:t>of an inquiry into a bulk interconnection service dispute.</w:t>
      </w:r>
    </w:p>
    <w:p w:rsidR="004A01D8" w:rsidRPr="007C220A" w:rsidRDefault="004A01D8" w:rsidP="004A01D8">
      <w:pPr>
        <w:pStyle w:val="Heading3"/>
        <w:numPr>
          <w:ilvl w:val="0"/>
          <w:numId w:val="0"/>
        </w:numPr>
      </w:pPr>
      <w:bookmarkStart w:id="113" w:name="_Toc332363540"/>
      <w:r>
        <w:t>5</w:t>
      </w:r>
      <w:r w:rsidRPr="007C220A">
        <w:t>.</w:t>
      </w:r>
      <w:r w:rsidR="001B0815">
        <w:t>1</w:t>
      </w:r>
      <w:r>
        <w:tab/>
      </w:r>
      <w:r w:rsidRPr="007C220A">
        <w:t xml:space="preserve">Ministerial consideration of </w:t>
      </w:r>
      <w:proofErr w:type="spellStart"/>
      <w:r w:rsidRPr="007C220A">
        <w:t>ACCC</w:t>
      </w:r>
      <w:proofErr w:type="spellEnd"/>
      <w:r w:rsidRPr="007C220A">
        <w:t xml:space="preserve"> report</w:t>
      </w:r>
      <w:bookmarkEnd w:id="113"/>
    </w:p>
    <w:p w:rsidR="004A01D8" w:rsidRPr="002046DF" w:rsidRDefault="004A01D8" w:rsidP="004A01D8">
      <w:pPr>
        <w:pStyle w:val="LegalFirstLevel"/>
        <w:numPr>
          <w:ilvl w:val="0"/>
          <w:numId w:val="0"/>
        </w:numPr>
        <w:rPr>
          <w:szCs w:val="24"/>
        </w:rPr>
      </w:pPr>
      <w:r>
        <w:rPr>
          <w:szCs w:val="24"/>
        </w:rPr>
        <w:t>T</w:t>
      </w:r>
      <w:r w:rsidRPr="002046DF">
        <w:rPr>
          <w:szCs w:val="24"/>
        </w:rPr>
        <w:t>he Minister may either, by notice in writing and after consultation with the Board of Australia Post, direct Australia Post to act in accordance with a recommendation made in a report</w:t>
      </w:r>
      <w:r w:rsidR="001B0815">
        <w:rPr>
          <w:szCs w:val="24"/>
        </w:rPr>
        <w:t xml:space="preserve"> by the </w:t>
      </w:r>
      <w:proofErr w:type="spellStart"/>
      <w:r w:rsidR="001B0815">
        <w:rPr>
          <w:szCs w:val="24"/>
        </w:rPr>
        <w:t>ACCC</w:t>
      </w:r>
      <w:proofErr w:type="spellEnd"/>
      <w:r w:rsidRPr="002046DF">
        <w:rPr>
          <w:szCs w:val="24"/>
        </w:rPr>
        <w:t>, or use his/her discretion not to give such a direction</w:t>
      </w:r>
      <w:r w:rsidR="001B0815">
        <w:rPr>
          <w:szCs w:val="24"/>
        </w:rPr>
        <w:t xml:space="preserve">. That is, </w:t>
      </w:r>
      <w:r w:rsidRPr="005E2007">
        <w:rPr>
          <w:szCs w:val="24"/>
        </w:rPr>
        <w:t>the Minister may either accept or reject a</w:t>
      </w:r>
      <w:r>
        <w:rPr>
          <w:szCs w:val="24"/>
        </w:rPr>
        <w:t xml:space="preserve">n </w:t>
      </w:r>
      <w:proofErr w:type="spellStart"/>
      <w:r>
        <w:rPr>
          <w:szCs w:val="24"/>
        </w:rPr>
        <w:t>ACCC</w:t>
      </w:r>
      <w:proofErr w:type="spellEnd"/>
      <w:r w:rsidRPr="005E2007">
        <w:rPr>
          <w:szCs w:val="24"/>
        </w:rPr>
        <w:t xml:space="preserve"> recommendation.</w:t>
      </w:r>
    </w:p>
    <w:p w:rsidR="004A01D8" w:rsidRDefault="004A01D8" w:rsidP="004A01D8">
      <w:r>
        <w:t>In deciding whether to give a direction to Australia Post</w:t>
      </w:r>
      <w:r w:rsidR="00141047">
        <w:t>,</w:t>
      </w:r>
      <w:r>
        <w:t xml:space="preserve"> the Minister must take into account (r. 31):</w:t>
      </w:r>
    </w:p>
    <w:p w:rsidR="004A01D8" w:rsidRDefault="004A01D8" w:rsidP="004A01D8">
      <w:pPr>
        <w:numPr>
          <w:ilvl w:val="0"/>
          <w:numId w:val="24"/>
        </w:numPr>
      </w:pPr>
      <w:r>
        <w:t xml:space="preserve">the reasons given by the </w:t>
      </w:r>
      <w:proofErr w:type="spellStart"/>
      <w:r>
        <w:t>ACCC</w:t>
      </w:r>
      <w:proofErr w:type="spellEnd"/>
      <w:r>
        <w:t xml:space="preserve"> for making the recommendation</w:t>
      </w:r>
    </w:p>
    <w:p w:rsidR="004A01D8" w:rsidRDefault="004A01D8" w:rsidP="004A01D8">
      <w:pPr>
        <w:numPr>
          <w:ilvl w:val="0"/>
          <w:numId w:val="24"/>
        </w:numPr>
      </w:pPr>
      <w:r>
        <w:t xml:space="preserve">the obligations of Australia Post under the </w:t>
      </w:r>
      <w:proofErr w:type="spellStart"/>
      <w:r>
        <w:t>APCA</w:t>
      </w:r>
      <w:proofErr w:type="spellEnd"/>
    </w:p>
    <w:p w:rsidR="004A01D8" w:rsidRDefault="004A01D8" w:rsidP="004A01D8">
      <w:pPr>
        <w:numPr>
          <w:ilvl w:val="0"/>
          <w:numId w:val="24"/>
        </w:numPr>
      </w:pPr>
      <w:r>
        <w:t xml:space="preserve">any response from the </w:t>
      </w:r>
      <w:r w:rsidR="005E42F7">
        <w:t>Board of</w:t>
      </w:r>
      <w:r w:rsidR="007E2C59">
        <w:t xml:space="preserve"> </w:t>
      </w:r>
      <w:r>
        <w:t xml:space="preserve">Australia </w:t>
      </w:r>
      <w:r w:rsidR="005E42F7">
        <w:t>Post</w:t>
      </w:r>
      <w:r w:rsidR="007E2C59">
        <w:t xml:space="preserve"> </w:t>
      </w:r>
      <w:r>
        <w:t>based on the earlier consultation in relation to the issuing of a direction</w:t>
      </w:r>
    </w:p>
    <w:p w:rsidR="001B0815" w:rsidRDefault="001B0815" w:rsidP="004A01D8">
      <w:pPr>
        <w:numPr>
          <w:ilvl w:val="0"/>
          <w:numId w:val="24"/>
        </w:numPr>
      </w:pPr>
      <w:proofErr w:type="gramStart"/>
      <w:r>
        <w:t>any</w:t>
      </w:r>
      <w:proofErr w:type="gramEnd"/>
      <w:r>
        <w:t xml:space="preserve"> other relevant matter</w:t>
      </w:r>
      <w:r w:rsidR="00141047">
        <w:t>.</w:t>
      </w:r>
    </w:p>
    <w:p w:rsidR="004A01D8" w:rsidRDefault="004A01D8" w:rsidP="004A01D8">
      <w:pPr>
        <w:pStyle w:val="Heading3"/>
        <w:numPr>
          <w:ilvl w:val="0"/>
          <w:numId w:val="0"/>
        </w:numPr>
      </w:pPr>
      <w:bookmarkStart w:id="114" w:name="_Toc332363541"/>
      <w:r>
        <w:t>5.</w:t>
      </w:r>
      <w:r w:rsidR="001B0815">
        <w:t>2</w:t>
      </w:r>
      <w:r>
        <w:tab/>
        <w:t>Ministerial Notification</w:t>
      </w:r>
      <w:bookmarkEnd w:id="114"/>
      <w:r>
        <w:t xml:space="preserve"> </w:t>
      </w:r>
    </w:p>
    <w:p w:rsidR="00B10C43" w:rsidRDefault="004A01D8" w:rsidP="004A01D8">
      <w:r>
        <w:t xml:space="preserve">The Minister must give written notice of a direction to Australia Post within 28 days of receipt of the </w:t>
      </w:r>
      <w:proofErr w:type="spellStart"/>
      <w:r>
        <w:t>ACCC</w:t>
      </w:r>
      <w:proofErr w:type="spellEnd"/>
      <w:r>
        <w:t xml:space="preserve"> report (r. 32(1)). </w:t>
      </w:r>
    </w:p>
    <w:p w:rsidR="004A01D8" w:rsidRDefault="004A01D8" w:rsidP="004A01D8">
      <w:r>
        <w:t xml:space="preserve">Australia Post must act in accordance with a direction </w:t>
      </w:r>
      <w:r w:rsidR="00033841">
        <w:t xml:space="preserve">from the Minister </w:t>
      </w:r>
      <w:r>
        <w:t>(r. 32(2)</w:t>
      </w:r>
      <w:r w:rsidR="001B0815">
        <w:t>)</w:t>
      </w:r>
      <w:r>
        <w:t xml:space="preserve">. </w:t>
      </w:r>
    </w:p>
    <w:p w:rsidR="004A01D8" w:rsidRDefault="004A01D8" w:rsidP="004A01D8">
      <w:r>
        <w:t xml:space="preserve">The Minister must also give a written notice to the parties and to the </w:t>
      </w:r>
      <w:proofErr w:type="spellStart"/>
      <w:r>
        <w:t>ACCC</w:t>
      </w:r>
      <w:proofErr w:type="spellEnd"/>
      <w:r>
        <w:t xml:space="preserve"> stating the Minister’s decision whether to give a direction in relation to each recommendation made in</w:t>
      </w:r>
      <w:r w:rsidR="001B0815">
        <w:t xml:space="preserve"> the</w:t>
      </w:r>
      <w:r>
        <w:t xml:space="preserve"> report</w:t>
      </w:r>
      <w:r w:rsidR="001B0815">
        <w:t xml:space="preserve"> by the </w:t>
      </w:r>
      <w:proofErr w:type="spellStart"/>
      <w:r w:rsidR="001B0815">
        <w:t>ACCC</w:t>
      </w:r>
      <w:proofErr w:type="spellEnd"/>
      <w:r>
        <w:t xml:space="preserve"> (r. 33(1)).</w:t>
      </w:r>
      <w:r w:rsidR="00033841">
        <w:t xml:space="preserve"> </w:t>
      </w:r>
      <w:r>
        <w:t>If the Minister:</w:t>
      </w:r>
    </w:p>
    <w:p w:rsidR="004A01D8" w:rsidRDefault="004A01D8" w:rsidP="004A01D8">
      <w:pPr>
        <w:numPr>
          <w:ilvl w:val="0"/>
          <w:numId w:val="25"/>
        </w:numPr>
      </w:pPr>
      <w:r>
        <w:t xml:space="preserve">gives a direction to act in accordance with a recommendation in the </w:t>
      </w:r>
      <w:proofErr w:type="spellStart"/>
      <w:r>
        <w:t>ACCC</w:t>
      </w:r>
      <w:proofErr w:type="spellEnd"/>
      <w:r>
        <w:t xml:space="preserve"> report, the Minister must give the notice when the direction is issued (r. 33(2</w:t>
      </w:r>
      <w:r w:rsidR="001B0815">
        <w:t>)</w:t>
      </w:r>
      <w:r>
        <w:t>(a))</w:t>
      </w:r>
    </w:p>
    <w:p w:rsidR="004F380D" w:rsidRDefault="004A01D8" w:rsidP="004A01D8">
      <w:pPr>
        <w:numPr>
          <w:ilvl w:val="0"/>
          <w:numId w:val="25"/>
        </w:numPr>
      </w:pPr>
      <w:proofErr w:type="gramStart"/>
      <w:r>
        <w:t>does</w:t>
      </w:r>
      <w:proofErr w:type="gramEnd"/>
      <w:r>
        <w:t xml:space="preserve"> not give </w:t>
      </w:r>
      <w:r w:rsidR="00141047">
        <w:t xml:space="preserve">such </w:t>
      </w:r>
      <w:r>
        <w:t xml:space="preserve">a direction, the Minister must give notice as soon as </w:t>
      </w:r>
      <w:r w:rsidR="001B0815">
        <w:t xml:space="preserve">practicable </w:t>
      </w:r>
      <w:r>
        <w:t>after receiving the report (r. 33(2</w:t>
      </w:r>
      <w:r w:rsidR="00141047">
        <w:t>)</w:t>
      </w:r>
      <w:r>
        <w:t>(b))</w:t>
      </w:r>
      <w:r w:rsidR="00033841">
        <w:t xml:space="preserve"> and set out reasons for not accepting the recommendation (r. 33(3)(b)</w:t>
      </w:r>
      <w:r w:rsidR="00141047">
        <w:t>)</w:t>
      </w:r>
      <w:r>
        <w:t>.</w:t>
      </w:r>
      <w:r>
        <w:tab/>
      </w:r>
    </w:p>
    <w:p w:rsidR="00AA2A7A" w:rsidRDefault="00AA2A7A"/>
    <w:p w:rsidR="006C76F7" w:rsidRDefault="004A01D8">
      <w:pPr>
        <w:pStyle w:val="Heading2"/>
        <w:numPr>
          <w:ilvl w:val="0"/>
          <w:numId w:val="0"/>
        </w:numPr>
      </w:pPr>
      <w:r>
        <w:br w:type="page"/>
      </w:r>
      <w:bookmarkStart w:id="115" w:name="_Toc332363542"/>
      <w:r>
        <w:t>6</w:t>
      </w:r>
      <w:r>
        <w:tab/>
        <w:t>Termination of an inquiry</w:t>
      </w:r>
      <w:bookmarkEnd w:id="115"/>
      <w:r>
        <w:t xml:space="preserve"> </w:t>
      </w:r>
    </w:p>
    <w:p w:rsidR="004A01D8" w:rsidRPr="00057AF4" w:rsidRDefault="001B0815" w:rsidP="004A01D8">
      <w:r>
        <w:t>In certain circumstances, a</w:t>
      </w:r>
      <w:r w:rsidR="004A01D8">
        <w:t xml:space="preserve">n inquiry may be terminated by the </w:t>
      </w:r>
      <w:proofErr w:type="spellStart"/>
      <w:r w:rsidR="004A01D8">
        <w:t>ACCC</w:t>
      </w:r>
      <w:proofErr w:type="spellEnd"/>
      <w:r w:rsidR="004A01D8">
        <w:t xml:space="preserve"> or withdrawn by </w:t>
      </w:r>
      <w:r w:rsidR="00636380">
        <w:t>the complainant</w:t>
      </w:r>
      <w:r w:rsidR="00141047">
        <w:t xml:space="preserve"> before a report is made to the Minister.</w:t>
      </w:r>
    </w:p>
    <w:p w:rsidR="004A01D8" w:rsidRPr="00A606A4" w:rsidRDefault="004A01D8" w:rsidP="004A01D8">
      <w:pPr>
        <w:pStyle w:val="Heading3"/>
        <w:numPr>
          <w:ilvl w:val="0"/>
          <w:numId w:val="0"/>
        </w:numPr>
      </w:pPr>
      <w:bookmarkStart w:id="116" w:name="_Toc332363543"/>
      <w:r>
        <w:t>6</w:t>
      </w:r>
      <w:r w:rsidRPr="00A606A4">
        <w:t>.1</w:t>
      </w:r>
      <w:r w:rsidRPr="00A606A4">
        <w:tab/>
        <w:t>Withdrawal of notification of a dispute</w:t>
      </w:r>
      <w:bookmarkEnd w:id="116"/>
    </w:p>
    <w:p w:rsidR="003B62E3" w:rsidRDefault="004A01D8" w:rsidP="004A01D8">
      <w:r>
        <w:t xml:space="preserve">A complainant may withdraw notification of a dispute by giving notice in writing to the </w:t>
      </w:r>
      <w:proofErr w:type="spellStart"/>
      <w:r>
        <w:t>ACCC</w:t>
      </w:r>
      <w:proofErr w:type="spellEnd"/>
      <w:r>
        <w:t xml:space="preserve"> and giving a copy of the notice to Australia Post (r. 12).</w:t>
      </w:r>
      <w:r w:rsidR="003B62E3">
        <w:t xml:space="preserve"> Should </w:t>
      </w:r>
      <w:r w:rsidR="00815E07">
        <w:t>a notice of</w:t>
      </w:r>
      <w:r w:rsidR="003B62E3">
        <w:t xml:space="preserve"> withdrawal of notification occur</w:t>
      </w:r>
      <w:proofErr w:type="gramStart"/>
      <w:r w:rsidR="00141047">
        <w:t>,</w:t>
      </w:r>
      <w:proofErr w:type="gramEnd"/>
      <w:r w:rsidR="003B62E3">
        <w:t xml:space="preserve"> the inquiry is finalised for all participants.</w:t>
      </w:r>
    </w:p>
    <w:p w:rsidR="004A01D8" w:rsidRPr="007C220A" w:rsidRDefault="004A01D8" w:rsidP="004A01D8">
      <w:pPr>
        <w:pStyle w:val="Heading3"/>
        <w:numPr>
          <w:ilvl w:val="0"/>
          <w:numId w:val="0"/>
        </w:numPr>
      </w:pPr>
      <w:bookmarkStart w:id="117" w:name="_Toc332363544"/>
      <w:r>
        <w:t>6</w:t>
      </w:r>
      <w:r w:rsidRPr="007C220A">
        <w:t>.2</w:t>
      </w:r>
      <w:r w:rsidRPr="007C220A">
        <w:tab/>
        <w:t>Compromise of disputes</w:t>
      </w:r>
      <w:bookmarkEnd w:id="117"/>
    </w:p>
    <w:p w:rsidR="004A01D8" w:rsidRDefault="001B0815" w:rsidP="004A01D8">
      <w:r>
        <w:t>A</w:t>
      </w:r>
      <w:r w:rsidR="004A01D8">
        <w:t>fter an inquiry commences,</w:t>
      </w:r>
      <w:r>
        <w:t xml:space="preserve"> if</w:t>
      </w:r>
      <w:r w:rsidR="004A01D8">
        <w:t xml:space="preserve"> Australia Post offers a complainant a rate reduction or any other variation in the terms and conditions on which the bulk interconnection service is to be provided and the complainant accepts the offer, the complainant must give written notice of acceptance of the offer to the </w:t>
      </w:r>
      <w:proofErr w:type="spellStart"/>
      <w:r w:rsidR="004A01D8">
        <w:t>ACCC</w:t>
      </w:r>
      <w:proofErr w:type="spellEnd"/>
      <w:r w:rsidR="004A01D8">
        <w:t xml:space="preserve"> (r. 22</w:t>
      </w:r>
      <w:r w:rsidR="005A0C55">
        <w:t>(1)</w:t>
      </w:r>
      <w:r w:rsidR="004A01D8">
        <w:t>).</w:t>
      </w:r>
    </w:p>
    <w:p w:rsidR="004A01D8" w:rsidRPr="007C220A" w:rsidRDefault="004A01D8" w:rsidP="004A01D8">
      <w:pPr>
        <w:pStyle w:val="Heading3"/>
        <w:numPr>
          <w:ilvl w:val="0"/>
          <w:numId w:val="0"/>
        </w:numPr>
      </w:pPr>
      <w:bookmarkStart w:id="118" w:name="_Toc332363545"/>
      <w:r>
        <w:t>6</w:t>
      </w:r>
      <w:r w:rsidRPr="007C220A">
        <w:t>.3</w:t>
      </w:r>
      <w:r w:rsidRPr="007C220A">
        <w:tab/>
        <w:t>Discontinuing an inquiry</w:t>
      </w:r>
      <w:bookmarkEnd w:id="118"/>
    </w:p>
    <w:p w:rsidR="004A01D8" w:rsidRDefault="004A01D8" w:rsidP="004A01D8">
      <w:r>
        <w:t xml:space="preserve">The </w:t>
      </w:r>
      <w:proofErr w:type="spellStart"/>
      <w:r>
        <w:t>ACCC</w:t>
      </w:r>
      <w:proofErr w:type="spellEnd"/>
      <w:r>
        <w:t xml:space="preserve"> must discontinue an inquiry before making a recommendation to the Minister if the </w:t>
      </w:r>
      <w:proofErr w:type="spellStart"/>
      <w:r>
        <w:t>ACCC</w:t>
      </w:r>
      <w:proofErr w:type="spellEnd"/>
      <w:r>
        <w:t xml:space="preserve"> (r. 23(1)): </w:t>
      </w:r>
    </w:p>
    <w:p w:rsidR="004A01D8" w:rsidRDefault="004A01D8" w:rsidP="004A01D8">
      <w:pPr>
        <w:numPr>
          <w:ilvl w:val="0"/>
          <w:numId w:val="20"/>
        </w:numPr>
      </w:pPr>
      <w:r>
        <w:t xml:space="preserve">receives a notice from the complainant withdrawing the notification of dispute </w:t>
      </w:r>
    </w:p>
    <w:p w:rsidR="004A01D8" w:rsidRDefault="004A01D8" w:rsidP="004A01D8">
      <w:pPr>
        <w:numPr>
          <w:ilvl w:val="0"/>
          <w:numId w:val="20"/>
        </w:numPr>
      </w:pPr>
      <w:r>
        <w:t xml:space="preserve">receives a notice from the complainant, accepting an offer from Australia Post  </w:t>
      </w:r>
      <w:r w:rsidR="00636380">
        <w:br/>
      </w:r>
      <w:r>
        <w:t xml:space="preserve"> and the </w:t>
      </w:r>
      <w:proofErr w:type="spellStart"/>
      <w:r>
        <w:t>ACCC</w:t>
      </w:r>
      <w:proofErr w:type="spellEnd"/>
      <w:r>
        <w:t xml:space="preserve"> is satisfied that the offer is fair and reasonable</w:t>
      </w:r>
    </w:p>
    <w:p w:rsidR="004A01D8" w:rsidRDefault="004A01D8" w:rsidP="004A01D8">
      <w:pPr>
        <w:numPr>
          <w:ilvl w:val="0"/>
          <w:numId w:val="20"/>
        </w:numPr>
      </w:pPr>
      <w:r>
        <w:t>reasonably believes the dispute is trivial, misconceived or lacking in substance</w:t>
      </w:r>
    </w:p>
    <w:p w:rsidR="004A01D8" w:rsidRDefault="004A01D8" w:rsidP="004A01D8">
      <w:r>
        <w:t xml:space="preserve">The </w:t>
      </w:r>
      <w:proofErr w:type="spellStart"/>
      <w:r>
        <w:t>ACCC</w:t>
      </w:r>
      <w:proofErr w:type="spellEnd"/>
      <w:r>
        <w:t xml:space="preserve"> may discontinue an inquiry </w:t>
      </w:r>
      <w:r w:rsidR="00636380">
        <w:t xml:space="preserve">before making a recommendation to the Minister </w:t>
      </w:r>
      <w:r>
        <w:t xml:space="preserve">if the complainant does not, within 7 days of being requested by the </w:t>
      </w:r>
      <w:proofErr w:type="spellStart"/>
      <w:proofErr w:type="gramStart"/>
      <w:r>
        <w:t>ACCC</w:t>
      </w:r>
      <w:proofErr w:type="spellEnd"/>
      <w:r>
        <w:t>,</w:t>
      </w:r>
      <w:proofErr w:type="gramEnd"/>
      <w:r>
        <w:t xml:space="preserve"> provide the </w:t>
      </w:r>
      <w:proofErr w:type="spellStart"/>
      <w:r>
        <w:t>ACCC</w:t>
      </w:r>
      <w:proofErr w:type="spellEnd"/>
      <w:r>
        <w:t xml:space="preserve"> (r. 23(2)):</w:t>
      </w:r>
    </w:p>
    <w:p w:rsidR="004A01D8" w:rsidRDefault="004A01D8" w:rsidP="004A01D8">
      <w:pPr>
        <w:numPr>
          <w:ilvl w:val="0"/>
          <w:numId w:val="21"/>
        </w:numPr>
      </w:pPr>
      <w:r>
        <w:t xml:space="preserve">with information known to the complainant </w:t>
      </w:r>
    </w:p>
    <w:p w:rsidR="004A01D8" w:rsidRDefault="004A01D8" w:rsidP="004A01D8">
      <w:pPr>
        <w:numPr>
          <w:ilvl w:val="0"/>
          <w:numId w:val="21"/>
        </w:numPr>
      </w:pPr>
      <w:proofErr w:type="gramStart"/>
      <w:r>
        <w:t>a</w:t>
      </w:r>
      <w:proofErr w:type="gramEnd"/>
      <w:r>
        <w:t xml:space="preserve"> document in the possession, or under the control of the complainant and necessary for the inquiry.</w:t>
      </w:r>
    </w:p>
    <w:p w:rsidR="004A01D8" w:rsidRDefault="004A01D8" w:rsidP="004A01D8">
      <w:r>
        <w:t xml:space="preserve">If the </w:t>
      </w:r>
      <w:proofErr w:type="spellStart"/>
      <w:r>
        <w:t>ACCC</w:t>
      </w:r>
      <w:proofErr w:type="spellEnd"/>
      <w:r>
        <w:t xml:space="preserve"> discontinues an inquiry, it must inform the Minister and the parties in writing of the reasons for the discontinuance (r. 23(3)).</w:t>
      </w:r>
    </w:p>
    <w:p w:rsidR="00033841" w:rsidRDefault="00033841" w:rsidP="004A01D8"/>
    <w:p w:rsidR="00033841" w:rsidRDefault="00033841" w:rsidP="004A01D8"/>
    <w:p w:rsidR="00033841" w:rsidRDefault="00033841" w:rsidP="004A01D8"/>
    <w:p w:rsidR="00033841" w:rsidRDefault="00033841" w:rsidP="004A01D8"/>
    <w:p w:rsidR="004A01D8" w:rsidRPr="0071178C" w:rsidRDefault="00D1452D" w:rsidP="004A01D8">
      <w:pPr>
        <w:pBdr>
          <w:top w:val="single" w:sz="4" w:space="1" w:color="auto"/>
          <w:left w:val="single" w:sz="4" w:space="0" w:color="auto"/>
          <w:bottom w:val="single" w:sz="4" w:space="1" w:color="auto"/>
          <w:right w:val="single" w:sz="4" w:space="1" w:color="auto"/>
        </w:pBdr>
        <w:shd w:val="clear" w:color="auto" w:fill="C0C0C0"/>
        <w:spacing w:before="120" w:after="120"/>
        <w:rPr>
          <w:b/>
        </w:rPr>
      </w:pPr>
      <w:r w:rsidRPr="0071178C">
        <w:rPr>
          <w:b/>
        </w:rPr>
        <w:t>Chapter</w:t>
      </w:r>
      <w:r w:rsidR="004A01D8" w:rsidRPr="0071178C">
        <w:rPr>
          <w:b/>
        </w:rPr>
        <w:t xml:space="preserve"> 6 questions</w:t>
      </w:r>
    </w:p>
    <w:p w:rsidR="00066287" w:rsidRDefault="00CF2B44">
      <w:pPr>
        <w:pBdr>
          <w:top w:val="single" w:sz="4" w:space="1" w:color="auto"/>
          <w:left w:val="single" w:sz="4" w:space="0" w:color="auto"/>
          <w:bottom w:val="single" w:sz="4" w:space="1" w:color="auto"/>
          <w:right w:val="single" w:sz="4" w:space="1" w:color="auto"/>
        </w:pBdr>
        <w:shd w:val="clear" w:color="auto" w:fill="C0C0C0"/>
        <w:spacing w:before="120" w:after="120"/>
        <w:ind w:left="720" w:hanging="720"/>
      </w:pPr>
      <w:r>
        <w:t xml:space="preserve">Q </w:t>
      </w:r>
      <w:r w:rsidR="00F86AA1">
        <w:t>6.1</w:t>
      </w:r>
      <w:r w:rsidR="00F86AA1">
        <w:tab/>
        <w:t>Do you have</w:t>
      </w:r>
      <w:r w:rsidR="00F86AA1" w:rsidRPr="0071178C" w:rsidDel="00F86AA1">
        <w:t xml:space="preserve"> </w:t>
      </w:r>
      <w:r w:rsidR="004A01D8" w:rsidRPr="0071178C">
        <w:t xml:space="preserve">any comments on </w:t>
      </w:r>
      <w:r w:rsidR="00F86AA1">
        <w:t xml:space="preserve">the </w:t>
      </w:r>
      <w:r w:rsidR="004A01D8" w:rsidRPr="0071178C">
        <w:t xml:space="preserve">circumstances in which a </w:t>
      </w:r>
      <w:r w:rsidR="009E748C">
        <w:t>bulk interconnection service</w:t>
      </w:r>
      <w:r w:rsidR="004A01D8" w:rsidRPr="0071178C">
        <w:t xml:space="preserve"> inquiry may be terminated</w:t>
      </w:r>
      <w:r w:rsidR="00F86AA1">
        <w:t>?</w:t>
      </w:r>
    </w:p>
    <w:p w:rsidR="004A01D8" w:rsidRDefault="00CF2B44" w:rsidP="004A01D8">
      <w:pPr>
        <w:pBdr>
          <w:top w:val="single" w:sz="4" w:space="1" w:color="auto"/>
          <w:left w:val="single" w:sz="4" w:space="0" w:color="auto"/>
          <w:bottom w:val="single" w:sz="4" w:space="1" w:color="auto"/>
          <w:right w:val="single" w:sz="4" w:space="1" w:color="auto"/>
        </w:pBdr>
        <w:shd w:val="clear" w:color="auto" w:fill="C0C0C0"/>
        <w:spacing w:before="120" w:after="120"/>
        <w:rPr>
          <w:i/>
        </w:rPr>
      </w:pPr>
      <w:r>
        <w:t xml:space="preserve">Q </w:t>
      </w:r>
      <w:r w:rsidR="00F86AA1">
        <w:t>6.2</w:t>
      </w:r>
      <w:r w:rsidR="00F86AA1">
        <w:tab/>
        <w:t>Do you have</w:t>
      </w:r>
      <w:r w:rsidR="00F86AA1" w:rsidRPr="0071178C" w:rsidDel="00F86AA1">
        <w:t xml:space="preserve"> </w:t>
      </w:r>
      <w:r w:rsidR="004A01D8" w:rsidRPr="0071178C">
        <w:t xml:space="preserve">any other comments on matters discussed in this </w:t>
      </w:r>
      <w:r w:rsidR="00D1452D" w:rsidRPr="0071178C">
        <w:t>chapter</w:t>
      </w:r>
      <w:r w:rsidR="00F86AA1">
        <w:t>?</w:t>
      </w:r>
      <w:r w:rsidR="004A01D8">
        <w:rPr>
          <w:i/>
        </w:rPr>
        <w:t xml:space="preserve"> </w:t>
      </w:r>
    </w:p>
    <w:p w:rsidR="00936C48" w:rsidRDefault="00CD0CC7" w:rsidP="00CD0CC7">
      <w:pPr>
        <w:pStyle w:val="Heading2"/>
        <w:pageBreakBefore/>
        <w:numPr>
          <w:ilvl w:val="0"/>
          <w:numId w:val="0"/>
        </w:numPr>
      </w:pPr>
      <w:bookmarkStart w:id="119" w:name="_Toc332363546"/>
      <w:r>
        <w:t>7</w:t>
      </w:r>
      <w:r>
        <w:tab/>
      </w:r>
      <w:r w:rsidR="00936C48">
        <w:t>Procedur</w:t>
      </w:r>
      <w:r w:rsidR="00336957">
        <w:t>al matters</w:t>
      </w:r>
      <w:bookmarkEnd w:id="119"/>
    </w:p>
    <w:p w:rsidR="00605A1E" w:rsidRPr="00605A1E" w:rsidRDefault="00605A1E" w:rsidP="00605A1E">
      <w:r>
        <w:t xml:space="preserve">This chapter identifies the major administrative procedures associated with </w:t>
      </w:r>
      <w:r w:rsidR="001B0815">
        <w:t>conducting an inquiry into a</w:t>
      </w:r>
      <w:r>
        <w:t xml:space="preserve"> </w:t>
      </w:r>
      <w:r w:rsidR="009E748C">
        <w:t>bulk interconnection service</w:t>
      </w:r>
      <w:r>
        <w:t xml:space="preserve"> dispute.</w:t>
      </w:r>
    </w:p>
    <w:p w:rsidR="00936C48" w:rsidRDefault="00CD0CC7" w:rsidP="00936C48">
      <w:pPr>
        <w:pStyle w:val="Heading3"/>
        <w:numPr>
          <w:ilvl w:val="0"/>
          <w:numId w:val="0"/>
        </w:numPr>
      </w:pPr>
      <w:bookmarkStart w:id="120" w:name="_Toc332363547"/>
      <w:r>
        <w:t>7</w:t>
      </w:r>
      <w:r w:rsidR="00936C48">
        <w:t>.1</w:t>
      </w:r>
      <w:r w:rsidR="00936C48">
        <w:tab/>
        <w:t>General</w:t>
      </w:r>
      <w:bookmarkEnd w:id="120"/>
    </w:p>
    <w:p w:rsidR="00936C48" w:rsidRDefault="00936C48" w:rsidP="00936C48">
      <w:r>
        <w:t xml:space="preserve">The </w:t>
      </w:r>
      <w:proofErr w:type="spellStart"/>
      <w:r>
        <w:t>ACCC</w:t>
      </w:r>
      <w:proofErr w:type="spellEnd"/>
      <w:r>
        <w:t xml:space="preserve"> will generally </w:t>
      </w:r>
      <w:r w:rsidR="001B0815">
        <w:t>conduct dispute inquiries</w:t>
      </w:r>
      <w:r>
        <w:t xml:space="preserve"> with as little formality as possible. The process of hearing the dispute usually </w:t>
      </w:r>
      <w:r w:rsidR="005A0C55">
        <w:t xml:space="preserve">involves </w:t>
      </w:r>
      <w:r>
        <w:t>provi</w:t>
      </w:r>
      <w:r w:rsidR="005A0C55">
        <w:t xml:space="preserve">sion </w:t>
      </w:r>
      <w:proofErr w:type="gramStart"/>
      <w:r w:rsidR="005A0C55">
        <w:t xml:space="preserve">of  </w:t>
      </w:r>
      <w:r>
        <w:t>written</w:t>
      </w:r>
      <w:proofErr w:type="gramEnd"/>
      <w:r>
        <w:t xml:space="preserve"> submissions, supplemented by response submissions as appropriate. Conferences with Commissioner(s) may also be required to address particular issues.</w:t>
      </w:r>
    </w:p>
    <w:p w:rsidR="00EE5EFF" w:rsidRDefault="00936C48" w:rsidP="00936C48">
      <w:r>
        <w:t xml:space="preserve">The </w:t>
      </w:r>
      <w:r w:rsidR="00EE5EFF">
        <w:t xml:space="preserve">procedural </w:t>
      </w:r>
      <w:r>
        <w:t xml:space="preserve">powers of the </w:t>
      </w:r>
      <w:proofErr w:type="spellStart"/>
      <w:r>
        <w:t>ACCC</w:t>
      </w:r>
      <w:proofErr w:type="spellEnd"/>
      <w:r>
        <w:t xml:space="preserve"> in conducting an inquiry are relatively broad</w:t>
      </w:r>
      <w:r w:rsidR="00EE5EFF">
        <w:t xml:space="preserve"> and are outlined in Box </w:t>
      </w:r>
      <w:r w:rsidR="001B0815">
        <w:t>7</w:t>
      </w:r>
      <w:r w:rsidR="00EE5EFF">
        <w:t>.1 below</w:t>
      </w:r>
      <w:r>
        <w:t xml:space="preserve">.  </w:t>
      </w:r>
    </w:p>
    <w:p w:rsidR="00936C48" w:rsidRDefault="00CF79EA" w:rsidP="00936C48">
      <w:pPr>
        <w:pStyle w:val="Heading3"/>
        <w:numPr>
          <w:ilvl w:val="0"/>
          <w:numId w:val="0"/>
        </w:numPr>
      </w:pPr>
      <w:r>
        <w:rPr>
          <w:noProof/>
        </w:rPr>
        <w:pict>
          <v:shape id="_x0000_s1172" type="#_x0000_t202" style="position:absolute;margin-left:0;margin-top:0;width:432.75pt;height:336.75pt;z-index:251650048;mso-wrap-style:none">
            <v:textbox style="mso-next-textbox:#_x0000_s1172;mso-fit-shape-to-text:t">
              <w:txbxContent>
                <w:p w:rsidR="00E82DB4" w:rsidRPr="00EE5EFF" w:rsidRDefault="00E82DB4" w:rsidP="00936C48">
                  <w:pPr>
                    <w:rPr>
                      <w:b/>
                    </w:rPr>
                  </w:pPr>
                  <w:r w:rsidRPr="00EE5EFF">
                    <w:rPr>
                      <w:b/>
                    </w:rPr>
                    <w:t xml:space="preserve">Box </w:t>
                  </w:r>
                  <w:r>
                    <w:rPr>
                      <w:b/>
                    </w:rPr>
                    <w:t>7</w:t>
                  </w:r>
                  <w:r w:rsidRPr="00EE5EFF">
                    <w:rPr>
                      <w:b/>
                    </w:rPr>
                    <w:t xml:space="preserve">.1 Procedural powers of the </w:t>
                  </w:r>
                  <w:proofErr w:type="spellStart"/>
                  <w:r w:rsidRPr="00EE5EFF">
                    <w:rPr>
                      <w:b/>
                    </w:rPr>
                    <w:t>ACCC</w:t>
                  </w:r>
                  <w:proofErr w:type="spellEnd"/>
                  <w:r w:rsidRPr="00EE5EFF">
                    <w:rPr>
                      <w:b/>
                    </w:rPr>
                    <w:t xml:space="preserve"> </w:t>
                  </w:r>
                </w:p>
                <w:p w:rsidR="00E82DB4" w:rsidRDefault="00E82DB4" w:rsidP="00936C48">
                  <w:r>
                    <w:t xml:space="preserve">For the purpose of hearing an inquiry, the </w:t>
                  </w:r>
                  <w:proofErr w:type="spellStart"/>
                  <w:r>
                    <w:t>APCR</w:t>
                  </w:r>
                  <w:proofErr w:type="spellEnd"/>
                  <w:r>
                    <w:t xml:space="preserve"> (r. 17 (2) &amp; (3)) provide that the </w:t>
                  </w:r>
                  <w:proofErr w:type="spellStart"/>
                  <w:r>
                    <w:t>ACCC</w:t>
                  </w:r>
                  <w:proofErr w:type="spellEnd"/>
                  <w:r>
                    <w:t xml:space="preserve"> may:</w:t>
                  </w:r>
                </w:p>
                <w:p w:rsidR="00E82DB4" w:rsidRDefault="00E82DB4" w:rsidP="00936C48">
                  <w:pPr>
                    <w:numPr>
                      <w:ilvl w:val="0"/>
                      <w:numId w:val="15"/>
                    </w:numPr>
                  </w:pPr>
                  <w:r>
                    <w:t xml:space="preserve">extend the time at or before which information must be given, or a document must be produced, to the </w:t>
                  </w:r>
                  <w:proofErr w:type="spellStart"/>
                  <w:r>
                    <w:t>ACCC</w:t>
                  </w:r>
                  <w:proofErr w:type="spellEnd"/>
                </w:p>
                <w:p w:rsidR="00E82DB4" w:rsidRDefault="00E82DB4" w:rsidP="00936C48">
                  <w:pPr>
                    <w:numPr>
                      <w:ilvl w:val="0"/>
                      <w:numId w:val="15"/>
                    </w:numPr>
                  </w:pPr>
                  <w:r>
                    <w:t xml:space="preserve">invite a person who is not a party to make a submission to the </w:t>
                  </w:r>
                  <w:proofErr w:type="spellStart"/>
                  <w:r>
                    <w:t>ACCC</w:t>
                  </w:r>
                  <w:proofErr w:type="spellEnd"/>
                  <w:r>
                    <w:t xml:space="preserve"> in relation to an inquiry</w:t>
                  </w:r>
                </w:p>
                <w:p w:rsidR="00E82DB4" w:rsidRDefault="00E82DB4" w:rsidP="00936C48">
                  <w:pPr>
                    <w:numPr>
                      <w:ilvl w:val="0"/>
                      <w:numId w:val="15"/>
                    </w:numPr>
                  </w:pPr>
                  <w:r>
                    <w:t xml:space="preserve">permit a person to amend or withdraw information or evidence given to, or a document produced to, the </w:t>
                  </w:r>
                  <w:proofErr w:type="spellStart"/>
                  <w:r>
                    <w:t>ACCC</w:t>
                  </w:r>
                  <w:proofErr w:type="spellEnd"/>
                  <w:r>
                    <w:t xml:space="preserve"> </w:t>
                  </w:r>
                </w:p>
                <w:p w:rsidR="00E82DB4" w:rsidRDefault="00E82DB4" w:rsidP="00936C48">
                  <w:pPr>
                    <w:numPr>
                      <w:ilvl w:val="0"/>
                      <w:numId w:val="15"/>
                    </w:numPr>
                  </w:pPr>
                  <w:r>
                    <w:t>decide to limit the duration of time that a person may give evidence or make a submission at a conference</w:t>
                  </w:r>
                </w:p>
                <w:p w:rsidR="00E82DB4" w:rsidRDefault="00E82DB4" w:rsidP="00936C48">
                  <w:pPr>
                    <w:numPr>
                      <w:ilvl w:val="0"/>
                      <w:numId w:val="15"/>
                    </w:numPr>
                  </w:pPr>
                  <w:r>
                    <w:t>decide who may be present at a conference</w:t>
                  </w:r>
                </w:p>
                <w:p w:rsidR="00E82DB4" w:rsidRDefault="00E82DB4" w:rsidP="00936C48">
                  <w:pPr>
                    <w:numPr>
                      <w:ilvl w:val="0"/>
                      <w:numId w:val="15"/>
                    </w:numPr>
                  </w:pPr>
                  <w:r>
                    <w:t>adjourn an inquiry to any time or place</w:t>
                  </w:r>
                </w:p>
                <w:p w:rsidR="00E82DB4" w:rsidRPr="00A03584" w:rsidRDefault="00E82DB4" w:rsidP="004B473A">
                  <w:pPr>
                    <w:numPr>
                      <w:ilvl w:val="0"/>
                      <w:numId w:val="15"/>
                    </w:numPr>
                  </w:pPr>
                  <w:r>
                    <w:t xml:space="preserve">give an oral or written order to a person not to divulge or communicate to another person, without the permission of the </w:t>
                  </w:r>
                  <w:proofErr w:type="spellStart"/>
                  <w:r>
                    <w:t>ACCC</w:t>
                  </w:r>
                  <w:proofErr w:type="spellEnd"/>
                  <w:r>
                    <w:t>, information specified in the order that was given to the person for the purposes of an inquiry</w:t>
                  </w:r>
                </w:p>
              </w:txbxContent>
            </v:textbox>
            <w10:wrap type="square"/>
          </v:shape>
        </w:pict>
      </w:r>
      <w:bookmarkStart w:id="121" w:name="_Toc332363548"/>
      <w:r w:rsidR="00CD0CC7">
        <w:t>7</w:t>
      </w:r>
      <w:r w:rsidR="00936C48">
        <w:t>.2</w:t>
      </w:r>
      <w:r w:rsidR="00936C48">
        <w:tab/>
        <w:t>Evidence</w:t>
      </w:r>
      <w:bookmarkEnd w:id="121"/>
      <w:r w:rsidR="00936C48">
        <w:t xml:space="preserve"> </w:t>
      </w:r>
    </w:p>
    <w:p w:rsidR="00936C48" w:rsidRPr="004F6EFD" w:rsidRDefault="00942E32" w:rsidP="00936C48">
      <w:r>
        <w:t>T</w:t>
      </w:r>
      <w:r w:rsidR="00936C48">
        <w:t xml:space="preserve">he </w:t>
      </w:r>
      <w:proofErr w:type="spellStart"/>
      <w:r w:rsidR="00936C48">
        <w:t>ACCC</w:t>
      </w:r>
      <w:proofErr w:type="spellEnd"/>
      <w:r w:rsidR="00B338F0">
        <w:t xml:space="preserve"> </w:t>
      </w:r>
      <w:r w:rsidR="00B338F0" w:rsidRPr="004F6EFD">
        <w:t>(r. 17(5))</w:t>
      </w:r>
      <w:r w:rsidR="00936C48" w:rsidRPr="004F6EFD">
        <w:t>:</w:t>
      </w:r>
    </w:p>
    <w:p w:rsidR="00936C48" w:rsidRDefault="007432E1" w:rsidP="00936C48">
      <w:pPr>
        <w:numPr>
          <w:ilvl w:val="0"/>
          <w:numId w:val="16"/>
        </w:numPr>
      </w:pPr>
      <w:r>
        <w:t>i</w:t>
      </w:r>
      <w:r w:rsidR="00936C48">
        <w:t>s not bound by technicalities, legal forms, or rules of evidence</w:t>
      </w:r>
    </w:p>
    <w:p w:rsidR="00936C48" w:rsidRDefault="007432E1" w:rsidP="00936C48">
      <w:pPr>
        <w:numPr>
          <w:ilvl w:val="0"/>
          <w:numId w:val="16"/>
        </w:numPr>
      </w:pPr>
      <w:r>
        <w:t>m</w:t>
      </w:r>
      <w:r w:rsidR="00936C48">
        <w:t>ust act as quickly as the proper conduct of the inquiry allows</w:t>
      </w:r>
    </w:p>
    <w:p w:rsidR="00BD11CD" w:rsidRDefault="007432E1" w:rsidP="00936C48">
      <w:pPr>
        <w:numPr>
          <w:ilvl w:val="0"/>
          <w:numId w:val="16"/>
        </w:numPr>
      </w:pPr>
      <w:r>
        <w:t>m</w:t>
      </w:r>
      <w:r w:rsidR="00936C48">
        <w:t>ust have regard to the objects set out in regulation 6</w:t>
      </w:r>
      <w:r w:rsidR="00BD11CD">
        <w:t>, which are that:</w:t>
      </w:r>
    </w:p>
    <w:p w:rsidR="00BD11CD" w:rsidRDefault="00BD11CD" w:rsidP="00BD11CD">
      <w:pPr>
        <w:numPr>
          <w:ilvl w:val="0"/>
          <w:numId w:val="44"/>
        </w:numPr>
      </w:pPr>
      <w:r>
        <w:t>users of Australia Post’s bulk interconnection services receive fair and reasonable rate reductions</w:t>
      </w:r>
    </w:p>
    <w:p w:rsidR="00936C48" w:rsidRDefault="00BD11CD" w:rsidP="00BD11CD">
      <w:pPr>
        <w:numPr>
          <w:ilvl w:val="0"/>
          <w:numId w:val="44"/>
        </w:numPr>
      </w:pPr>
      <w:r>
        <w:t xml:space="preserve">the </w:t>
      </w:r>
      <w:proofErr w:type="spellStart"/>
      <w:r>
        <w:t>ACCC’s</w:t>
      </w:r>
      <w:proofErr w:type="spellEnd"/>
      <w:r>
        <w:t xml:space="preserve"> inquiry is conducted in a manner that is fair, efficient and timely</w:t>
      </w:r>
    </w:p>
    <w:p w:rsidR="00936C48" w:rsidRPr="001357D5" w:rsidRDefault="00592379" w:rsidP="00936C48">
      <w:r>
        <w:t xml:space="preserve">As outlined in </w:t>
      </w:r>
      <w:r w:rsidR="00D1452D">
        <w:t>section</w:t>
      </w:r>
      <w:r>
        <w:t xml:space="preserve"> 4.</w:t>
      </w:r>
      <w:r w:rsidR="0003784B">
        <w:t>2</w:t>
      </w:r>
      <w:r>
        <w:t>.</w:t>
      </w:r>
      <w:r w:rsidR="0003784B">
        <w:t>4</w:t>
      </w:r>
      <w:r>
        <w:t xml:space="preserve"> t</w:t>
      </w:r>
      <w:r w:rsidR="00936C48">
        <w:t xml:space="preserve">he </w:t>
      </w:r>
      <w:proofErr w:type="spellStart"/>
      <w:r w:rsidR="00936C48">
        <w:t>ACCC</w:t>
      </w:r>
      <w:proofErr w:type="spellEnd"/>
      <w:r w:rsidR="00936C48">
        <w:t xml:space="preserve"> may obtain evidence or inform itself of matters relevant to the dispute in several ways</w:t>
      </w:r>
      <w:r>
        <w:t xml:space="preserve">. This can include </w:t>
      </w:r>
      <w:r w:rsidR="00936C48">
        <w:t>obtain</w:t>
      </w:r>
      <w:r>
        <w:t xml:space="preserve">ing </w:t>
      </w:r>
      <w:r w:rsidR="00936C48">
        <w:t xml:space="preserve">evidence or information voluntarily from the parties or from other persons. </w:t>
      </w:r>
      <w:r>
        <w:t xml:space="preserve">In addition, the </w:t>
      </w:r>
      <w:proofErr w:type="spellStart"/>
      <w:r>
        <w:t>ACCC</w:t>
      </w:r>
      <w:proofErr w:type="spellEnd"/>
      <w:r w:rsidR="0029654F">
        <w:t xml:space="preserve"> may </w:t>
      </w:r>
      <w:r w:rsidR="00BD11CD">
        <w:t>direct</w:t>
      </w:r>
      <w:r w:rsidR="00936C48">
        <w:t xml:space="preserve"> part</w:t>
      </w:r>
      <w:r w:rsidR="0029654F">
        <w:t>ies</w:t>
      </w:r>
      <w:r w:rsidR="00936C48">
        <w:t xml:space="preserve"> </w:t>
      </w:r>
      <w:r w:rsidR="001357D5">
        <w:t xml:space="preserve">in writing </w:t>
      </w:r>
      <w:r w:rsidR="00936C48">
        <w:t>to provide information or produce document</w:t>
      </w:r>
      <w:r w:rsidR="0029654F">
        <w:t>s</w:t>
      </w:r>
      <w:r w:rsidR="00936C48">
        <w:t xml:space="preserve">.  </w:t>
      </w:r>
    </w:p>
    <w:p w:rsidR="00936C48" w:rsidRDefault="00CD0CC7" w:rsidP="00936C48">
      <w:pPr>
        <w:pStyle w:val="Heading3"/>
        <w:numPr>
          <w:ilvl w:val="0"/>
          <w:numId w:val="0"/>
        </w:numPr>
      </w:pPr>
      <w:bookmarkStart w:id="122" w:name="_Toc332363549"/>
      <w:r>
        <w:t>7</w:t>
      </w:r>
      <w:r w:rsidR="00936C48">
        <w:t>.3</w:t>
      </w:r>
      <w:r w:rsidR="00936C48">
        <w:tab/>
        <w:t>Representation</w:t>
      </w:r>
      <w:bookmarkEnd w:id="122"/>
    </w:p>
    <w:p w:rsidR="00481976" w:rsidRDefault="00B201B6" w:rsidP="00481976">
      <w:r w:rsidRPr="00B201B6">
        <w:t xml:space="preserve">In keeping with the objective that the </w:t>
      </w:r>
      <w:proofErr w:type="spellStart"/>
      <w:r>
        <w:t>ACCC</w:t>
      </w:r>
      <w:proofErr w:type="spellEnd"/>
      <w:r>
        <w:t xml:space="preserve"> </w:t>
      </w:r>
      <w:r w:rsidR="006B73D3">
        <w:t xml:space="preserve">inquiry </w:t>
      </w:r>
      <w:r w:rsidRPr="00B201B6">
        <w:t xml:space="preserve">process </w:t>
      </w:r>
      <w:r>
        <w:t xml:space="preserve">should be </w:t>
      </w:r>
      <w:r w:rsidR="00636380">
        <w:t xml:space="preserve">fair, </w:t>
      </w:r>
      <w:r w:rsidR="003E0956">
        <w:t>efficient and timely</w:t>
      </w:r>
      <w:r w:rsidRPr="00B201B6">
        <w:t xml:space="preserve">, it is not </w:t>
      </w:r>
      <w:r w:rsidR="00B03D99">
        <w:t>considered necessary</w:t>
      </w:r>
      <w:r w:rsidR="00B03D99" w:rsidRPr="00B201B6">
        <w:t xml:space="preserve"> </w:t>
      </w:r>
      <w:r w:rsidRPr="00B201B6">
        <w:t xml:space="preserve">that parties at </w:t>
      </w:r>
      <w:r w:rsidR="003E0956">
        <w:t xml:space="preserve">a </w:t>
      </w:r>
      <w:r w:rsidRPr="00B201B6">
        <w:t xml:space="preserve">conference should be represented by lawyers. </w:t>
      </w:r>
      <w:r w:rsidR="00481976">
        <w:t>A corporation must be represented at a conference by a director, officer or employee of the corporation</w:t>
      </w:r>
      <w:r w:rsidR="00481976" w:rsidRPr="00482BB2">
        <w:t xml:space="preserve"> </w:t>
      </w:r>
      <w:r w:rsidR="00481976">
        <w:t>(</w:t>
      </w:r>
      <w:proofErr w:type="gramStart"/>
      <w:r w:rsidR="00481976">
        <w:t>r.25(</w:t>
      </w:r>
      <w:proofErr w:type="gramEnd"/>
      <w:r w:rsidR="00481976">
        <w:t>3)).</w:t>
      </w:r>
    </w:p>
    <w:p w:rsidR="00936C48" w:rsidRDefault="00CD0CC7" w:rsidP="00481976">
      <w:pPr>
        <w:pStyle w:val="Heading3"/>
        <w:numPr>
          <w:ilvl w:val="0"/>
          <w:numId w:val="0"/>
        </w:numPr>
      </w:pPr>
      <w:bookmarkStart w:id="123" w:name="_Toc332363550"/>
      <w:r>
        <w:t>7</w:t>
      </w:r>
      <w:r w:rsidR="00936C48">
        <w:t>.</w:t>
      </w:r>
      <w:r w:rsidR="00454DE9">
        <w:t>4</w:t>
      </w:r>
      <w:r w:rsidR="00936C48">
        <w:tab/>
        <w:t>Use of experts</w:t>
      </w:r>
      <w:bookmarkEnd w:id="123"/>
    </w:p>
    <w:p w:rsidR="00936C48" w:rsidRDefault="00DA6065" w:rsidP="00936C48">
      <w:r>
        <w:t>In order t</w:t>
      </w:r>
      <w:r w:rsidR="00936C48">
        <w:t>o better understand particular issues or analyse factual material</w:t>
      </w:r>
      <w:r w:rsidR="001357D5">
        <w:t xml:space="preserve"> in an inquiry</w:t>
      </w:r>
      <w:r w:rsidR="00936C48">
        <w:t xml:space="preserve">, </w:t>
      </w:r>
      <w:r w:rsidR="001357D5">
        <w:t xml:space="preserve">the </w:t>
      </w:r>
      <w:proofErr w:type="spellStart"/>
      <w:r w:rsidR="001357D5">
        <w:t>ACCC</w:t>
      </w:r>
      <w:proofErr w:type="spellEnd"/>
      <w:r w:rsidR="001357D5">
        <w:t xml:space="preserve">, or a party to the inquiry, can </w:t>
      </w:r>
      <w:r w:rsidR="00936C48">
        <w:t xml:space="preserve">engage an expert. Such experts could include economists, accountants, lawyers, or person experienced in </w:t>
      </w:r>
      <w:r w:rsidR="001357D5">
        <w:t>the mail industry</w:t>
      </w:r>
      <w:r w:rsidR="00936C48">
        <w:t>.</w:t>
      </w:r>
    </w:p>
    <w:p w:rsidR="00936C48" w:rsidRDefault="00047AB7" w:rsidP="00936C48">
      <w:pPr>
        <w:rPr>
          <w:i/>
        </w:rPr>
      </w:pPr>
      <w:r w:rsidRPr="00047AB7">
        <w:t xml:space="preserve">Although the </w:t>
      </w:r>
      <w:r w:rsidR="00317999" w:rsidRPr="00047AB7">
        <w:t>usage of experts is likely to be limited</w:t>
      </w:r>
      <w:r w:rsidR="00141047">
        <w:t>,</w:t>
      </w:r>
      <w:r w:rsidRPr="00047AB7">
        <w:t xml:space="preserve"> the </w:t>
      </w:r>
      <w:proofErr w:type="spellStart"/>
      <w:r w:rsidRPr="00047AB7">
        <w:t>ACCC</w:t>
      </w:r>
      <w:proofErr w:type="spellEnd"/>
      <w:r w:rsidRPr="00047AB7">
        <w:t xml:space="preserve"> will be reasonable in assessing the need for a party to engage an expert. I</w:t>
      </w:r>
      <w:r w:rsidR="00936C48" w:rsidRPr="00047AB7">
        <w:t xml:space="preserve">f the </w:t>
      </w:r>
      <w:proofErr w:type="spellStart"/>
      <w:r w:rsidR="00936C48" w:rsidRPr="00047AB7">
        <w:t>ACCC</w:t>
      </w:r>
      <w:proofErr w:type="spellEnd"/>
      <w:r w:rsidR="00936C48" w:rsidRPr="00047AB7">
        <w:t xml:space="preserve"> agrees to the use of experts, the parties and experts should note the following requirements, which are based on the Guidelines for Expert Witness Statements in proceedings in the Federal Court of Australia</w:t>
      </w:r>
      <w:r w:rsidR="00936C48" w:rsidRPr="00047AB7">
        <w:rPr>
          <w:i/>
        </w:rPr>
        <w:t>.</w:t>
      </w:r>
      <w:r w:rsidR="00033841" w:rsidRPr="00047AB7">
        <w:rPr>
          <w:rStyle w:val="FootnoteReference"/>
          <w:i/>
        </w:rPr>
        <w:footnoteReference w:id="8"/>
      </w:r>
    </w:p>
    <w:p w:rsidR="00936C48" w:rsidRDefault="00CD0CC7" w:rsidP="00864376">
      <w:pPr>
        <w:pStyle w:val="Heading4"/>
        <w:numPr>
          <w:ilvl w:val="0"/>
          <w:numId w:val="0"/>
        </w:numPr>
      </w:pPr>
      <w:bookmarkStart w:id="124" w:name="_Toc332363551"/>
      <w:r>
        <w:t>7</w:t>
      </w:r>
      <w:r w:rsidR="00936C48">
        <w:t>.</w:t>
      </w:r>
      <w:r w:rsidR="00454DE9">
        <w:t>4</w:t>
      </w:r>
      <w:r w:rsidR="002371E1">
        <w:t>.1</w:t>
      </w:r>
      <w:r w:rsidR="00936C48">
        <w:tab/>
        <w:t>Expert appointed by a party</w:t>
      </w:r>
      <w:bookmarkEnd w:id="124"/>
    </w:p>
    <w:p w:rsidR="00936C48" w:rsidRDefault="00936C48" w:rsidP="00936C48">
      <w:r>
        <w:t xml:space="preserve">Parties should indicate as soon as possible the expert witnesses they propose to use. In the interests of an expeditious resolution of the dispute, the </w:t>
      </w:r>
      <w:proofErr w:type="spellStart"/>
      <w:r>
        <w:t>ACCC</w:t>
      </w:r>
      <w:proofErr w:type="spellEnd"/>
      <w:r>
        <w:t xml:space="preserve"> will generally ask the parties to limit themselves to two expert witnesses, with only one expert witness in any one field of expertise. </w:t>
      </w:r>
    </w:p>
    <w:p w:rsidR="00936C48" w:rsidRDefault="00CD0CC7" w:rsidP="00864376">
      <w:pPr>
        <w:pStyle w:val="Heading4"/>
        <w:numPr>
          <w:ilvl w:val="0"/>
          <w:numId w:val="0"/>
        </w:numPr>
      </w:pPr>
      <w:bookmarkStart w:id="125" w:name="_Toc332363552"/>
      <w:r>
        <w:t>7</w:t>
      </w:r>
      <w:r w:rsidR="00936C48">
        <w:t>.</w:t>
      </w:r>
      <w:r w:rsidR="00454DE9">
        <w:t>4</w:t>
      </w:r>
      <w:r w:rsidR="002371E1">
        <w:t>.2</w:t>
      </w:r>
      <w:r w:rsidR="00936C48">
        <w:tab/>
        <w:t xml:space="preserve">Expert appointed by the </w:t>
      </w:r>
      <w:proofErr w:type="spellStart"/>
      <w:r w:rsidR="00936C48">
        <w:t>ACCC</w:t>
      </w:r>
      <w:bookmarkEnd w:id="125"/>
      <w:proofErr w:type="spellEnd"/>
    </w:p>
    <w:p w:rsidR="00936C48" w:rsidRDefault="00936C48" w:rsidP="00936C48">
      <w:r>
        <w:t xml:space="preserve">During the inquiry into a dispute, the </w:t>
      </w:r>
      <w:proofErr w:type="spellStart"/>
      <w:r>
        <w:t>ACCC</w:t>
      </w:r>
      <w:proofErr w:type="spellEnd"/>
      <w:r>
        <w:t xml:space="preserve"> may refer any matter to an expert and receive the expert’s report as evidence. Before making the referral, the </w:t>
      </w:r>
      <w:proofErr w:type="spellStart"/>
      <w:r>
        <w:t>ACCC</w:t>
      </w:r>
      <w:proofErr w:type="spellEnd"/>
      <w:r>
        <w:t xml:space="preserve"> will generally seek comments from the parties.</w:t>
      </w:r>
    </w:p>
    <w:p w:rsidR="005A5D27" w:rsidRDefault="00CD0CC7" w:rsidP="005A5D27">
      <w:pPr>
        <w:pStyle w:val="Heading4"/>
        <w:numPr>
          <w:ilvl w:val="0"/>
          <w:numId w:val="0"/>
        </w:numPr>
      </w:pPr>
      <w:bookmarkStart w:id="126" w:name="_Toc332363553"/>
      <w:r>
        <w:t>7</w:t>
      </w:r>
      <w:r w:rsidR="005A5D27">
        <w:t>.</w:t>
      </w:r>
      <w:r w:rsidR="00454DE9">
        <w:t>4</w:t>
      </w:r>
      <w:r w:rsidR="005A5D27">
        <w:t>.3</w:t>
      </w:r>
      <w:r w:rsidR="005A5D27">
        <w:tab/>
        <w:t>Expert’s report</w:t>
      </w:r>
      <w:bookmarkEnd w:id="126"/>
    </w:p>
    <w:p w:rsidR="004B473A" w:rsidRDefault="004B473A" w:rsidP="004B473A">
      <w:r>
        <w:t>The specification of how an expert</w:t>
      </w:r>
      <w:r w:rsidR="00514F33">
        <w:t>’</w:t>
      </w:r>
      <w:r>
        <w:t xml:space="preserve">s report should be set out for the purposes of an inquiry is outlined in Box </w:t>
      </w:r>
      <w:r w:rsidR="00A20E70">
        <w:t>7</w:t>
      </w:r>
      <w:r>
        <w:t>.2 below</w:t>
      </w:r>
      <w:r w:rsidR="00891727">
        <w:t>.</w:t>
      </w:r>
    </w:p>
    <w:p w:rsidR="00FF6668" w:rsidRDefault="00FF6668" w:rsidP="00FF6668">
      <w:r>
        <w:t xml:space="preserve">In general, when a party provides </w:t>
      </w:r>
      <w:r w:rsidR="00514F33">
        <w:t xml:space="preserve">an </w:t>
      </w:r>
      <w:r>
        <w:t xml:space="preserve">expert’s report to the </w:t>
      </w:r>
      <w:proofErr w:type="spellStart"/>
      <w:r>
        <w:t>ACCC</w:t>
      </w:r>
      <w:proofErr w:type="spellEnd"/>
      <w:r>
        <w:t xml:space="preserve">, it should also give a copy to all other parties. If, after providing the report, the expert changes their view on a material matter (for example, because the expert has read another expert’s report, or because the expert receives further information), the change of mind should be communicated without delay to the </w:t>
      </w:r>
      <w:proofErr w:type="spellStart"/>
      <w:r>
        <w:t>ACCC</w:t>
      </w:r>
      <w:proofErr w:type="spellEnd"/>
      <w:r>
        <w:t xml:space="preserve">. </w:t>
      </w:r>
    </w:p>
    <w:p w:rsidR="00FF6668" w:rsidRDefault="00FF6668" w:rsidP="00FF6668">
      <w:r>
        <w:t xml:space="preserve">Similarly, when the </w:t>
      </w:r>
      <w:proofErr w:type="spellStart"/>
      <w:r>
        <w:t>ACCC</w:t>
      </w:r>
      <w:proofErr w:type="spellEnd"/>
      <w:r>
        <w:t xml:space="preserve"> engages an expert</w:t>
      </w:r>
      <w:r w:rsidR="00141047">
        <w:t>,</w:t>
      </w:r>
      <w:r>
        <w:t xml:space="preserve"> the report will usually be provided to all parties. Where appropriate, the </w:t>
      </w:r>
      <w:proofErr w:type="spellStart"/>
      <w:r>
        <w:t>ACCC</w:t>
      </w:r>
      <w:proofErr w:type="spellEnd"/>
      <w:r>
        <w:t xml:space="preserve"> will also consider making </w:t>
      </w:r>
      <w:r w:rsidR="006D376E">
        <w:t xml:space="preserve">a copy of this </w:t>
      </w:r>
      <w:r>
        <w:t>draft report available to the parties so that the expert can consider and comment on the views expressed by the parties. Comments should be provided in writing.</w:t>
      </w:r>
    </w:p>
    <w:p w:rsidR="00FF6668" w:rsidRDefault="00FF6668" w:rsidP="00FF6668">
      <w:r>
        <w:t xml:space="preserve">The expert may also be required to attend an inquiry conference or similar forum to answer questions by parties and/or the </w:t>
      </w:r>
      <w:proofErr w:type="spellStart"/>
      <w:r>
        <w:t>ACCC</w:t>
      </w:r>
      <w:proofErr w:type="spellEnd"/>
      <w:r>
        <w:t>.</w:t>
      </w:r>
    </w:p>
    <w:p w:rsidR="00FF6668" w:rsidRDefault="00FF6668" w:rsidP="00FF6668">
      <w:r>
        <w:t xml:space="preserve">If a party wishes to dispute the capacity or qualification of a person to give an expert opinion, it should give written notice to the other parties and to the </w:t>
      </w:r>
      <w:proofErr w:type="spellStart"/>
      <w:r>
        <w:t>ACCC</w:t>
      </w:r>
      <w:proofErr w:type="spellEnd"/>
      <w:r>
        <w:t xml:space="preserve"> immediately after it has become aware of the expert’s appointment. The written notice should set out why it disputes the expert’s qualifications. If the party does not object at that time but waits until later, the party’s objections may be given less weight.</w:t>
      </w:r>
    </w:p>
    <w:p w:rsidR="00FF6668" w:rsidRDefault="00FF6668" w:rsidP="00FF6668">
      <w:r>
        <w:t xml:space="preserve">If a party wants to withhold a copy of the expert’s report, or particular parts of the report, from other parties because it contains confidential commercial information it should make a request to the </w:t>
      </w:r>
      <w:proofErr w:type="spellStart"/>
      <w:r>
        <w:t>ACCC</w:t>
      </w:r>
      <w:proofErr w:type="spellEnd"/>
      <w:r>
        <w:t xml:space="preserve"> (r</w:t>
      </w:r>
      <w:r w:rsidR="00A20E70">
        <w:t xml:space="preserve"> </w:t>
      </w:r>
      <w:r>
        <w:t>21(1)</w:t>
      </w:r>
      <w:r w:rsidR="00D64ADA">
        <w:t>)</w:t>
      </w:r>
      <w:r>
        <w:t>.</w:t>
      </w:r>
    </w:p>
    <w:p w:rsidR="00FF6668" w:rsidRDefault="00FF6668" w:rsidP="004B473A"/>
    <w:p w:rsidR="004B473A" w:rsidRDefault="00CF79EA" w:rsidP="00936C48">
      <w:r>
        <w:rPr>
          <w:noProof/>
        </w:rPr>
        <w:pict>
          <v:shape id="_x0000_s1056" type="#_x0000_t202" style="position:absolute;margin-left:0;margin-top:0;width:432.75pt;height:584.5pt;z-index:251649024;mso-wrap-style:none">
            <v:textbox style="mso-next-textbox:#_x0000_s1056;mso-fit-shape-to-text:t">
              <w:txbxContent>
                <w:p w:rsidR="00E82DB4" w:rsidRPr="004B473A" w:rsidRDefault="00E82DB4" w:rsidP="00936C48">
                  <w:pPr>
                    <w:rPr>
                      <w:b/>
                    </w:rPr>
                  </w:pPr>
                  <w:r w:rsidRPr="004B473A">
                    <w:rPr>
                      <w:b/>
                    </w:rPr>
                    <w:t xml:space="preserve">Box </w:t>
                  </w:r>
                  <w:r>
                    <w:rPr>
                      <w:b/>
                    </w:rPr>
                    <w:t>7</w:t>
                  </w:r>
                  <w:r w:rsidRPr="004B473A">
                    <w:rPr>
                      <w:b/>
                    </w:rPr>
                    <w:t>.2</w:t>
                  </w:r>
                  <w:r>
                    <w:rPr>
                      <w:b/>
                    </w:rPr>
                    <w:t>:</w:t>
                  </w:r>
                  <w:r w:rsidRPr="004B473A">
                    <w:rPr>
                      <w:b/>
                    </w:rPr>
                    <w:t xml:space="preserve"> The expert</w:t>
                  </w:r>
                  <w:r>
                    <w:rPr>
                      <w:b/>
                    </w:rPr>
                    <w:t>’</w:t>
                  </w:r>
                  <w:r w:rsidRPr="004B473A">
                    <w:rPr>
                      <w:b/>
                    </w:rPr>
                    <w:t>s report</w:t>
                  </w:r>
                </w:p>
                <w:p w:rsidR="00E82DB4" w:rsidRDefault="00E82DB4" w:rsidP="00936C48">
                  <w:r>
                    <w:t>The evidence of an expert should be set out as a report comprising the following matters:</w:t>
                  </w:r>
                </w:p>
                <w:p w:rsidR="00E82DB4" w:rsidRDefault="00E82DB4" w:rsidP="00936C48">
                  <w:pPr>
                    <w:numPr>
                      <w:ilvl w:val="0"/>
                      <w:numId w:val="18"/>
                    </w:numPr>
                  </w:pPr>
                  <w:r>
                    <w:t>the qualifications and experience in support of the expert’s expertise</w:t>
                  </w:r>
                </w:p>
                <w:p w:rsidR="00E82DB4" w:rsidRDefault="00E82DB4" w:rsidP="00936C48">
                  <w:pPr>
                    <w:numPr>
                      <w:ilvl w:val="0"/>
                      <w:numId w:val="18"/>
                    </w:numPr>
                  </w:pPr>
                  <w:r>
                    <w:t>the questions or issues that the expert has been asked to address</w:t>
                  </w:r>
                </w:p>
                <w:p w:rsidR="00E82DB4" w:rsidRDefault="00E82DB4" w:rsidP="00936C48">
                  <w:pPr>
                    <w:numPr>
                      <w:ilvl w:val="0"/>
                      <w:numId w:val="18"/>
                    </w:numPr>
                  </w:pPr>
                  <w:r>
                    <w:t>the factual material considered by the expert</w:t>
                  </w:r>
                </w:p>
                <w:p w:rsidR="00E82DB4" w:rsidRDefault="00E82DB4" w:rsidP="00936C48">
                  <w:pPr>
                    <w:numPr>
                      <w:ilvl w:val="0"/>
                      <w:numId w:val="18"/>
                    </w:numPr>
                  </w:pPr>
                  <w:r>
                    <w:t>the assumptions made by the expert</w:t>
                  </w:r>
                </w:p>
                <w:p w:rsidR="00E82DB4" w:rsidRDefault="00E82DB4" w:rsidP="00936C48">
                  <w:pPr>
                    <w:numPr>
                      <w:ilvl w:val="0"/>
                      <w:numId w:val="18"/>
                    </w:numPr>
                  </w:pPr>
                  <w:r>
                    <w:t>the process used by the expert to consider those issues (such as, did it involve industry consultations, and if so with whom)</w:t>
                  </w:r>
                </w:p>
                <w:p w:rsidR="00E82DB4" w:rsidRDefault="00E82DB4" w:rsidP="00936C48">
                  <w:pPr>
                    <w:numPr>
                      <w:ilvl w:val="0"/>
                      <w:numId w:val="18"/>
                    </w:numPr>
                  </w:pPr>
                  <w:r>
                    <w:t>the expert’s conclusions about those issues, along with full reasons</w:t>
                  </w:r>
                </w:p>
                <w:p w:rsidR="00E82DB4" w:rsidRDefault="00E82DB4" w:rsidP="00936C48">
                  <w:pPr>
                    <w:numPr>
                      <w:ilvl w:val="0"/>
                      <w:numId w:val="18"/>
                    </w:numPr>
                  </w:pPr>
                  <w:r>
                    <w:t xml:space="preserve">when the expert is aware that other people (including other experts) have expressed conflicting views on those issues, the reasons should explain why the expert believes the other views to be incorrect </w:t>
                  </w:r>
                </w:p>
                <w:p w:rsidR="00E82DB4" w:rsidRDefault="00E82DB4" w:rsidP="00936C48">
                  <w:pPr>
                    <w:numPr>
                      <w:ilvl w:val="0"/>
                      <w:numId w:val="18"/>
                    </w:numPr>
                  </w:pPr>
                  <w:r>
                    <w:t xml:space="preserve">additional information necessary to resolve particular issues or to provide a firm conclusion, what that information is and how it is relevant to the issues or conclusion  </w:t>
                  </w:r>
                </w:p>
                <w:p w:rsidR="00E82DB4" w:rsidRDefault="00E82DB4" w:rsidP="00936C48">
                  <w:pPr>
                    <w:numPr>
                      <w:ilvl w:val="0"/>
                      <w:numId w:val="18"/>
                    </w:numPr>
                  </w:pPr>
                  <w:proofErr w:type="gramStart"/>
                  <w:r>
                    <w:t>whether</w:t>
                  </w:r>
                  <w:proofErr w:type="gramEnd"/>
                  <w:r>
                    <w:t xml:space="preserve"> any question or issue falls outside their field of expertise.</w:t>
                  </w:r>
                </w:p>
                <w:p w:rsidR="00E82DB4" w:rsidRDefault="00E82DB4" w:rsidP="00936C48">
                  <w:r>
                    <w:t>At the end of the report, the expert should declare that they have:</w:t>
                  </w:r>
                </w:p>
                <w:p w:rsidR="00E82DB4" w:rsidRDefault="00E82DB4" w:rsidP="00A20E70">
                  <w:pPr>
                    <w:ind w:left="720"/>
                  </w:pPr>
                  <w:r>
                    <w:t xml:space="preserve">‘…made all the inquiries which I believe are desirable and appropriate and that no matters of significance which I regard as relevant have, to my knowledge, been withheld from the </w:t>
                  </w:r>
                  <w:proofErr w:type="spellStart"/>
                  <w:r>
                    <w:t>ACCC</w:t>
                  </w:r>
                  <w:proofErr w:type="spellEnd"/>
                  <w:r>
                    <w:t>.’</w:t>
                  </w:r>
                </w:p>
                <w:p w:rsidR="00E82DB4" w:rsidRDefault="00E82DB4" w:rsidP="00936C48">
                  <w:r>
                    <w:t>The expert should attach to the report or summarise within it:</w:t>
                  </w:r>
                </w:p>
                <w:p w:rsidR="00E82DB4" w:rsidRDefault="00E82DB4" w:rsidP="00936C48">
                  <w:pPr>
                    <w:numPr>
                      <w:ilvl w:val="0"/>
                      <w:numId w:val="19"/>
                    </w:numPr>
                  </w:pPr>
                  <w:r>
                    <w:t>all oral and written instructions (original and supplementary) given to the expert that define the scope of the report</w:t>
                  </w:r>
                </w:p>
                <w:p w:rsidR="00E82DB4" w:rsidRDefault="00E82DB4" w:rsidP="00936C48">
                  <w:pPr>
                    <w:numPr>
                      <w:ilvl w:val="0"/>
                      <w:numId w:val="19"/>
                    </w:numPr>
                  </w:pPr>
                  <w:proofErr w:type="gramStart"/>
                  <w:r>
                    <w:t>the</w:t>
                  </w:r>
                  <w:proofErr w:type="gramEnd"/>
                  <w:r>
                    <w:t xml:space="preserve"> documents and other materials that the expert has been asked to consider.</w:t>
                  </w:r>
                </w:p>
                <w:p w:rsidR="00E82DB4" w:rsidRPr="00E66F93" w:rsidRDefault="00E82DB4" w:rsidP="004B473A">
                  <w:pPr>
                    <w:numPr>
                      <w:ilvl w:val="0"/>
                      <w:numId w:val="19"/>
                    </w:numPr>
                  </w:pPr>
                  <w:proofErr w:type="gramStart"/>
                  <w:r>
                    <w:t>any</w:t>
                  </w:r>
                  <w:proofErr w:type="gramEnd"/>
                  <w:r>
                    <w:t xml:space="preserve"> calculations (including those set out in spreadsheets), photographs, plans or other reports referred to in the report must be provided along with the report.</w:t>
                  </w:r>
                </w:p>
              </w:txbxContent>
            </v:textbox>
            <w10:wrap type="square"/>
          </v:shape>
        </w:pict>
      </w:r>
    </w:p>
    <w:p w:rsidR="00936C48" w:rsidRDefault="00CD0CC7" w:rsidP="0029654F">
      <w:pPr>
        <w:pStyle w:val="Heading3"/>
        <w:numPr>
          <w:ilvl w:val="0"/>
          <w:numId w:val="0"/>
        </w:numPr>
      </w:pPr>
      <w:bookmarkStart w:id="127" w:name="_Toc332363554"/>
      <w:r>
        <w:t>7</w:t>
      </w:r>
      <w:r w:rsidR="00936C48">
        <w:t>.</w:t>
      </w:r>
      <w:r w:rsidR="00454DE9">
        <w:t>5</w:t>
      </w:r>
      <w:r w:rsidR="00936C48">
        <w:tab/>
        <w:t>Joint inquiries</w:t>
      </w:r>
      <w:bookmarkEnd w:id="127"/>
    </w:p>
    <w:p w:rsidR="00936C48" w:rsidRDefault="00936C48" w:rsidP="00936C48">
      <w:r>
        <w:t>Sometimes the parties to a dispute raise issues that are common to one or more other inquiries, or which are likely to arise in other inquiries.</w:t>
      </w:r>
    </w:p>
    <w:p w:rsidR="00D642F5" w:rsidRDefault="00141047" w:rsidP="00936C48">
      <w:r>
        <w:t xml:space="preserve">If </w:t>
      </w:r>
      <w:r w:rsidR="00936C48">
        <w:t xml:space="preserve">the </w:t>
      </w:r>
      <w:proofErr w:type="spellStart"/>
      <w:r w:rsidR="00936C48">
        <w:t>ACCC</w:t>
      </w:r>
      <w:proofErr w:type="spellEnd"/>
      <w:r w:rsidR="00936C48">
        <w:t xml:space="preserve"> is conducting two or more </w:t>
      </w:r>
      <w:r w:rsidR="00B07636">
        <w:t xml:space="preserve">inquiries </w:t>
      </w:r>
      <w:r w:rsidR="00936C48">
        <w:t xml:space="preserve">involving common issues, it can with the consent of the parties decide to hold a joint </w:t>
      </w:r>
      <w:r w:rsidR="00381032">
        <w:t xml:space="preserve">inquiry </w:t>
      </w:r>
      <w:r w:rsidR="00F861DF">
        <w:t xml:space="preserve">into two or more disputes </w:t>
      </w:r>
      <w:r w:rsidR="005A0C55">
        <w:br/>
      </w:r>
      <w:r w:rsidR="00936C48">
        <w:t>(</w:t>
      </w:r>
      <w:bookmarkStart w:id="128" w:name="OLE_LINK22"/>
      <w:bookmarkStart w:id="129" w:name="OLE_LINK23"/>
      <w:r w:rsidR="00936C48">
        <w:t>r. 18</w:t>
      </w:r>
      <w:r w:rsidR="00934312">
        <w:t xml:space="preserve"> (1)</w:t>
      </w:r>
      <w:r w:rsidR="00936C48">
        <w:t>)</w:t>
      </w:r>
      <w:bookmarkEnd w:id="128"/>
      <w:bookmarkEnd w:id="129"/>
      <w:r w:rsidR="00936C48">
        <w:t>.  This means the common issues can be considered in a single process.</w:t>
      </w:r>
    </w:p>
    <w:p w:rsidR="00936C48" w:rsidRDefault="00936C48" w:rsidP="00936C48">
      <w:r>
        <w:t xml:space="preserve">The </w:t>
      </w:r>
      <w:proofErr w:type="spellStart"/>
      <w:r>
        <w:t>ACCC</w:t>
      </w:r>
      <w:proofErr w:type="spellEnd"/>
      <w:r>
        <w:t xml:space="preserve"> may decide to hold a joint </w:t>
      </w:r>
      <w:r w:rsidR="00F861DF">
        <w:t xml:space="preserve">inquiry </w:t>
      </w:r>
      <w:r w:rsidR="00A20E70">
        <w:t>into</w:t>
      </w:r>
      <w:r>
        <w:t xml:space="preserve"> two or more disputes where it considers </w:t>
      </w:r>
      <w:r w:rsidR="00841925">
        <w:t xml:space="preserve">it </w:t>
      </w:r>
      <w:r>
        <w:t>i</w:t>
      </w:r>
      <w:r w:rsidR="00F861DF">
        <w:t>s</w:t>
      </w:r>
      <w:r>
        <w:t xml:space="preserve"> appropriate to do so because the disputes involve sufficiently similar issues or the complainant in each dispute is the same person.</w:t>
      </w:r>
    </w:p>
    <w:p w:rsidR="00381032" w:rsidRDefault="00145D48" w:rsidP="00145D48">
      <w:r>
        <w:t xml:space="preserve">In general the </w:t>
      </w:r>
      <w:proofErr w:type="spellStart"/>
      <w:r>
        <w:t>ACCC</w:t>
      </w:r>
      <w:proofErr w:type="spellEnd"/>
      <w:r>
        <w:t xml:space="preserve"> will only agree to holding a joint inquiry if </w:t>
      </w:r>
      <w:r w:rsidR="00050853">
        <w:t xml:space="preserve">at least one </w:t>
      </w:r>
      <w:r>
        <w:t>inquiry process has not already commenced</w:t>
      </w:r>
      <w:r w:rsidR="00A20E70">
        <w:t>,</w:t>
      </w:r>
      <w:r>
        <w:t xml:space="preserve"> or is only at a</w:t>
      </w:r>
      <w:r w:rsidR="00636380">
        <w:t xml:space="preserve">n early </w:t>
      </w:r>
      <w:r>
        <w:t>stage</w:t>
      </w:r>
      <w:r w:rsidR="00EB1C37">
        <w:t xml:space="preserve"> after commencement</w:t>
      </w:r>
      <w:r>
        <w:t>.</w:t>
      </w:r>
      <w:r w:rsidR="002B1183">
        <w:t xml:space="preserve"> </w:t>
      </w:r>
    </w:p>
    <w:p w:rsidR="004275A7" w:rsidRDefault="00936C48" w:rsidP="00145D48">
      <w:r>
        <w:t xml:space="preserve">If a joint </w:t>
      </w:r>
      <w:r w:rsidR="00934312">
        <w:t xml:space="preserve">inquiry </w:t>
      </w:r>
      <w:r>
        <w:t xml:space="preserve">is conducted, the </w:t>
      </w:r>
      <w:proofErr w:type="spellStart"/>
      <w:r>
        <w:t>ACCC</w:t>
      </w:r>
      <w:proofErr w:type="spellEnd"/>
      <w:r>
        <w:t xml:space="preserve"> must make separate recommendations in relation to each dispute dealt with at the inquiry</w:t>
      </w:r>
      <w:r w:rsidR="00934312">
        <w:t xml:space="preserve"> (r. 18 (3))</w:t>
      </w:r>
      <w:r>
        <w:t>.</w:t>
      </w:r>
    </w:p>
    <w:p w:rsidR="00145D48" w:rsidRDefault="00145D48" w:rsidP="00145D48">
      <w:r>
        <w:t xml:space="preserve">A joint inquiry would involve the </w:t>
      </w:r>
      <w:proofErr w:type="spellStart"/>
      <w:r>
        <w:t>ACCC</w:t>
      </w:r>
      <w:proofErr w:type="spellEnd"/>
      <w:r>
        <w:t xml:space="preserve"> using similar processes to those outlined in Chapter</w:t>
      </w:r>
      <w:r w:rsidR="00141047">
        <w:t>s</w:t>
      </w:r>
      <w:r>
        <w:t xml:space="preserve"> 2</w:t>
      </w:r>
      <w:r w:rsidR="00141047">
        <w:t xml:space="preserve"> to 5 for a single inquiry</w:t>
      </w:r>
      <w:r>
        <w:t>.</w:t>
      </w:r>
    </w:p>
    <w:p w:rsidR="00AC1544" w:rsidRDefault="00AC1544" w:rsidP="00AC1544">
      <w:r>
        <w:t xml:space="preserve">The </w:t>
      </w:r>
      <w:proofErr w:type="spellStart"/>
      <w:r w:rsidR="00FC6306">
        <w:t>ACCC</w:t>
      </w:r>
      <w:proofErr w:type="spellEnd"/>
      <w:r w:rsidR="00FC6306">
        <w:t xml:space="preserve"> </w:t>
      </w:r>
      <w:r>
        <w:t>may also issue confidentiality direction</w:t>
      </w:r>
      <w:r w:rsidR="00F6771D">
        <w:t>s</w:t>
      </w:r>
      <w:r>
        <w:t xml:space="preserve"> to protect the interest of parties to the inquiry. This issue is discussed further in Chapter </w:t>
      </w:r>
      <w:r w:rsidR="004A713C">
        <w:t>8</w:t>
      </w:r>
      <w:r w:rsidR="00FC6306">
        <w:t>.</w:t>
      </w:r>
    </w:p>
    <w:p w:rsidR="002C61CB" w:rsidRPr="0071178C" w:rsidRDefault="00D1452D" w:rsidP="002C61CB">
      <w:pPr>
        <w:pBdr>
          <w:top w:val="single" w:sz="4" w:space="1" w:color="auto"/>
          <w:left w:val="single" w:sz="4" w:space="1" w:color="auto"/>
          <w:bottom w:val="single" w:sz="4" w:space="1" w:color="auto"/>
          <w:right w:val="single" w:sz="4" w:space="1" w:color="auto"/>
        </w:pBdr>
        <w:shd w:val="clear" w:color="auto" w:fill="C0C0C0"/>
        <w:spacing w:before="120" w:after="120"/>
        <w:rPr>
          <w:b/>
        </w:rPr>
      </w:pPr>
      <w:r w:rsidRPr="0071178C">
        <w:rPr>
          <w:b/>
        </w:rPr>
        <w:t>Chapter</w:t>
      </w:r>
      <w:r w:rsidR="002C61CB" w:rsidRPr="0071178C">
        <w:rPr>
          <w:b/>
        </w:rPr>
        <w:t xml:space="preserve"> </w:t>
      </w:r>
      <w:r w:rsidR="00CD0CC7" w:rsidRPr="0071178C">
        <w:rPr>
          <w:b/>
        </w:rPr>
        <w:t>7</w:t>
      </w:r>
      <w:r w:rsidR="002C61CB" w:rsidRPr="0071178C">
        <w:rPr>
          <w:b/>
        </w:rPr>
        <w:t xml:space="preserve"> questions</w:t>
      </w:r>
    </w:p>
    <w:p w:rsidR="00066287" w:rsidRDefault="00CF2B44">
      <w:pPr>
        <w:pBdr>
          <w:top w:val="single" w:sz="4" w:space="1" w:color="auto"/>
          <w:left w:val="single" w:sz="4" w:space="1" w:color="auto"/>
          <w:bottom w:val="single" w:sz="4" w:space="1" w:color="auto"/>
          <w:right w:val="single" w:sz="4" w:space="1" w:color="auto"/>
        </w:pBdr>
        <w:shd w:val="clear" w:color="auto" w:fill="C0C0C0"/>
        <w:spacing w:before="120" w:after="120"/>
        <w:ind w:left="720" w:hanging="720"/>
      </w:pPr>
      <w:r>
        <w:t xml:space="preserve">Q </w:t>
      </w:r>
      <w:r w:rsidR="00F86AA1">
        <w:t>7.1</w:t>
      </w:r>
      <w:r w:rsidR="00F86AA1">
        <w:tab/>
        <w:t>Do you have</w:t>
      </w:r>
      <w:r w:rsidR="00F86AA1" w:rsidRPr="0071178C" w:rsidDel="00F86AA1">
        <w:t xml:space="preserve"> </w:t>
      </w:r>
      <w:r w:rsidR="00F86AA1">
        <w:t xml:space="preserve">any </w:t>
      </w:r>
      <w:r w:rsidR="002C61CB" w:rsidRPr="0071178C">
        <w:t xml:space="preserve">comments on the administrative procedures </w:t>
      </w:r>
      <w:r w:rsidR="00F86AA1">
        <w:br/>
      </w:r>
      <w:r w:rsidR="002C61CB" w:rsidRPr="0071178C">
        <w:t xml:space="preserve">associated with undertaking a </w:t>
      </w:r>
      <w:r w:rsidR="009E748C">
        <w:t>bulk interconnection service</w:t>
      </w:r>
      <w:r w:rsidR="002C61CB" w:rsidRPr="0071178C">
        <w:t xml:space="preserve"> inquiry discussed in this </w:t>
      </w:r>
      <w:r w:rsidR="00D1452D" w:rsidRPr="0071178C">
        <w:t>chapter</w:t>
      </w:r>
      <w:r w:rsidR="00F86AA1">
        <w:t>?</w:t>
      </w:r>
    </w:p>
    <w:p w:rsidR="00286DAE" w:rsidRPr="0071178C" w:rsidRDefault="00CF2B44" w:rsidP="00286DAE">
      <w:pPr>
        <w:pBdr>
          <w:top w:val="single" w:sz="4" w:space="1" w:color="auto"/>
          <w:left w:val="single" w:sz="4" w:space="1" w:color="auto"/>
          <w:bottom w:val="single" w:sz="4" w:space="1" w:color="auto"/>
          <w:right w:val="single" w:sz="4" w:space="1" w:color="auto"/>
        </w:pBdr>
        <w:shd w:val="clear" w:color="auto" w:fill="C0C0C0"/>
        <w:spacing w:before="120" w:after="120"/>
      </w:pPr>
      <w:r>
        <w:t xml:space="preserve">Q </w:t>
      </w:r>
      <w:r w:rsidR="00F86AA1">
        <w:t>7.2</w:t>
      </w:r>
      <w:r w:rsidR="00F86AA1">
        <w:tab/>
        <w:t>Do you have</w:t>
      </w:r>
      <w:r w:rsidR="00F86AA1" w:rsidRPr="0071178C">
        <w:t xml:space="preserve"> </w:t>
      </w:r>
      <w:r w:rsidR="00286DAE" w:rsidRPr="0071178C">
        <w:t xml:space="preserve">any other comments on matters discussed in this </w:t>
      </w:r>
      <w:r w:rsidR="00D1452D" w:rsidRPr="0071178C">
        <w:t>chapter</w:t>
      </w:r>
      <w:r w:rsidR="00F86AA1">
        <w:t>?</w:t>
      </w:r>
    </w:p>
    <w:p w:rsidR="002C61CB" w:rsidRPr="00246083" w:rsidRDefault="002C61CB" w:rsidP="002C61CB">
      <w:pPr>
        <w:pBdr>
          <w:top w:val="single" w:sz="4" w:space="1" w:color="auto"/>
          <w:left w:val="single" w:sz="4" w:space="1" w:color="auto"/>
          <w:bottom w:val="single" w:sz="4" w:space="1" w:color="auto"/>
          <w:right w:val="single" w:sz="4" w:space="1" w:color="auto"/>
        </w:pBdr>
        <w:shd w:val="clear" w:color="auto" w:fill="C0C0C0"/>
        <w:spacing w:before="120" w:after="120"/>
        <w:rPr>
          <w:i/>
        </w:rPr>
      </w:pPr>
    </w:p>
    <w:p w:rsidR="00936C48" w:rsidRDefault="00CD0CC7" w:rsidP="009E628D">
      <w:pPr>
        <w:pStyle w:val="Heading2"/>
        <w:pageBreakBefore/>
        <w:numPr>
          <w:ilvl w:val="0"/>
          <w:numId w:val="0"/>
        </w:numPr>
        <w:ind w:left="720" w:hanging="720"/>
      </w:pPr>
      <w:bookmarkStart w:id="130" w:name="_Toc332363555"/>
      <w:r>
        <w:t>8</w:t>
      </w:r>
      <w:r w:rsidR="00936C48">
        <w:tab/>
      </w:r>
      <w:r w:rsidR="00C67E11">
        <w:t>Confidentiality</w:t>
      </w:r>
      <w:bookmarkEnd w:id="130"/>
    </w:p>
    <w:p w:rsidR="00141047" w:rsidRPr="00141047" w:rsidRDefault="00141047" w:rsidP="00141047">
      <w:r>
        <w:t xml:space="preserve">This chapter sets out the </w:t>
      </w:r>
      <w:proofErr w:type="spellStart"/>
      <w:r>
        <w:t>ACCC’s</w:t>
      </w:r>
      <w:proofErr w:type="spellEnd"/>
      <w:r>
        <w:t xml:space="preserve"> approach to the treatment of confidential information.</w:t>
      </w:r>
    </w:p>
    <w:p w:rsidR="007D1D3A" w:rsidRDefault="007D1D3A" w:rsidP="00141047">
      <w:pPr>
        <w:pStyle w:val="Heading3"/>
      </w:pPr>
      <w:bookmarkStart w:id="131" w:name="_Toc332363556"/>
      <w:r>
        <w:t>General confidentiality direction</w:t>
      </w:r>
      <w:bookmarkEnd w:id="131"/>
    </w:p>
    <w:p w:rsidR="00EF5658" w:rsidRDefault="00EF5658" w:rsidP="00EF5658">
      <w:r>
        <w:t xml:space="preserve">The </w:t>
      </w:r>
      <w:proofErr w:type="spellStart"/>
      <w:r w:rsidR="00FC6306">
        <w:t>ACCC</w:t>
      </w:r>
      <w:proofErr w:type="spellEnd"/>
      <w:r>
        <w:t xml:space="preserve"> may </w:t>
      </w:r>
      <w:r w:rsidR="007D1D3A">
        <w:t xml:space="preserve">issue </w:t>
      </w:r>
      <w:r>
        <w:t xml:space="preserve">a general confidentiality order to the parties (including their employees, contractors and agents) at an early stage of the inquiry (r. 17(3)).  </w:t>
      </w:r>
    </w:p>
    <w:p w:rsidR="00EF5658" w:rsidRDefault="00EF5658" w:rsidP="00EF5658">
      <w:r>
        <w:t xml:space="preserve">This general confidentiality </w:t>
      </w:r>
      <w:r w:rsidR="00A20E70">
        <w:t xml:space="preserve">order </w:t>
      </w:r>
      <w:r>
        <w:t xml:space="preserve">may provide that the recipient not use or disclose any information obtained from the other party or </w:t>
      </w:r>
      <w:r w:rsidR="00BE755D">
        <w:t xml:space="preserve">the </w:t>
      </w:r>
      <w:proofErr w:type="spellStart"/>
      <w:r w:rsidR="00FC6306">
        <w:t>ACCC</w:t>
      </w:r>
      <w:proofErr w:type="spellEnd"/>
      <w:r>
        <w:t xml:space="preserve"> in the course of the </w:t>
      </w:r>
      <w:r w:rsidR="00AA0FED">
        <w:t>inquiry</w:t>
      </w:r>
      <w:r>
        <w:t xml:space="preserve"> (other than information </w:t>
      </w:r>
      <w:r w:rsidR="00E43969">
        <w:t xml:space="preserve">that is already </w:t>
      </w:r>
      <w:r>
        <w:t>in the public domain) except to the extent that the use or disclosure is:</w:t>
      </w:r>
    </w:p>
    <w:p w:rsidR="00EF5658" w:rsidRDefault="00EF5658" w:rsidP="00EF5658">
      <w:pPr>
        <w:numPr>
          <w:ilvl w:val="0"/>
          <w:numId w:val="36"/>
        </w:numPr>
      </w:pPr>
      <w:r>
        <w:t xml:space="preserve">necessary for the purpose of the </w:t>
      </w:r>
      <w:r w:rsidR="00A20E70">
        <w:t>inquiry</w:t>
      </w:r>
    </w:p>
    <w:p w:rsidR="00EF5658" w:rsidRDefault="00EF5658" w:rsidP="00EF5658">
      <w:pPr>
        <w:numPr>
          <w:ilvl w:val="0"/>
          <w:numId w:val="36"/>
        </w:numPr>
      </w:pPr>
      <w:r>
        <w:t xml:space="preserve">required by law </w:t>
      </w:r>
    </w:p>
    <w:p w:rsidR="00EF5658" w:rsidRDefault="00EF5658" w:rsidP="00EF5658">
      <w:pPr>
        <w:numPr>
          <w:ilvl w:val="0"/>
          <w:numId w:val="36"/>
        </w:numPr>
      </w:pPr>
      <w:proofErr w:type="gramStart"/>
      <w:r>
        <w:t>permitted</w:t>
      </w:r>
      <w:proofErr w:type="gramEnd"/>
      <w:r>
        <w:t xml:space="preserve"> by the </w:t>
      </w:r>
      <w:proofErr w:type="spellStart"/>
      <w:r>
        <w:t>ACCC</w:t>
      </w:r>
      <w:proofErr w:type="spellEnd"/>
      <w:r>
        <w:t xml:space="preserve"> or the provider of the information.</w:t>
      </w:r>
    </w:p>
    <w:p w:rsidR="007A3524" w:rsidRDefault="00EF5658" w:rsidP="00EF5658">
      <w:r w:rsidRPr="00EF5658">
        <w:t xml:space="preserve">In the </w:t>
      </w:r>
      <w:proofErr w:type="spellStart"/>
      <w:r w:rsidRPr="00EF5658">
        <w:t>ACCC’s</w:t>
      </w:r>
      <w:proofErr w:type="spellEnd"/>
      <w:r w:rsidRPr="00EF5658">
        <w:t xml:space="preserve"> view, issuing this type of </w:t>
      </w:r>
      <w:r w:rsidR="00A20E70">
        <w:t>order</w:t>
      </w:r>
      <w:r w:rsidR="00A20E70" w:rsidRPr="00EF5658">
        <w:t xml:space="preserve"> </w:t>
      </w:r>
      <w:r w:rsidRPr="00EF5658">
        <w:t>at the commencement of</w:t>
      </w:r>
      <w:r>
        <w:t xml:space="preserve"> </w:t>
      </w:r>
      <w:r w:rsidRPr="00EF5658">
        <w:t>a</w:t>
      </w:r>
      <w:r w:rsidR="005A0C55">
        <w:t>n inquiry into a</w:t>
      </w:r>
      <w:r w:rsidRPr="00EF5658">
        <w:t xml:space="preserve"> </w:t>
      </w:r>
      <w:r w:rsidR="00BF1738">
        <w:t>bulk interconnection service</w:t>
      </w:r>
      <w:r w:rsidRPr="00EF5658">
        <w:t xml:space="preserve"> dispute contributes to the establishment of an environment in which the</w:t>
      </w:r>
      <w:r>
        <w:t xml:space="preserve"> </w:t>
      </w:r>
      <w:r w:rsidRPr="00EF5658">
        <w:t xml:space="preserve">parties can more openly discuss issues with each other and the </w:t>
      </w:r>
      <w:proofErr w:type="spellStart"/>
      <w:r w:rsidRPr="00EF5658">
        <w:t>ACCC</w:t>
      </w:r>
      <w:proofErr w:type="spellEnd"/>
      <w:r w:rsidR="007A3524">
        <w:t>.</w:t>
      </w:r>
    </w:p>
    <w:p w:rsidR="00EF5658" w:rsidRDefault="00CD0CC7" w:rsidP="00141047">
      <w:pPr>
        <w:pStyle w:val="Heading3"/>
        <w:numPr>
          <w:ilvl w:val="0"/>
          <w:numId w:val="0"/>
        </w:numPr>
        <w:ind w:left="720" w:hanging="720"/>
      </w:pPr>
      <w:bookmarkStart w:id="132" w:name="_Toc332363557"/>
      <w:r>
        <w:t>8</w:t>
      </w:r>
      <w:r w:rsidR="007D1D3A">
        <w:t>.2</w:t>
      </w:r>
      <w:r w:rsidR="007D1D3A">
        <w:tab/>
        <w:t>Requests for confidentiality</w:t>
      </w:r>
      <w:r w:rsidR="0029654F">
        <w:t xml:space="preserve"> </w:t>
      </w:r>
      <w:r w:rsidR="000E3B11">
        <w:t>from othe</w:t>
      </w:r>
      <w:r w:rsidR="007D1D3A">
        <w:t>r</w:t>
      </w:r>
      <w:r w:rsidR="000E3B11">
        <w:t xml:space="preserve"> </w:t>
      </w:r>
      <w:r w:rsidR="007D1D3A">
        <w:t>parties</w:t>
      </w:r>
      <w:bookmarkEnd w:id="132"/>
      <w:r w:rsidR="007D1D3A">
        <w:t xml:space="preserve"> </w:t>
      </w:r>
    </w:p>
    <w:p w:rsidR="00936C48" w:rsidRDefault="00936C48" w:rsidP="007238EC">
      <w:r>
        <w:t xml:space="preserve">Regulation 21 of the </w:t>
      </w:r>
      <w:proofErr w:type="spellStart"/>
      <w:r>
        <w:t>APCR</w:t>
      </w:r>
      <w:proofErr w:type="spellEnd"/>
      <w:r>
        <w:t xml:space="preserve"> requires the </w:t>
      </w:r>
      <w:proofErr w:type="spellStart"/>
      <w:r>
        <w:t>ACCC</w:t>
      </w:r>
      <w:proofErr w:type="spellEnd"/>
      <w:r>
        <w:t xml:space="preserve"> to consider a request for confidentiality, any objection to the request for confidentiality and any further submissions about that request. The </w:t>
      </w:r>
      <w:proofErr w:type="spellStart"/>
      <w:r>
        <w:t>ACCC</w:t>
      </w:r>
      <w:proofErr w:type="spellEnd"/>
      <w:r>
        <w:t xml:space="preserve"> must consider each document that is said to contain confidential commercial information individually. Accordingly, a separate request must be made for each document provided to the </w:t>
      </w:r>
      <w:proofErr w:type="spellStart"/>
      <w:r>
        <w:t>ACCC</w:t>
      </w:r>
      <w:proofErr w:type="spellEnd"/>
      <w:r>
        <w:t xml:space="preserve"> that contains confidential commercial information.</w:t>
      </w:r>
    </w:p>
    <w:p w:rsidR="00936C48" w:rsidRDefault="00936C48" w:rsidP="00936C48">
      <w:r>
        <w:t xml:space="preserve">The </w:t>
      </w:r>
      <w:proofErr w:type="spellStart"/>
      <w:r>
        <w:t>ACCC</w:t>
      </w:r>
      <w:proofErr w:type="spellEnd"/>
      <w:r>
        <w:t xml:space="preserve"> anticipates that there will normally be the following procedural steps:</w:t>
      </w:r>
    </w:p>
    <w:p w:rsidR="00936C48" w:rsidRDefault="00936C48" w:rsidP="004808A7">
      <w:pPr>
        <w:numPr>
          <w:ilvl w:val="0"/>
          <w:numId w:val="22"/>
        </w:numPr>
      </w:pPr>
      <w:r>
        <w:t xml:space="preserve">A party to the dispute wanting to request confidentiality should inform the </w:t>
      </w:r>
      <w:proofErr w:type="spellStart"/>
      <w:r>
        <w:t>ACCC</w:t>
      </w:r>
      <w:proofErr w:type="spellEnd"/>
      <w:r>
        <w:t xml:space="preserve"> in writing that a specified part of a document contains confidential commercial information and request the </w:t>
      </w:r>
      <w:proofErr w:type="spellStart"/>
      <w:r>
        <w:t>ACCC</w:t>
      </w:r>
      <w:proofErr w:type="spellEnd"/>
      <w:r>
        <w:t xml:space="preserve"> not to give a copy of that part to another party (r</w:t>
      </w:r>
      <w:r w:rsidR="00255212">
        <w:t>. </w:t>
      </w:r>
      <w:r>
        <w:t>21(1)).</w:t>
      </w:r>
    </w:p>
    <w:p w:rsidR="00936C48" w:rsidRDefault="00936C48" w:rsidP="004808A7">
      <w:pPr>
        <w:numPr>
          <w:ilvl w:val="0"/>
          <w:numId w:val="22"/>
        </w:numPr>
      </w:pPr>
      <w:r>
        <w:t xml:space="preserve">Upon receiving the request, the </w:t>
      </w:r>
      <w:proofErr w:type="spellStart"/>
      <w:r>
        <w:t>ACCC</w:t>
      </w:r>
      <w:proofErr w:type="spellEnd"/>
      <w:r>
        <w:t xml:space="preserve"> must inform the other party that a request has been made and the general nature of the matters to which the relevant part of the document relates </w:t>
      </w:r>
      <w:bookmarkStart w:id="133" w:name="OLE_LINK3"/>
      <w:bookmarkStart w:id="134" w:name="OLE_LINK4"/>
      <w:r>
        <w:t>(r. 21(2)).</w:t>
      </w:r>
      <w:bookmarkEnd w:id="133"/>
      <w:bookmarkEnd w:id="134"/>
      <w:r>
        <w:t xml:space="preserve">  </w:t>
      </w:r>
    </w:p>
    <w:p w:rsidR="00444F95" w:rsidRDefault="00936C48" w:rsidP="004808A7">
      <w:pPr>
        <w:numPr>
          <w:ilvl w:val="0"/>
          <w:numId w:val="22"/>
        </w:numPr>
      </w:pPr>
      <w:r>
        <w:t xml:space="preserve">The other party is given an opportunity to object to the request for confidentiality.  </w:t>
      </w:r>
    </w:p>
    <w:p w:rsidR="00936C48" w:rsidRDefault="00936C48" w:rsidP="00D03EBF">
      <w:pPr>
        <w:numPr>
          <w:ilvl w:val="0"/>
          <w:numId w:val="41"/>
        </w:numPr>
      </w:pPr>
      <w:r>
        <w:t xml:space="preserve">If there is no objection, the </w:t>
      </w:r>
      <w:proofErr w:type="spellStart"/>
      <w:r>
        <w:t>ACCC</w:t>
      </w:r>
      <w:proofErr w:type="spellEnd"/>
      <w:r>
        <w:t xml:space="preserve"> will usually decide that the information be dealt with according to the request.</w:t>
      </w:r>
    </w:p>
    <w:p w:rsidR="00936C48" w:rsidRDefault="00936C48" w:rsidP="00D03EBF">
      <w:pPr>
        <w:numPr>
          <w:ilvl w:val="0"/>
          <w:numId w:val="41"/>
        </w:numPr>
      </w:pPr>
      <w:r>
        <w:t xml:space="preserve">If there is an objection, the party should inform the </w:t>
      </w:r>
      <w:proofErr w:type="spellStart"/>
      <w:r>
        <w:t>ACCC</w:t>
      </w:r>
      <w:proofErr w:type="spellEnd"/>
      <w:r>
        <w:t xml:space="preserve"> in writing and provide a submission setting out reasons for the objection, along with </w:t>
      </w:r>
      <w:r w:rsidR="00B2696D">
        <w:t>any alternative methods of presenting confidential information</w:t>
      </w:r>
      <w:r w:rsidR="004B1355">
        <w:t>.</w:t>
      </w:r>
    </w:p>
    <w:p w:rsidR="00936C48" w:rsidRDefault="00936C48" w:rsidP="00936C48">
      <w:r>
        <w:t xml:space="preserve">The </w:t>
      </w:r>
      <w:proofErr w:type="spellStart"/>
      <w:r>
        <w:t>ACCC</w:t>
      </w:r>
      <w:proofErr w:type="spellEnd"/>
      <w:r>
        <w:t xml:space="preserve"> will also consider any further submissions made by any party in relation to the request.</w:t>
      </w:r>
    </w:p>
    <w:p w:rsidR="00936C48" w:rsidRDefault="00936C48" w:rsidP="00936C48">
      <w:r>
        <w:t>After considering:</w:t>
      </w:r>
    </w:p>
    <w:p w:rsidR="00936C48" w:rsidRDefault="00841925" w:rsidP="004808A7">
      <w:pPr>
        <w:numPr>
          <w:ilvl w:val="0"/>
          <w:numId w:val="22"/>
        </w:numPr>
      </w:pPr>
      <w:r>
        <w:t>t</w:t>
      </w:r>
      <w:r w:rsidR="00936C48">
        <w:t xml:space="preserve">he request </w:t>
      </w:r>
    </w:p>
    <w:p w:rsidR="00936C48" w:rsidRDefault="00841925" w:rsidP="004808A7">
      <w:pPr>
        <w:numPr>
          <w:ilvl w:val="0"/>
          <w:numId w:val="22"/>
        </w:numPr>
      </w:pPr>
      <w:r>
        <w:t>a</w:t>
      </w:r>
      <w:r w:rsidR="00936C48">
        <w:t>ny objection</w:t>
      </w:r>
    </w:p>
    <w:p w:rsidR="00444F95" w:rsidRDefault="00841925" w:rsidP="00444F95">
      <w:pPr>
        <w:numPr>
          <w:ilvl w:val="0"/>
          <w:numId w:val="22"/>
        </w:numPr>
      </w:pPr>
      <w:r>
        <w:t>a</w:t>
      </w:r>
      <w:r w:rsidR="00936C48">
        <w:t xml:space="preserve">ny further submissions that any party has made in relation to the request; </w:t>
      </w:r>
    </w:p>
    <w:p w:rsidR="00936C48" w:rsidRDefault="00936C48" w:rsidP="00936C48">
      <w:proofErr w:type="gramStart"/>
      <w:r>
        <w:t>the</w:t>
      </w:r>
      <w:proofErr w:type="gramEnd"/>
      <w:r>
        <w:t xml:space="preserve"> </w:t>
      </w:r>
      <w:proofErr w:type="spellStart"/>
      <w:r>
        <w:t>ACCC</w:t>
      </w:r>
      <w:proofErr w:type="spellEnd"/>
      <w:r>
        <w:t xml:space="preserve"> may decide not to give the other party a copy of so much of the document as contains confidential commercial information that the </w:t>
      </w:r>
      <w:proofErr w:type="spellStart"/>
      <w:r>
        <w:t>ACCC</w:t>
      </w:r>
      <w:proofErr w:type="spellEnd"/>
      <w:r>
        <w:t xml:space="preserve"> reasonably believes should not be given to the other party</w:t>
      </w:r>
      <w:r w:rsidR="00444F95">
        <w:t xml:space="preserve"> (r. 21(4)</w:t>
      </w:r>
      <w:r w:rsidR="00A20E70">
        <w:t>)</w:t>
      </w:r>
      <w:r w:rsidR="00444F95">
        <w:t>.</w:t>
      </w:r>
    </w:p>
    <w:p w:rsidR="007238EC" w:rsidRPr="007238EC" w:rsidRDefault="00CD0CC7" w:rsidP="00141047">
      <w:pPr>
        <w:pStyle w:val="Heading3"/>
        <w:numPr>
          <w:ilvl w:val="0"/>
          <w:numId w:val="0"/>
        </w:numPr>
        <w:ind w:left="720" w:hanging="720"/>
      </w:pPr>
      <w:bookmarkStart w:id="135" w:name="_Toc332363558"/>
      <w:r>
        <w:t>8</w:t>
      </w:r>
      <w:r w:rsidR="007238EC">
        <w:t>.3</w:t>
      </w:r>
      <w:r w:rsidR="007238EC">
        <w:tab/>
      </w:r>
      <w:r w:rsidR="007238EC" w:rsidRPr="007238EC">
        <w:t>Other matters relevant to claims of confidentiality</w:t>
      </w:r>
      <w:bookmarkEnd w:id="135"/>
    </w:p>
    <w:p w:rsidR="007238EC" w:rsidRDefault="007238EC" w:rsidP="007238EC">
      <w:r>
        <w:t xml:space="preserve">The </w:t>
      </w:r>
      <w:proofErr w:type="spellStart"/>
      <w:r w:rsidR="00FC6306">
        <w:t>ACCC</w:t>
      </w:r>
      <w:r>
        <w:t>’s</w:t>
      </w:r>
      <w:proofErr w:type="spellEnd"/>
      <w:r>
        <w:t xml:space="preserve"> starting point is generally that disclosing information to all parties will facilitate a more informed decision-making process. By not disclosing relevant information to all parties, the </w:t>
      </w:r>
      <w:proofErr w:type="spellStart"/>
      <w:r w:rsidR="00FC6306">
        <w:t>ACCC</w:t>
      </w:r>
      <w:proofErr w:type="spellEnd"/>
      <w:r>
        <w:t xml:space="preserve"> is less able to test the veracity of that information and therefore may be entitled to give less weight to that information.</w:t>
      </w:r>
    </w:p>
    <w:p w:rsidR="007238EC" w:rsidRDefault="007238EC" w:rsidP="007238EC">
      <w:r>
        <w:t xml:space="preserve">In cases where a party has demonstrated that information is, in fact, confidential commercial information, the </w:t>
      </w:r>
      <w:proofErr w:type="spellStart"/>
      <w:r w:rsidR="00FC6306">
        <w:t>ACCC</w:t>
      </w:r>
      <w:proofErr w:type="spellEnd"/>
      <w:r>
        <w:t xml:space="preserve"> will have regard to these three factors when assessing a request for confidentiality:</w:t>
      </w:r>
    </w:p>
    <w:p w:rsidR="007238EC" w:rsidRDefault="007238EC" w:rsidP="007238EC">
      <w:pPr>
        <w:numPr>
          <w:ilvl w:val="0"/>
          <w:numId w:val="45"/>
        </w:numPr>
      </w:pPr>
      <w:r>
        <w:t>the extent to which disclosure will be likely to harm the legitimate commercial interests of the information provider</w:t>
      </w:r>
    </w:p>
    <w:p w:rsidR="007238EC" w:rsidRDefault="007238EC" w:rsidP="007238EC">
      <w:pPr>
        <w:numPr>
          <w:ilvl w:val="0"/>
          <w:numId w:val="45"/>
        </w:numPr>
      </w:pPr>
      <w:r>
        <w:t>the extent to which non-disclosure will be likely to harm the party who does not have access to the information and therefore is not able to comment on matters affecting its interests</w:t>
      </w:r>
    </w:p>
    <w:p w:rsidR="007238EC" w:rsidRDefault="007238EC" w:rsidP="007238EC">
      <w:pPr>
        <w:numPr>
          <w:ilvl w:val="0"/>
          <w:numId w:val="45"/>
        </w:numPr>
      </w:pPr>
      <w:proofErr w:type="gramStart"/>
      <w:r>
        <w:t>the</w:t>
      </w:r>
      <w:proofErr w:type="gramEnd"/>
      <w:r>
        <w:t xml:space="preserve"> extent to which non-disclosure will be likely to hinder the ability of the </w:t>
      </w:r>
      <w:proofErr w:type="spellStart"/>
      <w:r w:rsidR="00FC6306">
        <w:t>ACCC</w:t>
      </w:r>
      <w:proofErr w:type="spellEnd"/>
      <w:r>
        <w:t xml:space="preserve"> to perform its functions (i.e. in this context, to assess the veracity of the information).</w:t>
      </w:r>
    </w:p>
    <w:p w:rsidR="002C61CB" w:rsidRPr="00885ABD" w:rsidRDefault="00D1452D" w:rsidP="00286DAE">
      <w:pPr>
        <w:pBdr>
          <w:top w:val="single" w:sz="4" w:space="1" w:color="auto"/>
          <w:left w:val="single" w:sz="4" w:space="0" w:color="auto"/>
          <w:bottom w:val="single" w:sz="4" w:space="1" w:color="auto"/>
          <w:right w:val="single" w:sz="4" w:space="1" w:color="auto"/>
        </w:pBdr>
        <w:shd w:val="clear" w:color="auto" w:fill="C0C0C0"/>
        <w:spacing w:before="120" w:after="120"/>
        <w:rPr>
          <w:b/>
        </w:rPr>
      </w:pPr>
      <w:r w:rsidRPr="00885ABD">
        <w:rPr>
          <w:b/>
        </w:rPr>
        <w:t>Chapter</w:t>
      </w:r>
      <w:r w:rsidR="002C61CB" w:rsidRPr="00885ABD">
        <w:rPr>
          <w:b/>
        </w:rPr>
        <w:t xml:space="preserve"> </w:t>
      </w:r>
      <w:r w:rsidR="00CD0CC7" w:rsidRPr="00885ABD">
        <w:rPr>
          <w:b/>
        </w:rPr>
        <w:t>8</w:t>
      </w:r>
      <w:r w:rsidR="002C61CB" w:rsidRPr="00885ABD">
        <w:rPr>
          <w:b/>
        </w:rPr>
        <w:t xml:space="preserve"> questions</w:t>
      </w:r>
    </w:p>
    <w:p w:rsidR="00066287" w:rsidRDefault="00CF2B44">
      <w:pPr>
        <w:pBdr>
          <w:top w:val="single" w:sz="4" w:space="1" w:color="auto"/>
          <w:left w:val="single" w:sz="4" w:space="0" w:color="auto"/>
          <w:bottom w:val="single" w:sz="4" w:space="1" w:color="auto"/>
          <w:right w:val="single" w:sz="4" w:space="1" w:color="auto"/>
        </w:pBdr>
        <w:shd w:val="clear" w:color="auto" w:fill="C0C0C0"/>
        <w:spacing w:before="120" w:after="120"/>
        <w:ind w:left="720" w:hanging="720"/>
      </w:pPr>
      <w:r>
        <w:t xml:space="preserve">Q </w:t>
      </w:r>
      <w:r w:rsidR="00F86AA1">
        <w:t>8.1</w:t>
      </w:r>
      <w:r w:rsidR="00F86AA1">
        <w:tab/>
        <w:t>Do you have</w:t>
      </w:r>
      <w:r w:rsidR="00F86AA1" w:rsidRPr="00885ABD" w:rsidDel="00F86AA1">
        <w:t xml:space="preserve"> </w:t>
      </w:r>
      <w:r w:rsidR="00F86AA1">
        <w:t xml:space="preserve">any </w:t>
      </w:r>
      <w:r w:rsidR="002C61CB" w:rsidRPr="00885ABD">
        <w:t>comments on the proposed approach to man</w:t>
      </w:r>
      <w:r w:rsidR="00286DAE" w:rsidRPr="00885ABD">
        <w:t>a</w:t>
      </w:r>
      <w:r w:rsidR="002C61CB" w:rsidRPr="00885ABD">
        <w:t>ging confident</w:t>
      </w:r>
      <w:r w:rsidR="00286DAE" w:rsidRPr="00885ABD">
        <w:t xml:space="preserve">iality in </w:t>
      </w:r>
      <w:r w:rsidR="002C61CB" w:rsidRPr="00885ABD">
        <w:t xml:space="preserve">a </w:t>
      </w:r>
      <w:r w:rsidR="009E748C">
        <w:t>bulk interconnection service</w:t>
      </w:r>
      <w:r w:rsidR="002C61CB" w:rsidRPr="00885ABD">
        <w:t xml:space="preserve"> inquiry discussed in this </w:t>
      </w:r>
      <w:r w:rsidR="00D1452D" w:rsidRPr="00885ABD">
        <w:t>chapter</w:t>
      </w:r>
      <w:r w:rsidR="00F86AA1">
        <w:t>?</w:t>
      </w:r>
    </w:p>
    <w:p w:rsidR="002C61CB" w:rsidRPr="00885ABD" w:rsidRDefault="00CF2B44" w:rsidP="00286DAE">
      <w:pPr>
        <w:pBdr>
          <w:top w:val="single" w:sz="4" w:space="1" w:color="auto"/>
          <w:left w:val="single" w:sz="4" w:space="0" w:color="auto"/>
          <w:bottom w:val="single" w:sz="4" w:space="1" w:color="auto"/>
          <w:right w:val="single" w:sz="4" w:space="1" w:color="auto"/>
        </w:pBdr>
        <w:shd w:val="clear" w:color="auto" w:fill="C0C0C0"/>
        <w:spacing w:before="120" w:after="120"/>
      </w:pPr>
      <w:r>
        <w:t xml:space="preserve">Q </w:t>
      </w:r>
      <w:r w:rsidR="00F86AA1">
        <w:t>8.2</w:t>
      </w:r>
      <w:r w:rsidR="00F86AA1">
        <w:tab/>
        <w:t>Do you have</w:t>
      </w:r>
      <w:r w:rsidR="00F86AA1" w:rsidRPr="00885ABD" w:rsidDel="00F86AA1">
        <w:t xml:space="preserve"> </w:t>
      </w:r>
      <w:r w:rsidR="00286DAE" w:rsidRPr="00885ABD">
        <w:t xml:space="preserve">any other comments on matters discussed in this </w:t>
      </w:r>
      <w:r w:rsidR="00D1452D" w:rsidRPr="00885ABD">
        <w:t>chapter</w:t>
      </w:r>
      <w:r w:rsidR="00F86AA1">
        <w:t>?</w:t>
      </w:r>
    </w:p>
    <w:p w:rsidR="00286DAE" w:rsidRDefault="00286DAE" w:rsidP="00936C48"/>
    <w:p w:rsidR="00B26CCA" w:rsidRPr="00856DFF" w:rsidRDefault="00B26CCA" w:rsidP="00856DFF">
      <w:pPr>
        <w:pStyle w:val="Heading2"/>
        <w:numPr>
          <w:ilvl w:val="0"/>
          <w:numId w:val="0"/>
        </w:numPr>
      </w:pPr>
      <w:bookmarkStart w:id="136" w:name="_Toc310601400"/>
      <w:bookmarkStart w:id="137" w:name="_Toc310601493"/>
      <w:bookmarkStart w:id="138" w:name="_Toc310601694"/>
      <w:bookmarkStart w:id="139" w:name="_Toc310601745"/>
      <w:bookmarkStart w:id="140" w:name="_Toc310603013"/>
      <w:bookmarkStart w:id="141" w:name="_Toc310603064"/>
      <w:bookmarkStart w:id="142" w:name="_Toc310603199"/>
      <w:bookmarkStart w:id="143" w:name="_Toc310604715"/>
      <w:bookmarkStart w:id="144" w:name="_Toc332363559"/>
      <w:bookmarkEnd w:id="136"/>
      <w:bookmarkEnd w:id="137"/>
      <w:bookmarkEnd w:id="138"/>
      <w:bookmarkEnd w:id="139"/>
      <w:bookmarkEnd w:id="140"/>
      <w:bookmarkEnd w:id="141"/>
      <w:bookmarkEnd w:id="142"/>
      <w:bookmarkEnd w:id="143"/>
      <w:r w:rsidRPr="00856DFF">
        <w:t>Appendix A:  Questions for submissions</w:t>
      </w:r>
      <w:bookmarkEnd w:id="144"/>
    </w:p>
    <w:p w:rsidR="00B26CCA" w:rsidRPr="00CD7A10" w:rsidRDefault="00D1452D" w:rsidP="00CD7A10">
      <w:pPr>
        <w:rPr>
          <w:b/>
        </w:rPr>
      </w:pPr>
      <w:r>
        <w:rPr>
          <w:b/>
        </w:rPr>
        <w:t>Chapter</w:t>
      </w:r>
      <w:r w:rsidR="00B26CCA" w:rsidRPr="00CD7A10">
        <w:rPr>
          <w:b/>
        </w:rPr>
        <w:t xml:space="preserve"> 3 questions</w:t>
      </w:r>
    </w:p>
    <w:p w:rsidR="00066287" w:rsidRDefault="00597369">
      <w:pPr>
        <w:ind w:left="720" w:hanging="720"/>
      </w:pPr>
      <w:r>
        <w:t>Q</w:t>
      </w:r>
      <w:r w:rsidR="00CF2B44">
        <w:t xml:space="preserve"> </w:t>
      </w:r>
      <w:r w:rsidR="002C7C68">
        <w:t>3.1</w:t>
      </w:r>
      <w:r w:rsidR="002C7C68">
        <w:tab/>
      </w:r>
      <w:r w:rsidR="0085589E">
        <w:t>Do you have</w:t>
      </w:r>
      <w:r w:rsidR="0085589E" w:rsidRPr="00CD7A10">
        <w:t xml:space="preserve"> </w:t>
      </w:r>
      <w:r w:rsidR="0085589E">
        <w:t xml:space="preserve">any </w:t>
      </w:r>
      <w:r w:rsidR="00B26CCA" w:rsidRPr="00CD7A10">
        <w:t>comments on the proposed use of a pre-notification process in a bulk interconnection service dispute</w:t>
      </w:r>
      <w:r w:rsidR="0085589E">
        <w:t>?</w:t>
      </w:r>
      <w:r w:rsidR="00B26CCA" w:rsidRPr="00CD7A10">
        <w:t xml:space="preserve"> </w:t>
      </w:r>
    </w:p>
    <w:p w:rsidR="00066287" w:rsidRDefault="00597369">
      <w:pPr>
        <w:ind w:left="720" w:hanging="720"/>
      </w:pPr>
      <w:r>
        <w:t>Q</w:t>
      </w:r>
      <w:r w:rsidR="00CF2B44">
        <w:t xml:space="preserve"> </w:t>
      </w:r>
      <w:r w:rsidR="0085589E">
        <w:t>3.2</w:t>
      </w:r>
      <w:r w:rsidR="0085589E">
        <w:tab/>
        <w:t>Do you have</w:t>
      </w:r>
      <w:r w:rsidR="0085589E" w:rsidRPr="00CD7A10" w:rsidDel="0085589E">
        <w:t xml:space="preserve"> </w:t>
      </w:r>
      <w:r w:rsidR="00B26CCA" w:rsidRPr="00CD7A10">
        <w:t xml:space="preserve">any other comments on how the </w:t>
      </w:r>
      <w:proofErr w:type="spellStart"/>
      <w:r w:rsidR="00B26CCA" w:rsidRPr="00CD7A10">
        <w:t>ACCC</w:t>
      </w:r>
      <w:proofErr w:type="spellEnd"/>
      <w:r w:rsidR="00B26CCA" w:rsidRPr="00CD7A10">
        <w:t xml:space="preserve"> would commence a bulk interconnection service inquiry that are discussed in this </w:t>
      </w:r>
      <w:r w:rsidR="00D1452D">
        <w:t>chapter</w:t>
      </w:r>
      <w:r w:rsidR="0085589E">
        <w:t>?</w:t>
      </w:r>
    </w:p>
    <w:p w:rsidR="00CD7A10" w:rsidRPr="00CD7A10" w:rsidRDefault="00D1452D" w:rsidP="00CD7A10">
      <w:pPr>
        <w:rPr>
          <w:b/>
        </w:rPr>
      </w:pPr>
      <w:r>
        <w:rPr>
          <w:b/>
        </w:rPr>
        <w:t>Chapter</w:t>
      </w:r>
      <w:r w:rsidR="00B26CCA" w:rsidRPr="00CD7A10">
        <w:rPr>
          <w:b/>
        </w:rPr>
        <w:t xml:space="preserve"> 4 questions</w:t>
      </w:r>
    </w:p>
    <w:p w:rsidR="00066287" w:rsidRDefault="00597369">
      <w:pPr>
        <w:ind w:left="720" w:hanging="720"/>
      </w:pPr>
      <w:r>
        <w:t>Q</w:t>
      </w:r>
      <w:r w:rsidR="00CF2B44">
        <w:t xml:space="preserve"> </w:t>
      </w:r>
      <w:r w:rsidR="0085589E">
        <w:t>4.1</w:t>
      </w:r>
      <w:r w:rsidR="0085589E">
        <w:tab/>
        <w:t>Do you have</w:t>
      </w:r>
      <w:r w:rsidR="0085589E" w:rsidRPr="00CD7A10" w:rsidDel="0085589E">
        <w:t xml:space="preserve"> </w:t>
      </w:r>
      <w:r w:rsidR="0085589E">
        <w:t xml:space="preserve">any </w:t>
      </w:r>
      <w:r w:rsidR="00B26CCA" w:rsidRPr="00CD7A10">
        <w:t xml:space="preserve">comments on the proposed use of </w:t>
      </w:r>
      <w:r w:rsidR="003D7267">
        <w:t xml:space="preserve">a </w:t>
      </w:r>
      <w:r w:rsidR="00B26CCA" w:rsidRPr="00CD7A10">
        <w:t>case management meeting to assist the dispute resolution process</w:t>
      </w:r>
      <w:r w:rsidR="0085589E">
        <w:t>?</w:t>
      </w:r>
    </w:p>
    <w:p w:rsidR="00066287" w:rsidRDefault="00597369">
      <w:pPr>
        <w:ind w:left="720" w:hanging="720"/>
      </w:pPr>
      <w:r>
        <w:t>Q</w:t>
      </w:r>
      <w:r w:rsidR="00CF2B44">
        <w:t xml:space="preserve"> </w:t>
      </w:r>
      <w:r w:rsidR="0085589E">
        <w:t>4.2</w:t>
      </w:r>
      <w:r w:rsidR="0085589E">
        <w:tab/>
        <w:t>Do you have</w:t>
      </w:r>
      <w:r w:rsidR="0085589E" w:rsidRPr="00CD7A10">
        <w:t xml:space="preserve"> </w:t>
      </w:r>
      <w:r w:rsidR="0085589E">
        <w:t xml:space="preserve">any </w:t>
      </w:r>
      <w:r w:rsidR="00F03F69" w:rsidRPr="00CD7A10">
        <w:t xml:space="preserve">comments on the possible use by the </w:t>
      </w:r>
      <w:proofErr w:type="spellStart"/>
      <w:r w:rsidR="00F03F69" w:rsidRPr="00CD7A10">
        <w:t>ACCC</w:t>
      </w:r>
      <w:proofErr w:type="spellEnd"/>
      <w:r w:rsidR="00F03F69" w:rsidRPr="00CD7A10">
        <w:t xml:space="preserve"> of a</w:t>
      </w:r>
      <w:r w:rsidR="008A3E22">
        <w:t xml:space="preserve"> ‘top down’</w:t>
      </w:r>
      <w:r w:rsidR="00F03F69" w:rsidRPr="00CD7A10">
        <w:t xml:space="preserve"> avoidable cost methodology in </w:t>
      </w:r>
      <w:r w:rsidR="008A3E22">
        <w:t xml:space="preserve">determining an access price in </w:t>
      </w:r>
      <w:r w:rsidR="00F03F69" w:rsidRPr="00CD7A10">
        <w:t xml:space="preserve">a </w:t>
      </w:r>
      <w:r w:rsidR="009E748C">
        <w:t>bulk interconnection service</w:t>
      </w:r>
      <w:r w:rsidR="00F03F69" w:rsidRPr="00CD7A10">
        <w:t xml:space="preserve"> inquiry</w:t>
      </w:r>
      <w:r w:rsidR="0085589E">
        <w:t>?</w:t>
      </w:r>
    </w:p>
    <w:p w:rsidR="0085589E" w:rsidRDefault="00597369" w:rsidP="0085589E">
      <w:pPr>
        <w:ind w:left="720" w:hanging="720"/>
      </w:pPr>
      <w:r>
        <w:t>Q</w:t>
      </w:r>
      <w:r w:rsidR="00CF2B44">
        <w:t xml:space="preserve"> </w:t>
      </w:r>
      <w:r w:rsidR="0085589E">
        <w:t>4.3</w:t>
      </w:r>
      <w:r w:rsidR="0085589E">
        <w:tab/>
        <w:t>Do you have</w:t>
      </w:r>
      <w:r w:rsidR="0085589E" w:rsidRPr="00CD7A10">
        <w:t xml:space="preserve"> </w:t>
      </w:r>
      <w:r w:rsidR="0085589E">
        <w:t xml:space="preserve">any </w:t>
      </w:r>
      <w:r w:rsidR="0085589E" w:rsidRPr="00CD7A10">
        <w:t xml:space="preserve">comments on the possible use by the </w:t>
      </w:r>
      <w:proofErr w:type="spellStart"/>
      <w:r w:rsidR="0085589E" w:rsidRPr="00CD7A10">
        <w:t>ACCC</w:t>
      </w:r>
      <w:proofErr w:type="spellEnd"/>
      <w:r w:rsidR="0085589E" w:rsidRPr="00CD7A10">
        <w:t xml:space="preserve"> of </w:t>
      </w:r>
      <w:r w:rsidR="008A3E22">
        <w:t xml:space="preserve">a ‘bottom up’ </w:t>
      </w:r>
      <w:r w:rsidR="0085589E">
        <w:t>building block</w:t>
      </w:r>
      <w:r w:rsidR="0085589E" w:rsidRPr="00CD7A10">
        <w:t xml:space="preserve"> </w:t>
      </w:r>
      <w:r>
        <w:t>methodology</w:t>
      </w:r>
      <w:r w:rsidR="008A3E22">
        <w:t xml:space="preserve"> </w:t>
      </w:r>
      <w:r w:rsidR="0085589E" w:rsidRPr="00CD7A10">
        <w:t xml:space="preserve">in </w:t>
      </w:r>
      <w:r w:rsidR="008A3E22">
        <w:t xml:space="preserve">determining an access price </w:t>
      </w:r>
      <w:r w:rsidR="00491EDE">
        <w:t xml:space="preserve">in </w:t>
      </w:r>
      <w:r w:rsidR="0085589E" w:rsidRPr="00CD7A10">
        <w:t xml:space="preserve">a </w:t>
      </w:r>
      <w:r w:rsidR="009E748C">
        <w:t>bulk interconnection service</w:t>
      </w:r>
      <w:r w:rsidR="0085589E" w:rsidRPr="00CD7A10">
        <w:t xml:space="preserve"> inquiry</w:t>
      </w:r>
      <w:r w:rsidR="0085589E">
        <w:t>?</w:t>
      </w:r>
    </w:p>
    <w:p w:rsidR="000E6BC4" w:rsidRDefault="00AE462C">
      <w:pPr>
        <w:spacing w:after="0"/>
        <w:ind w:left="720" w:hanging="720"/>
      </w:pPr>
      <w:r>
        <w:t>Q 4.</w:t>
      </w:r>
      <w:r w:rsidR="00630DB3">
        <w:t>4</w:t>
      </w:r>
      <w:r>
        <w:tab/>
        <w:t xml:space="preserve">Do you have any comments on the process for involvement of interested parties </w:t>
      </w:r>
      <w:proofErr w:type="gramStart"/>
      <w:r>
        <w:t>in</w:t>
      </w:r>
      <w:proofErr w:type="gramEnd"/>
    </w:p>
    <w:p w:rsidR="000E6BC4" w:rsidRDefault="00AE462C" w:rsidP="00630DB3">
      <w:pPr>
        <w:spacing w:after="0"/>
        <w:ind w:left="720"/>
      </w:pPr>
      <w:proofErr w:type="gramStart"/>
      <w:r>
        <w:t>a</w:t>
      </w:r>
      <w:proofErr w:type="gramEnd"/>
      <w:r>
        <w:t xml:space="preserve"> bulk interconnection service dispute, including when and how this involvement could take place?</w:t>
      </w:r>
    </w:p>
    <w:p w:rsidR="00630DB3" w:rsidRDefault="00630DB3" w:rsidP="00630DB3">
      <w:pPr>
        <w:spacing w:after="0"/>
        <w:ind w:left="720"/>
      </w:pPr>
    </w:p>
    <w:p w:rsidR="00630DB3" w:rsidRDefault="00630DB3" w:rsidP="00630DB3">
      <w:pPr>
        <w:spacing w:after="0"/>
        <w:ind w:left="720" w:hanging="720"/>
      </w:pPr>
      <w:r>
        <w:t>Q 4.5</w:t>
      </w:r>
      <w:r>
        <w:tab/>
        <w:t>Do you have</w:t>
      </w:r>
      <w:r w:rsidRPr="00CD7A10" w:rsidDel="0085589E">
        <w:t xml:space="preserve"> </w:t>
      </w:r>
      <w:r w:rsidRPr="00CD7A10">
        <w:t xml:space="preserve">any other comments on matters discussed in this </w:t>
      </w:r>
      <w:r>
        <w:t>chapter?</w:t>
      </w:r>
    </w:p>
    <w:p w:rsidR="00630DB3" w:rsidRDefault="00630DB3">
      <w:pPr>
        <w:spacing w:after="0"/>
        <w:ind w:left="720"/>
      </w:pPr>
    </w:p>
    <w:p w:rsidR="00CD0CC7" w:rsidRPr="00CD7A10" w:rsidRDefault="00D1452D" w:rsidP="00CD0CC7">
      <w:pPr>
        <w:rPr>
          <w:b/>
        </w:rPr>
      </w:pPr>
      <w:r>
        <w:rPr>
          <w:b/>
        </w:rPr>
        <w:t>Chapter</w:t>
      </w:r>
      <w:r w:rsidR="00CD0CC7" w:rsidRPr="00CD7A10">
        <w:rPr>
          <w:b/>
        </w:rPr>
        <w:t xml:space="preserve"> </w:t>
      </w:r>
      <w:r w:rsidR="00CD0CC7">
        <w:rPr>
          <w:b/>
        </w:rPr>
        <w:t>6</w:t>
      </w:r>
      <w:r w:rsidR="00CD0CC7" w:rsidRPr="00CD7A10">
        <w:rPr>
          <w:b/>
        </w:rPr>
        <w:t xml:space="preserve"> questions</w:t>
      </w:r>
    </w:p>
    <w:p w:rsidR="00066287" w:rsidRDefault="00597369">
      <w:pPr>
        <w:ind w:left="720" w:hanging="720"/>
      </w:pPr>
      <w:r>
        <w:t>Q</w:t>
      </w:r>
      <w:r w:rsidR="00CF2B44">
        <w:t xml:space="preserve"> </w:t>
      </w:r>
      <w:r w:rsidR="0085589E">
        <w:t xml:space="preserve">6.1 </w:t>
      </w:r>
      <w:r w:rsidR="0085589E">
        <w:tab/>
        <w:t>Do you have</w:t>
      </w:r>
      <w:r w:rsidR="0085589E" w:rsidRPr="00CD7A10" w:rsidDel="0085589E">
        <w:t xml:space="preserve"> </w:t>
      </w:r>
      <w:r w:rsidR="00CD0CC7" w:rsidRPr="00CD7A10">
        <w:t xml:space="preserve">any comments on </w:t>
      </w:r>
      <w:r w:rsidR="003D7267">
        <w:t xml:space="preserve">the </w:t>
      </w:r>
      <w:r w:rsidR="00CD0CC7" w:rsidRPr="00CD7A10">
        <w:t xml:space="preserve">circumstances in which a </w:t>
      </w:r>
      <w:r w:rsidR="009E748C">
        <w:t>bulk interconnection service</w:t>
      </w:r>
      <w:r w:rsidR="00CD0CC7" w:rsidRPr="00CD7A10">
        <w:t xml:space="preserve"> inquiry may be terminated</w:t>
      </w:r>
      <w:r w:rsidR="0085589E">
        <w:t>?</w:t>
      </w:r>
    </w:p>
    <w:p w:rsidR="00CD0CC7" w:rsidRPr="00CD7A10" w:rsidRDefault="00597369" w:rsidP="00CD0CC7">
      <w:r>
        <w:t>Q</w:t>
      </w:r>
      <w:r w:rsidR="00CF2B44">
        <w:t xml:space="preserve"> </w:t>
      </w:r>
      <w:r w:rsidR="0085589E">
        <w:t>6.2</w:t>
      </w:r>
      <w:r w:rsidR="0085589E">
        <w:tab/>
        <w:t>Do you have</w:t>
      </w:r>
      <w:r w:rsidR="0085589E" w:rsidRPr="00CD7A10" w:rsidDel="0085589E">
        <w:t xml:space="preserve"> </w:t>
      </w:r>
      <w:r w:rsidR="00CD0CC7" w:rsidRPr="00CD7A10">
        <w:t xml:space="preserve">any other comments on matters discussed in this </w:t>
      </w:r>
      <w:r w:rsidR="00D1452D">
        <w:t>chapter</w:t>
      </w:r>
      <w:r w:rsidR="0085589E">
        <w:t>?</w:t>
      </w:r>
    </w:p>
    <w:p w:rsidR="00B26CCA" w:rsidRPr="00CD7A10" w:rsidRDefault="00D1452D" w:rsidP="00CD7A10">
      <w:pPr>
        <w:rPr>
          <w:b/>
        </w:rPr>
      </w:pPr>
      <w:r>
        <w:rPr>
          <w:b/>
        </w:rPr>
        <w:t>Chapter</w:t>
      </w:r>
      <w:r w:rsidR="00B26CCA" w:rsidRPr="00CD7A10">
        <w:rPr>
          <w:b/>
        </w:rPr>
        <w:t xml:space="preserve"> </w:t>
      </w:r>
      <w:r w:rsidR="00CD0CC7">
        <w:rPr>
          <w:b/>
        </w:rPr>
        <w:t>7</w:t>
      </w:r>
      <w:r w:rsidR="00B26CCA" w:rsidRPr="00CD7A10">
        <w:rPr>
          <w:b/>
        </w:rPr>
        <w:t xml:space="preserve"> questions</w:t>
      </w:r>
    </w:p>
    <w:p w:rsidR="00066287" w:rsidRDefault="00597369">
      <w:pPr>
        <w:ind w:left="720" w:hanging="720"/>
      </w:pPr>
      <w:r>
        <w:t>Q</w:t>
      </w:r>
      <w:r w:rsidR="00CF2B44">
        <w:t xml:space="preserve"> </w:t>
      </w:r>
      <w:r w:rsidR="0085589E">
        <w:t>7.1</w:t>
      </w:r>
      <w:r w:rsidR="0085589E">
        <w:tab/>
        <w:t>Do you have</w:t>
      </w:r>
      <w:r w:rsidR="0085589E" w:rsidRPr="00CD7A10" w:rsidDel="0085589E">
        <w:t xml:space="preserve"> </w:t>
      </w:r>
      <w:r w:rsidR="0085589E">
        <w:t xml:space="preserve">any </w:t>
      </w:r>
      <w:r w:rsidR="00B26CCA" w:rsidRPr="00CD7A10">
        <w:t xml:space="preserve">comments on the administrative procedures associated with undertaking a </w:t>
      </w:r>
      <w:r w:rsidR="009E748C">
        <w:t>bulk interconnection service</w:t>
      </w:r>
      <w:r w:rsidR="00B26CCA" w:rsidRPr="00CD7A10">
        <w:t xml:space="preserve"> inquiry discussed in this </w:t>
      </w:r>
      <w:r w:rsidR="00D1452D">
        <w:t>chapter</w:t>
      </w:r>
      <w:r w:rsidR="0085589E">
        <w:t>?</w:t>
      </w:r>
    </w:p>
    <w:p w:rsidR="00B26CCA" w:rsidRPr="00CD7A10" w:rsidRDefault="00CF2B44" w:rsidP="00CD7A10">
      <w:r>
        <w:t>Q</w:t>
      </w:r>
      <w:r w:rsidR="0085589E">
        <w:t>7.2</w:t>
      </w:r>
      <w:r w:rsidR="0085589E">
        <w:tab/>
        <w:t>Do you have</w:t>
      </w:r>
      <w:r w:rsidR="0085589E" w:rsidRPr="00CD7A10" w:rsidDel="0085589E">
        <w:t xml:space="preserve"> </w:t>
      </w:r>
      <w:r w:rsidR="00B26CCA" w:rsidRPr="00CD7A10">
        <w:t xml:space="preserve">any other comments on matters discussed in this </w:t>
      </w:r>
      <w:r w:rsidR="00D1452D">
        <w:t>chapter</w:t>
      </w:r>
      <w:r w:rsidR="0085589E">
        <w:t>?</w:t>
      </w:r>
    </w:p>
    <w:p w:rsidR="00B26CCA" w:rsidRPr="00CD7A10" w:rsidRDefault="00630DB3" w:rsidP="00CD7A10">
      <w:pPr>
        <w:rPr>
          <w:b/>
        </w:rPr>
      </w:pPr>
      <w:r>
        <w:rPr>
          <w:b/>
        </w:rPr>
        <w:br w:type="page"/>
      </w:r>
      <w:r w:rsidR="00D1452D">
        <w:rPr>
          <w:b/>
        </w:rPr>
        <w:t>Chapter</w:t>
      </w:r>
      <w:r w:rsidR="00B26CCA" w:rsidRPr="00CD7A10">
        <w:rPr>
          <w:b/>
        </w:rPr>
        <w:t xml:space="preserve"> </w:t>
      </w:r>
      <w:r w:rsidR="00CD0CC7">
        <w:rPr>
          <w:b/>
        </w:rPr>
        <w:t>8</w:t>
      </w:r>
      <w:r w:rsidR="00B26CCA" w:rsidRPr="00CD7A10">
        <w:rPr>
          <w:b/>
        </w:rPr>
        <w:t xml:space="preserve"> questions</w:t>
      </w:r>
    </w:p>
    <w:p w:rsidR="00066287" w:rsidRDefault="00CF2B44">
      <w:pPr>
        <w:ind w:left="720" w:hanging="720"/>
      </w:pPr>
      <w:r>
        <w:t xml:space="preserve">Q </w:t>
      </w:r>
      <w:r w:rsidR="0085589E">
        <w:t>8.1</w:t>
      </w:r>
      <w:r w:rsidR="0085589E">
        <w:tab/>
        <w:t>Do you have</w:t>
      </w:r>
      <w:r w:rsidR="0085589E" w:rsidRPr="00CD7A10" w:rsidDel="0085589E">
        <w:t xml:space="preserve"> </w:t>
      </w:r>
      <w:r w:rsidR="0085589E">
        <w:t xml:space="preserve">any </w:t>
      </w:r>
      <w:r w:rsidR="00B26CCA" w:rsidRPr="00CD7A10">
        <w:t xml:space="preserve">comments on the proposed approach to managing confidentiality in a </w:t>
      </w:r>
      <w:r w:rsidR="009E748C">
        <w:t>bulk interconnection service</w:t>
      </w:r>
      <w:r w:rsidR="00B26CCA" w:rsidRPr="00CD7A10">
        <w:t xml:space="preserve"> inquiry discussed in this </w:t>
      </w:r>
      <w:r w:rsidR="00D1452D">
        <w:t>chapter</w:t>
      </w:r>
      <w:r w:rsidR="0085589E">
        <w:t>?</w:t>
      </w:r>
      <w:r w:rsidR="00B26CCA" w:rsidRPr="00CD7A10">
        <w:t xml:space="preserve"> </w:t>
      </w:r>
    </w:p>
    <w:p w:rsidR="00B26CCA" w:rsidRPr="00CD7A10" w:rsidRDefault="00CF2B44" w:rsidP="00CD7A10">
      <w:r>
        <w:t xml:space="preserve">Q </w:t>
      </w:r>
      <w:r w:rsidR="0085589E">
        <w:t>8.2</w:t>
      </w:r>
      <w:r w:rsidR="0085589E">
        <w:tab/>
        <w:t>Do you have</w:t>
      </w:r>
      <w:r w:rsidR="0085589E" w:rsidRPr="00CD7A10">
        <w:t xml:space="preserve"> </w:t>
      </w:r>
      <w:r w:rsidR="00B26CCA" w:rsidRPr="00CD7A10">
        <w:t xml:space="preserve">any other comments on matters discussed in this </w:t>
      </w:r>
      <w:r w:rsidR="00D1452D">
        <w:t>chapter</w:t>
      </w:r>
      <w:r w:rsidR="0085589E">
        <w:t>?</w:t>
      </w:r>
    </w:p>
    <w:p w:rsidR="005C6578" w:rsidRPr="00F84BA7" w:rsidRDefault="00856DFF" w:rsidP="00856DFF">
      <w:pPr>
        <w:pStyle w:val="Heading2"/>
        <w:numPr>
          <w:ilvl w:val="0"/>
          <w:numId w:val="0"/>
        </w:numPr>
      </w:pPr>
      <w:r>
        <w:br w:type="page"/>
      </w:r>
      <w:bookmarkStart w:id="145" w:name="_Toc332363560"/>
      <w:r w:rsidR="005C6578" w:rsidRPr="00F84BA7">
        <w:t xml:space="preserve">Appendix </w:t>
      </w:r>
      <w:r w:rsidR="006E3E70">
        <w:t>B</w:t>
      </w:r>
      <w:r w:rsidR="001F4E43">
        <w:t xml:space="preserve">: </w:t>
      </w:r>
      <w:r w:rsidR="005C6578" w:rsidRPr="00F84BA7">
        <w:t xml:space="preserve"> Notification of </w:t>
      </w:r>
      <w:r w:rsidR="009E748C">
        <w:t>bulk interconnection service</w:t>
      </w:r>
      <w:r w:rsidR="001F4E43">
        <w:t xml:space="preserve"> </w:t>
      </w:r>
      <w:r w:rsidR="005C6578" w:rsidRPr="00F84BA7">
        <w:t>dispute</w:t>
      </w:r>
      <w:r w:rsidR="001F4E43">
        <w:t xml:space="preserve"> </w:t>
      </w:r>
      <w:r w:rsidR="005C6578" w:rsidRPr="00F84BA7">
        <w:t>(template)</w:t>
      </w:r>
      <w:bookmarkEnd w:id="145"/>
    </w:p>
    <w:p w:rsidR="005C6578" w:rsidRDefault="005C6578" w:rsidP="00F84BA7">
      <w:pPr>
        <w:pStyle w:val="Heading3"/>
        <w:numPr>
          <w:ilvl w:val="0"/>
          <w:numId w:val="0"/>
        </w:numPr>
      </w:pPr>
      <w:bookmarkStart w:id="146" w:name="_Toc332363561"/>
      <w:r>
        <w:t xml:space="preserve">A.1 </w:t>
      </w:r>
      <w:r w:rsidR="001F4E43">
        <w:tab/>
      </w:r>
      <w:r>
        <w:t>Covering letter</w:t>
      </w:r>
      <w:bookmarkEnd w:id="146"/>
    </w:p>
    <w:p w:rsidR="00F84BA7" w:rsidRDefault="00F84BA7" w:rsidP="005C6578"/>
    <w:p w:rsidR="005C6578" w:rsidRDefault="005C6578" w:rsidP="005C6578">
      <w:r>
        <w:t>&lt;Date&gt;</w:t>
      </w:r>
    </w:p>
    <w:p w:rsidR="005C6578" w:rsidRDefault="005C6578" w:rsidP="005C6578">
      <w:r>
        <w:t>General Manager</w:t>
      </w:r>
    </w:p>
    <w:p w:rsidR="005C6578" w:rsidRDefault="000C26AD" w:rsidP="005C6578">
      <w:r>
        <w:t xml:space="preserve">Fuel, </w:t>
      </w:r>
      <w:r w:rsidR="005C6578">
        <w:t>Transport and Prices Oversight Branch</w:t>
      </w:r>
    </w:p>
    <w:p w:rsidR="005C6578" w:rsidRDefault="005C6578" w:rsidP="005C6578">
      <w:r>
        <w:t>Australian Competition and Consumer Commission</w:t>
      </w:r>
    </w:p>
    <w:p w:rsidR="005C6578" w:rsidRDefault="005C6578" w:rsidP="005C6578">
      <w:r>
        <w:t xml:space="preserve">GPO </w:t>
      </w:r>
      <w:smartTag w:uri="urn:schemas-microsoft-com:office:smarttags" w:element="address">
        <w:smartTag w:uri="urn:schemas-microsoft-com:office:smarttags" w:element="Street">
          <w:r>
            <w:t>Box</w:t>
          </w:r>
        </w:smartTag>
        <w:r>
          <w:t xml:space="preserve"> 520</w:t>
        </w:r>
      </w:smartTag>
    </w:p>
    <w:p w:rsidR="005C6578" w:rsidRDefault="005C6578" w:rsidP="005C6578">
      <w:smartTag w:uri="urn:schemas-microsoft-com:office:smarttags" w:element="place">
        <w:smartTag w:uri="urn:schemas-microsoft-com:office:smarttags" w:element="City">
          <w:r>
            <w:t>MELBOURNE</w:t>
          </w:r>
        </w:smartTag>
      </w:smartTag>
      <w:r>
        <w:t xml:space="preserve"> VIC 3001</w:t>
      </w:r>
    </w:p>
    <w:p w:rsidR="005C6578" w:rsidRDefault="005C6578" w:rsidP="005C6578">
      <w:r>
        <w:t>Dear Sir/Madam</w:t>
      </w:r>
    </w:p>
    <w:p w:rsidR="005C6578" w:rsidRDefault="005C6578" w:rsidP="005C6578">
      <w:r>
        <w:t xml:space="preserve">I enclose notification of </w:t>
      </w:r>
      <w:r w:rsidR="00F84BA7">
        <w:t xml:space="preserve">a </w:t>
      </w:r>
      <w:r w:rsidR="00F84BA7" w:rsidRPr="00F84BA7">
        <w:t>bulk interconnection service</w:t>
      </w:r>
      <w:r>
        <w:t xml:space="preserve"> dispute with </w:t>
      </w:r>
      <w:r w:rsidR="00F84BA7">
        <w:t xml:space="preserve">Australia Post </w:t>
      </w:r>
      <w:r>
        <w:t xml:space="preserve">under </w:t>
      </w:r>
      <w:r w:rsidR="00FE2A3E" w:rsidRPr="00246AC6">
        <w:t>Part 3 of the Australian Postal Corporation Regulations 1996</w:t>
      </w:r>
      <w:r>
        <w:t>.</w:t>
      </w:r>
    </w:p>
    <w:p w:rsidR="00F84BA7" w:rsidRDefault="00F84BA7" w:rsidP="005C6578"/>
    <w:p w:rsidR="005C6578" w:rsidRDefault="005C6578" w:rsidP="005C6578">
      <w:r>
        <w:t>Yours sincerely</w:t>
      </w:r>
    </w:p>
    <w:p w:rsidR="005C6578" w:rsidRDefault="005C6578" w:rsidP="005C6578">
      <w:r>
        <w:t>&lt;Signatory&gt;</w:t>
      </w:r>
    </w:p>
    <w:p w:rsidR="00DF2719" w:rsidRDefault="00DF2719" w:rsidP="00DF2719">
      <w:pPr>
        <w:pStyle w:val="BodyText"/>
      </w:pPr>
    </w:p>
    <w:p w:rsidR="00D1744F" w:rsidRPr="00DF2719" w:rsidRDefault="00F84BA7" w:rsidP="00DF2719">
      <w:pPr>
        <w:pStyle w:val="BodyText"/>
        <w:rPr>
          <w:rStyle w:val="Heading3Char"/>
        </w:rPr>
      </w:pPr>
      <w:r w:rsidRPr="00DF2719">
        <w:t>Attachment: Notification</w:t>
      </w:r>
      <w:r w:rsidR="00246AC6" w:rsidRPr="00DF2719">
        <w:br w:type="page"/>
      </w:r>
      <w:bookmarkStart w:id="147" w:name="_Toc332363562"/>
      <w:r w:rsidR="006E3E70" w:rsidRPr="00DF2719">
        <w:rPr>
          <w:rStyle w:val="Heading3Char"/>
        </w:rPr>
        <w:t>B2</w:t>
      </w:r>
      <w:r w:rsidR="00D1744F" w:rsidRPr="00DF2719">
        <w:rPr>
          <w:rStyle w:val="Heading3Char"/>
        </w:rPr>
        <w:tab/>
        <w:t xml:space="preserve">Notification of dispute to </w:t>
      </w:r>
      <w:proofErr w:type="spellStart"/>
      <w:r w:rsidR="00D1744F" w:rsidRPr="00DF2719">
        <w:rPr>
          <w:rStyle w:val="Heading3Char"/>
        </w:rPr>
        <w:t>ACCC</w:t>
      </w:r>
      <w:proofErr w:type="spellEnd"/>
      <w:r w:rsidR="00D1744F" w:rsidRPr="00DF2719">
        <w:rPr>
          <w:rStyle w:val="Heading3Char"/>
        </w:rPr>
        <w:t xml:space="preserve"> (template)</w:t>
      </w:r>
      <w:bookmarkEnd w:id="147"/>
    </w:p>
    <w:p w:rsidR="00D1744F" w:rsidRDefault="00D1744F" w:rsidP="00FD1251"/>
    <w:p w:rsidR="00FD1251" w:rsidRPr="00D1744F" w:rsidRDefault="00FD1251" w:rsidP="00FD1251">
      <w:pPr>
        <w:rPr>
          <w:b/>
        </w:rPr>
      </w:pPr>
      <w:r w:rsidRPr="00D1744F">
        <w:rPr>
          <w:b/>
        </w:rPr>
        <w:t>Notification of a</w:t>
      </w:r>
      <w:r w:rsidR="00455B1A" w:rsidRPr="00D1744F">
        <w:rPr>
          <w:b/>
        </w:rPr>
        <w:t xml:space="preserve"> </w:t>
      </w:r>
      <w:r w:rsidR="009E748C">
        <w:rPr>
          <w:b/>
        </w:rPr>
        <w:t>bulk interconnection service</w:t>
      </w:r>
      <w:r w:rsidRPr="00D1744F">
        <w:rPr>
          <w:b/>
        </w:rPr>
        <w:t xml:space="preserve"> dispute under </w:t>
      </w:r>
      <w:r w:rsidR="00246AC6" w:rsidRPr="00D1744F">
        <w:rPr>
          <w:b/>
        </w:rPr>
        <w:t>Part 3 of the Australian Postal Corporation Regulations 1996</w:t>
      </w:r>
    </w:p>
    <w:p w:rsidR="00FD1251" w:rsidRPr="00D1744F" w:rsidRDefault="00FD1251" w:rsidP="00FD1251">
      <w:pPr>
        <w:rPr>
          <w:b/>
        </w:rPr>
      </w:pPr>
      <w:r w:rsidRPr="00D1744F">
        <w:rPr>
          <w:b/>
        </w:rPr>
        <w:t>Between</w:t>
      </w:r>
    </w:p>
    <w:p w:rsidR="00FD1251" w:rsidRDefault="00FD1251" w:rsidP="00FD1251">
      <w:r>
        <w:t>1. &lt;</w:t>
      </w:r>
      <w:proofErr w:type="gramStart"/>
      <w:r>
        <w:t>name</w:t>
      </w:r>
      <w:proofErr w:type="gramEnd"/>
      <w:r>
        <w:t xml:space="preserve"> of notifying </w:t>
      </w:r>
      <w:r w:rsidR="00FE2A3E">
        <w:t>person/</w:t>
      </w:r>
      <w:r>
        <w:t>company&gt; of &lt;address of notifying</w:t>
      </w:r>
      <w:r w:rsidR="00FE2A3E">
        <w:t xml:space="preserve"> person/</w:t>
      </w:r>
      <w:r>
        <w:t>company&gt;</w:t>
      </w:r>
    </w:p>
    <w:p w:rsidR="00FD1251" w:rsidRDefault="00FD1251" w:rsidP="00FD1251">
      <w:r>
        <w:t>Contact: &lt;name and position of contact&gt;</w:t>
      </w:r>
    </w:p>
    <w:p w:rsidR="00FD1251" w:rsidRDefault="00FD1251" w:rsidP="00FD1251">
      <w:r>
        <w:t>Telephone: &lt;contact phone number&gt;; facsimile: &lt;contact fax number&gt;;</w:t>
      </w:r>
    </w:p>
    <w:p w:rsidR="00FD1251" w:rsidRDefault="00FD1251" w:rsidP="00FD1251">
      <w:proofErr w:type="gramStart"/>
      <w:r>
        <w:t>email</w:t>
      </w:r>
      <w:proofErr w:type="gramEnd"/>
      <w:r>
        <w:t>: &lt;email address&gt;</w:t>
      </w:r>
    </w:p>
    <w:p w:rsidR="00FD1251" w:rsidRPr="00D1744F" w:rsidRDefault="00FD1251" w:rsidP="00FD1251">
      <w:pPr>
        <w:rPr>
          <w:b/>
        </w:rPr>
      </w:pPr>
      <w:proofErr w:type="gramStart"/>
      <w:r w:rsidRPr="00D1744F">
        <w:rPr>
          <w:b/>
        </w:rPr>
        <w:t>and</w:t>
      </w:r>
      <w:proofErr w:type="gramEnd"/>
    </w:p>
    <w:p w:rsidR="00FD1251" w:rsidRDefault="00FD1251" w:rsidP="00FD1251">
      <w:r>
        <w:t>2. &lt;</w:t>
      </w:r>
      <w:r w:rsidR="00FE2A3E" w:rsidDel="00FE2A3E">
        <w:t xml:space="preserve"> </w:t>
      </w:r>
      <w:smartTag w:uri="urn:schemas-microsoft-com:office:smarttags" w:element="place">
        <w:smartTag w:uri="urn:schemas-microsoft-com:office:smarttags" w:element="country-region">
          <w:r w:rsidR="00FE2A3E">
            <w:t>Australia</w:t>
          </w:r>
        </w:smartTag>
      </w:smartTag>
      <w:r w:rsidR="00FE2A3E">
        <w:t xml:space="preserve"> Post</w:t>
      </w:r>
      <w:r>
        <w:t>&gt;</w:t>
      </w:r>
    </w:p>
    <w:p w:rsidR="00FD1251" w:rsidRDefault="00FD1251" w:rsidP="00FD1251">
      <w:r>
        <w:t>Contact: &lt;name and position of contact—if known&gt;</w:t>
      </w:r>
    </w:p>
    <w:p w:rsidR="00FD1251" w:rsidRDefault="00FD1251" w:rsidP="00FD1251">
      <w:r>
        <w:t>Telephone: &lt;contact phone number—if known&gt;; Facsimile:</w:t>
      </w:r>
    </w:p>
    <w:p w:rsidR="00FD1251" w:rsidRDefault="00FD1251" w:rsidP="00FD1251">
      <w:r>
        <w:t>&lt;</w:t>
      </w:r>
      <w:proofErr w:type="gramStart"/>
      <w:r>
        <w:t>contact</w:t>
      </w:r>
      <w:proofErr w:type="gramEnd"/>
      <w:r>
        <w:t xml:space="preserve"> fax number—if known&gt;; Email: &lt;email address—if known&gt;</w:t>
      </w:r>
    </w:p>
    <w:p w:rsidR="00FD1251" w:rsidRDefault="00FD1251" w:rsidP="00FD1251">
      <w:r>
        <w:t>&lt;</w:t>
      </w:r>
      <w:proofErr w:type="gramStart"/>
      <w:r>
        <w:t>the</w:t>
      </w:r>
      <w:proofErr w:type="gramEnd"/>
      <w:r>
        <w:t xml:space="preserve"> notification should specify the name of the </w:t>
      </w:r>
      <w:r w:rsidR="00FE2A3E">
        <w:t>Australia Post bulk interconnection service</w:t>
      </w:r>
      <w:r>
        <w:t>&gt;</w:t>
      </w:r>
    </w:p>
    <w:p w:rsidR="00FD1251" w:rsidRPr="00D1744F" w:rsidRDefault="00FD1251" w:rsidP="00FD1251">
      <w:pPr>
        <w:rPr>
          <w:b/>
        </w:rPr>
      </w:pPr>
      <w:r w:rsidRPr="00D1744F">
        <w:rPr>
          <w:b/>
        </w:rPr>
        <w:t>Notifier’s address for delivery of documents</w:t>
      </w:r>
    </w:p>
    <w:p w:rsidR="00FD1251" w:rsidRDefault="00FD1251" w:rsidP="00FD1251">
      <w:r>
        <w:t>&lt;</w:t>
      </w:r>
      <w:proofErr w:type="gramStart"/>
      <w:r>
        <w:t>specify</w:t>
      </w:r>
      <w:proofErr w:type="gramEnd"/>
      <w:r>
        <w:t xml:space="preserve"> street address&gt;</w:t>
      </w:r>
    </w:p>
    <w:p w:rsidR="00FD1251" w:rsidRPr="00D1744F" w:rsidRDefault="00FD1251" w:rsidP="00FD1251">
      <w:pPr>
        <w:rPr>
          <w:b/>
        </w:rPr>
      </w:pPr>
      <w:r w:rsidRPr="00D1744F">
        <w:rPr>
          <w:b/>
        </w:rPr>
        <w:t xml:space="preserve">Details of the </w:t>
      </w:r>
      <w:r w:rsidR="00FE2A3E" w:rsidRPr="00D1744F">
        <w:rPr>
          <w:b/>
        </w:rPr>
        <w:t>bulk interconnection service</w:t>
      </w:r>
      <w:r w:rsidRPr="00D1744F">
        <w:rPr>
          <w:b/>
        </w:rPr>
        <w:t xml:space="preserve"> to which the dispute relates</w:t>
      </w:r>
    </w:p>
    <w:p w:rsidR="00D1744F" w:rsidRPr="00D1744F" w:rsidRDefault="00D1744F" w:rsidP="00D1744F">
      <w:r w:rsidRPr="00D1744F">
        <w:t>&lt;specify the bulk interconnection service to which the dispute relates and any term of conditions of access to the service to which the dispute relates&gt;</w:t>
      </w:r>
    </w:p>
    <w:p w:rsidR="00FD1251" w:rsidRPr="00D1744F" w:rsidRDefault="00FD1251" w:rsidP="00FD1251">
      <w:pPr>
        <w:rPr>
          <w:b/>
        </w:rPr>
      </w:pPr>
      <w:r w:rsidRPr="00D1744F">
        <w:rPr>
          <w:b/>
        </w:rPr>
        <w:t>Details of the dispute and dispute resolution efforts</w:t>
      </w:r>
    </w:p>
    <w:p w:rsidR="00FD1251" w:rsidRDefault="00FD1251" w:rsidP="00FD1251">
      <w:r>
        <w:t>&lt;</w:t>
      </w:r>
      <w:proofErr w:type="gramStart"/>
      <w:r>
        <w:t>specify</w:t>
      </w:r>
      <w:proofErr w:type="gramEnd"/>
      <w:r>
        <w:t xml:space="preserve"> in detail the nature of the dispute&gt;</w:t>
      </w:r>
    </w:p>
    <w:p w:rsidR="00FD1251" w:rsidRDefault="00FD1251" w:rsidP="00FD1251">
      <w:r>
        <w:t xml:space="preserve">Note: The information included in the notification should establish that the </w:t>
      </w:r>
      <w:r w:rsidR="00FE2A3E">
        <w:t xml:space="preserve">complainant </w:t>
      </w:r>
      <w:r>
        <w:t xml:space="preserve">is unable to agree with </w:t>
      </w:r>
      <w:r w:rsidR="00FE2A3E">
        <w:t xml:space="preserve">Australia Post </w:t>
      </w:r>
      <w:r>
        <w:t>about one or more aspects of</w:t>
      </w:r>
      <w:r w:rsidR="00B82C76">
        <w:t xml:space="preserve"> the terms and conditions of access to the bulk interconnection service.</w:t>
      </w:r>
    </w:p>
    <w:p w:rsidR="00FD1251" w:rsidRDefault="00013EDD" w:rsidP="001F4E43">
      <w:r>
        <w:t>The following information is required</w:t>
      </w:r>
      <w:r w:rsidR="00FD1251">
        <w:t>:</w:t>
      </w:r>
    </w:p>
    <w:p w:rsidR="006F0555" w:rsidRDefault="00FD1251" w:rsidP="001F4E43">
      <w:pPr>
        <w:numPr>
          <w:ilvl w:val="0"/>
          <w:numId w:val="43"/>
        </w:numPr>
      </w:pPr>
      <w:r>
        <w:t xml:space="preserve"> </w:t>
      </w:r>
      <w:r w:rsidR="006F0555">
        <w:t>if the rate reduction is in dispute — the amount that the complainant proposes should apply</w:t>
      </w:r>
    </w:p>
    <w:p w:rsidR="006F0555" w:rsidRDefault="006F0555" w:rsidP="001F4E43">
      <w:pPr>
        <w:numPr>
          <w:ilvl w:val="0"/>
          <w:numId w:val="43"/>
        </w:numPr>
      </w:pPr>
      <w:r>
        <w:t xml:space="preserve">if the period during which the service will be supplied is in dispute — the period during which the complainant proposes that the service should be supplied at the reduced rate </w:t>
      </w:r>
    </w:p>
    <w:p w:rsidR="006F0555" w:rsidRDefault="006F0555" w:rsidP="001F4E43">
      <w:pPr>
        <w:numPr>
          <w:ilvl w:val="0"/>
          <w:numId w:val="43"/>
        </w:numPr>
      </w:pPr>
      <w:r>
        <w:t xml:space="preserve">if any other terms and conditions on which the rate reduction is or would be provided are in dispute — the terms and conditions </w:t>
      </w:r>
      <w:r w:rsidR="002175B4">
        <w:t>that the complainant proposes should apply</w:t>
      </w:r>
    </w:p>
    <w:p w:rsidR="00F36BFE" w:rsidRDefault="00F36BFE" w:rsidP="001F4E43">
      <w:pPr>
        <w:numPr>
          <w:ilvl w:val="0"/>
          <w:numId w:val="43"/>
        </w:numPr>
      </w:pPr>
      <w:r>
        <w:t>the rate reduction (if any) that Australia Post has offered for supply of the service to the complainant</w:t>
      </w:r>
    </w:p>
    <w:p w:rsidR="00F36BFE" w:rsidRDefault="00F36BFE" w:rsidP="001F4E43">
      <w:pPr>
        <w:numPr>
          <w:ilvl w:val="0"/>
          <w:numId w:val="43"/>
        </w:numPr>
      </w:pPr>
      <w:r>
        <w:t>the period (if any) during which Australia Post has offered to supply the service to the complainant at the reduced rate</w:t>
      </w:r>
    </w:p>
    <w:p w:rsidR="006D3270" w:rsidRDefault="00F36BFE" w:rsidP="001F4E43">
      <w:pPr>
        <w:numPr>
          <w:ilvl w:val="0"/>
          <w:numId w:val="43"/>
        </w:numPr>
      </w:pPr>
      <w:r>
        <w:t>any other terms and conditions to which Australia Post’s offer is subject</w:t>
      </w:r>
      <w:r w:rsidR="006D3270">
        <w:t xml:space="preserve"> </w:t>
      </w:r>
    </w:p>
    <w:p w:rsidR="00F36BFE" w:rsidRDefault="006D3270" w:rsidP="001F4E43">
      <w:pPr>
        <w:numPr>
          <w:ilvl w:val="0"/>
          <w:numId w:val="43"/>
        </w:numPr>
      </w:pPr>
      <w:r w:rsidRPr="006D3270">
        <w:t>a copy of any document in the possession or under the control of the complainant that may be relevant to this dispute</w:t>
      </w:r>
      <w:r>
        <w:t xml:space="preserve"> </w:t>
      </w:r>
    </w:p>
    <w:p w:rsidR="001F4E43" w:rsidRPr="00856DFF" w:rsidRDefault="0070306E" w:rsidP="00856DFF">
      <w:pPr>
        <w:pStyle w:val="Heading2"/>
        <w:numPr>
          <w:ilvl w:val="0"/>
          <w:numId w:val="0"/>
        </w:numPr>
        <w:ind w:left="576" w:hanging="576"/>
      </w:pPr>
      <w:r w:rsidRPr="006D3270">
        <w:br w:type="page"/>
      </w:r>
      <w:bookmarkStart w:id="148" w:name="_Toc332363563"/>
      <w:proofErr w:type="spellStart"/>
      <w:r w:rsidR="001F4E43" w:rsidRPr="00856DFF">
        <w:t>ACCC</w:t>
      </w:r>
      <w:proofErr w:type="spellEnd"/>
      <w:r w:rsidR="001F4E43" w:rsidRPr="00856DFF">
        <w:t xml:space="preserve"> contacts</w:t>
      </w:r>
      <w:bookmarkEnd w:id="148"/>
    </w:p>
    <w:p w:rsidR="0070306E" w:rsidRDefault="0070306E" w:rsidP="0070306E">
      <w:r>
        <w:t xml:space="preserve">The </w:t>
      </w:r>
      <w:proofErr w:type="spellStart"/>
      <w:r>
        <w:t>ACCC</w:t>
      </w:r>
      <w:proofErr w:type="spellEnd"/>
      <w:r>
        <w:t xml:space="preserve"> cannot give legal advice. However, it can give you information on the issues discussed in this guide. For more information contact the </w:t>
      </w:r>
      <w:proofErr w:type="spellStart"/>
      <w:r>
        <w:t>ACCC</w:t>
      </w:r>
      <w:proofErr w:type="spellEnd"/>
      <w:r>
        <w:t>.</w:t>
      </w:r>
    </w:p>
    <w:p w:rsidR="0070306E" w:rsidRDefault="0070306E" w:rsidP="0070306E">
      <w:r>
        <w:t>General Manage</w:t>
      </w:r>
      <w:r w:rsidR="00FE2A3E">
        <w:t>r</w:t>
      </w:r>
    </w:p>
    <w:p w:rsidR="0070306E" w:rsidRDefault="000C26AD" w:rsidP="0070306E">
      <w:r>
        <w:t xml:space="preserve">Fuel, </w:t>
      </w:r>
      <w:r w:rsidR="0070306E">
        <w:t xml:space="preserve">Transport and Prices Oversight </w:t>
      </w:r>
      <w:r w:rsidR="00424B56">
        <w:t>Branch</w:t>
      </w:r>
    </w:p>
    <w:p w:rsidR="0070306E" w:rsidRDefault="0070306E" w:rsidP="0070306E">
      <w:r>
        <w:t xml:space="preserve">Australian Competition and Consumer Commission </w:t>
      </w:r>
    </w:p>
    <w:p w:rsidR="0070306E" w:rsidRDefault="0070306E" w:rsidP="0070306E">
      <w:r>
        <w:t xml:space="preserve">GPO </w:t>
      </w:r>
      <w:smartTag w:uri="urn:schemas-microsoft-com:office:smarttags" w:element="address">
        <w:smartTag w:uri="urn:schemas-microsoft-com:office:smarttags" w:element="Street">
          <w:r>
            <w:t>Box</w:t>
          </w:r>
        </w:smartTag>
        <w:r>
          <w:t xml:space="preserve"> 520</w:t>
        </w:r>
      </w:smartTag>
      <w:r>
        <w:t xml:space="preserve"> </w:t>
      </w:r>
    </w:p>
    <w:p w:rsidR="0070306E" w:rsidRDefault="0070306E" w:rsidP="0070306E">
      <w:smartTag w:uri="urn:schemas-microsoft-com:office:smarttags" w:element="place">
        <w:smartTag w:uri="urn:schemas-microsoft-com:office:smarttags" w:element="City">
          <w:r>
            <w:t>MELBOURNE</w:t>
          </w:r>
        </w:smartTag>
      </w:smartTag>
      <w:r>
        <w:t xml:space="preserve"> VIC 3001</w:t>
      </w:r>
    </w:p>
    <w:p w:rsidR="0070306E" w:rsidRDefault="0070306E" w:rsidP="0070306E">
      <w:r>
        <w:t>Tel: (03) 9290 1800</w:t>
      </w:r>
    </w:p>
    <w:p w:rsidR="0070306E" w:rsidRDefault="0070306E" w:rsidP="0070306E">
      <w:r>
        <w:t>Email:  postalservices@accc.gov.au</w:t>
      </w:r>
    </w:p>
    <w:p w:rsidR="0070306E" w:rsidRPr="0070306E" w:rsidRDefault="0070306E" w:rsidP="0070306E">
      <w:pPr>
        <w:rPr>
          <w:b/>
        </w:rPr>
      </w:pPr>
      <w:r w:rsidRPr="0070306E">
        <w:rPr>
          <w:b/>
        </w:rPr>
        <w:t>For all general business and consumer inquiries</w:t>
      </w:r>
    </w:p>
    <w:p w:rsidR="0070306E" w:rsidRDefault="0070306E" w:rsidP="0070306E">
      <w:proofErr w:type="spellStart"/>
      <w:r>
        <w:t>ACCC</w:t>
      </w:r>
      <w:proofErr w:type="spellEnd"/>
      <w:r>
        <w:t xml:space="preserve"> </w:t>
      </w:r>
      <w:proofErr w:type="spellStart"/>
      <w:r>
        <w:t>Infocentre</w:t>
      </w:r>
      <w:proofErr w:type="spellEnd"/>
      <w:r>
        <w:t>: 1300 302 502</w:t>
      </w:r>
    </w:p>
    <w:p w:rsidR="0070306E" w:rsidRDefault="0070306E" w:rsidP="0070306E">
      <w:proofErr w:type="gramStart"/>
      <w:r>
        <w:t>email</w:t>
      </w:r>
      <w:proofErr w:type="gramEnd"/>
      <w:r>
        <w:t>: infocentre@accc.gov.au</w:t>
      </w:r>
    </w:p>
    <w:p w:rsidR="00366078" w:rsidRPr="0011708F" w:rsidRDefault="0070306E" w:rsidP="0070306E">
      <w:proofErr w:type="gramStart"/>
      <w:r>
        <w:t>website</w:t>
      </w:r>
      <w:proofErr w:type="gramEnd"/>
      <w:r>
        <w:t>: www.accc.gov.au</w:t>
      </w:r>
    </w:p>
    <w:sectPr w:rsidR="00366078" w:rsidRPr="0011708F" w:rsidSect="007B703B">
      <w:headerReference w:type="even" r:id="rId17"/>
      <w:headerReference w:type="default" r:id="rId18"/>
      <w:headerReference w:type="first" r:id="rId19"/>
      <w:footerReference w:type="first" r:id="rId20"/>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DB4" w:rsidRDefault="00E82DB4">
      <w:r>
        <w:separator/>
      </w:r>
    </w:p>
  </w:endnote>
  <w:endnote w:type="continuationSeparator" w:id="0">
    <w:p w:rsidR="00E82DB4" w:rsidRDefault="00E82DB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B4" w:rsidRDefault="00CF79EA" w:rsidP="00936C48">
    <w:pPr>
      <w:pStyle w:val="Footer"/>
      <w:framePr w:wrap="around" w:vAnchor="text" w:hAnchor="margin" w:xAlign="outside" w:y="1"/>
      <w:rPr>
        <w:rStyle w:val="PageNumber"/>
      </w:rPr>
    </w:pPr>
    <w:r>
      <w:rPr>
        <w:rStyle w:val="PageNumber"/>
      </w:rPr>
      <w:fldChar w:fldCharType="begin"/>
    </w:r>
    <w:r w:rsidR="00E82DB4">
      <w:rPr>
        <w:rStyle w:val="PageNumber"/>
      </w:rPr>
      <w:instrText xml:space="preserve">PAGE  </w:instrText>
    </w:r>
    <w:r>
      <w:rPr>
        <w:rStyle w:val="PageNumber"/>
      </w:rPr>
      <w:fldChar w:fldCharType="separate"/>
    </w:r>
    <w:r w:rsidR="00B34C25">
      <w:rPr>
        <w:rStyle w:val="PageNumber"/>
        <w:noProof/>
      </w:rPr>
      <w:t>ii</w:t>
    </w:r>
    <w:r>
      <w:rPr>
        <w:rStyle w:val="PageNumber"/>
      </w:rPr>
      <w:fldChar w:fldCharType="end"/>
    </w:r>
  </w:p>
  <w:p w:rsidR="00E82DB4" w:rsidRDefault="00E82DB4" w:rsidP="00936C4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B4" w:rsidRDefault="00CF79EA" w:rsidP="00936C48">
    <w:pPr>
      <w:pStyle w:val="Footer"/>
      <w:framePr w:wrap="around" w:vAnchor="text" w:hAnchor="margin" w:xAlign="outside" w:y="1"/>
      <w:rPr>
        <w:rStyle w:val="PageNumber"/>
      </w:rPr>
    </w:pPr>
    <w:r>
      <w:rPr>
        <w:rStyle w:val="PageNumber"/>
      </w:rPr>
      <w:fldChar w:fldCharType="begin"/>
    </w:r>
    <w:r w:rsidR="00E82DB4">
      <w:rPr>
        <w:rStyle w:val="PageNumber"/>
      </w:rPr>
      <w:instrText xml:space="preserve">PAGE  </w:instrText>
    </w:r>
    <w:r>
      <w:rPr>
        <w:rStyle w:val="PageNumber"/>
      </w:rPr>
      <w:fldChar w:fldCharType="separate"/>
    </w:r>
    <w:r w:rsidR="00B34C25">
      <w:rPr>
        <w:rStyle w:val="PageNumber"/>
        <w:noProof/>
      </w:rPr>
      <w:t>iii</w:t>
    </w:r>
    <w:r>
      <w:rPr>
        <w:rStyle w:val="PageNumber"/>
      </w:rPr>
      <w:fldChar w:fldCharType="end"/>
    </w:r>
  </w:p>
  <w:p w:rsidR="00E82DB4" w:rsidRDefault="00E82DB4" w:rsidP="00936C48">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B4" w:rsidRDefault="00E82DB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B4" w:rsidRDefault="00E82DB4" w:rsidP="00022519">
    <w:pPr>
      <w:pStyle w:val="Footer"/>
      <w:jc w:val="center"/>
    </w:pPr>
    <w:r>
      <w:rPr>
        <w:rStyle w:val="PageNumber"/>
      </w:rPr>
      <w:t xml:space="preserve"> PAGE </w:t>
    </w:r>
    <w:r>
      <w:rPr>
        <w:rStyle w:val="PageNumber"/>
        <w:noProof/>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DB4" w:rsidRDefault="00E82DB4">
      <w:r>
        <w:separator/>
      </w:r>
    </w:p>
  </w:footnote>
  <w:footnote w:type="continuationSeparator" w:id="0">
    <w:p w:rsidR="00E82DB4" w:rsidRDefault="00E82DB4">
      <w:r>
        <w:continuationSeparator/>
      </w:r>
    </w:p>
  </w:footnote>
  <w:footnote w:id="1">
    <w:p w:rsidR="00E82DB4" w:rsidRPr="0000052B" w:rsidRDefault="00E82DB4" w:rsidP="00B10C43">
      <w:pPr>
        <w:pStyle w:val="FootnoteText"/>
        <w:rPr>
          <w:i/>
        </w:rPr>
      </w:pPr>
      <w:r>
        <w:rPr>
          <w:rStyle w:val="FootnoteReference"/>
        </w:rPr>
        <w:footnoteRef/>
      </w:r>
      <w:r>
        <w:t xml:space="preserve"> </w:t>
      </w:r>
      <w:r>
        <w:tab/>
        <w:t xml:space="preserve">Explanatory Memorandum </w:t>
      </w:r>
      <w:r w:rsidRPr="0000052B">
        <w:rPr>
          <w:i/>
        </w:rPr>
        <w:t xml:space="preserve">Postal Services </w:t>
      </w:r>
      <w:r>
        <w:rPr>
          <w:i/>
        </w:rPr>
        <w:t xml:space="preserve">Legislation </w:t>
      </w:r>
      <w:r w:rsidRPr="0000052B">
        <w:rPr>
          <w:i/>
        </w:rPr>
        <w:t>Amendment Bill 2003</w:t>
      </w:r>
    </w:p>
  </w:footnote>
  <w:footnote w:id="2">
    <w:p w:rsidR="00E82DB4" w:rsidRDefault="00E82DB4" w:rsidP="00F75F13">
      <w:pPr>
        <w:pStyle w:val="FootnoteText"/>
      </w:pPr>
      <w:r>
        <w:rPr>
          <w:rStyle w:val="FootnoteReference"/>
        </w:rPr>
        <w:footnoteRef/>
      </w:r>
      <w:r>
        <w:t xml:space="preserve"> </w:t>
      </w:r>
      <w:r>
        <w:tab/>
      </w:r>
      <w:proofErr w:type="gramStart"/>
      <w:r>
        <w:t xml:space="preserve">Regulation 3(1) of the </w:t>
      </w:r>
      <w:proofErr w:type="spellStart"/>
      <w:r>
        <w:t>APCR</w:t>
      </w:r>
      <w:proofErr w:type="spellEnd"/>
      <w:r>
        <w:t>.</w:t>
      </w:r>
      <w:proofErr w:type="gramEnd"/>
    </w:p>
  </w:footnote>
  <w:footnote w:id="3">
    <w:p w:rsidR="00E82DB4" w:rsidRPr="0019520B" w:rsidRDefault="00E82DB4" w:rsidP="001B61C0">
      <w:pPr>
        <w:pStyle w:val="FootnoteText"/>
      </w:pPr>
      <w:r>
        <w:rPr>
          <w:rStyle w:val="FootnoteReference"/>
        </w:rPr>
        <w:footnoteRef/>
      </w:r>
      <w:r>
        <w:t xml:space="preserve"> </w:t>
      </w:r>
      <w:r>
        <w:tab/>
      </w:r>
      <w:r w:rsidRPr="0019520B">
        <w:t xml:space="preserve">Australia Post's </w:t>
      </w:r>
      <w:proofErr w:type="spellStart"/>
      <w:r w:rsidRPr="0019520B">
        <w:t>PreSort</w:t>
      </w:r>
      <w:proofErr w:type="spellEnd"/>
      <w:r w:rsidRPr="0019520B">
        <w:t xml:space="preserve"> Letters service offers discounted postage rates for customers lodging more than 300 machine-addressed articles that are </w:t>
      </w:r>
      <w:proofErr w:type="spellStart"/>
      <w:r w:rsidRPr="0019520B">
        <w:t>barcoded</w:t>
      </w:r>
      <w:proofErr w:type="spellEnd"/>
      <w:r w:rsidRPr="0019520B">
        <w:t xml:space="preserve"> and sorted. The </w:t>
      </w:r>
      <w:proofErr w:type="spellStart"/>
      <w:r w:rsidRPr="0019520B">
        <w:t>PreSort</w:t>
      </w:r>
      <w:proofErr w:type="spellEnd"/>
      <w:r w:rsidRPr="0019520B">
        <w:t xml:space="preserve"> letter service also includes </w:t>
      </w:r>
      <w:r>
        <w:t>C</w:t>
      </w:r>
      <w:r w:rsidRPr="0019520B">
        <w:t xml:space="preserve">harity mail which provides for delivery of small </w:t>
      </w:r>
      <w:proofErr w:type="spellStart"/>
      <w:r w:rsidRPr="0019520B">
        <w:t>PreSort</w:t>
      </w:r>
      <w:proofErr w:type="spellEnd"/>
      <w:r w:rsidRPr="0019520B">
        <w:t xml:space="preserve"> letters at lower prices for approved charitable organisations. Acquisition mail provides for delivery of non-personalised addressed mail piece to households in specific postcodes, suburbs or Census Collection Districts. Further information on these Australia Post mail services is available on the Australia Post’s website </w:t>
      </w:r>
      <w:hyperlink r:id="rId1" w:history="1">
        <w:r w:rsidRPr="0019520B">
          <w:rPr>
            <w:rStyle w:val="Hyperlink"/>
          </w:rPr>
          <w:t>http://auspost.com.au</w:t>
        </w:r>
      </w:hyperlink>
      <w:r>
        <w:t>.</w:t>
      </w:r>
    </w:p>
  </w:footnote>
  <w:footnote w:id="4">
    <w:p w:rsidR="00E82DB4" w:rsidRDefault="00E82DB4" w:rsidP="001B61C0">
      <w:pPr>
        <w:pStyle w:val="FootnoteText"/>
      </w:pPr>
      <w:r>
        <w:rPr>
          <w:rStyle w:val="FootnoteReference"/>
        </w:rPr>
        <w:footnoteRef/>
      </w:r>
      <w:r>
        <w:t xml:space="preserve">  </w:t>
      </w:r>
      <w:r>
        <w:tab/>
        <w:t xml:space="preserve">For example in 2010-11 Australia Post advised the </w:t>
      </w:r>
      <w:proofErr w:type="spellStart"/>
      <w:r>
        <w:t>ACCC</w:t>
      </w:r>
      <w:proofErr w:type="spellEnd"/>
      <w:r>
        <w:t xml:space="preserve"> that small and large </w:t>
      </w:r>
      <w:proofErr w:type="spellStart"/>
      <w:r>
        <w:t>PreSort</w:t>
      </w:r>
      <w:proofErr w:type="spellEnd"/>
      <w:r>
        <w:t xml:space="preserve"> letters accounted for 2.1 billion letters or 57 per cent of total letters sent. </w:t>
      </w:r>
    </w:p>
  </w:footnote>
  <w:footnote w:id="5">
    <w:p w:rsidR="00E82DB4" w:rsidRPr="00CA2D66" w:rsidRDefault="00E82DB4" w:rsidP="00B10C43">
      <w:pPr>
        <w:pStyle w:val="FootnoteText"/>
      </w:pPr>
      <w:r>
        <w:rPr>
          <w:rStyle w:val="FootnoteReference"/>
        </w:rPr>
        <w:footnoteRef/>
      </w:r>
      <w:r>
        <w:t xml:space="preserve"> </w:t>
      </w:r>
      <w:r>
        <w:tab/>
      </w:r>
      <w:r w:rsidRPr="00DC521C">
        <w:t>In 2011, the Australian Government undertook a regulatory impact analysis, as a result of which it has decided to limit the prices surveillance of Australia Post letter services from all reserved services to certain letter services reserved to Australia Post. For example, the 60 cent basic postage rate (</w:t>
      </w:r>
      <w:proofErr w:type="spellStart"/>
      <w:r w:rsidRPr="00DC521C">
        <w:t>BPR</w:t>
      </w:r>
      <w:proofErr w:type="spellEnd"/>
      <w:r w:rsidRPr="00DC521C">
        <w:t xml:space="preserve">) and other Ordinary letter services remain ‘declared’ and thus subject to price notification requirements. </w:t>
      </w:r>
      <w:r>
        <w:t xml:space="preserve">The other services currently reserved to Australia Post are no longer declared. </w:t>
      </w:r>
      <w:r w:rsidRPr="00CA2D66">
        <w:t>Refer</w:t>
      </w:r>
      <w:r>
        <w:rPr>
          <w:i/>
        </w:rPr>
        <w:t xml:space="preserve"> </w:t>
      </w:r>
      <w:r w:rsidRPr="00CA2D66">
        <w:rPr>
          <w:i/>
        </w:rPr>
        <w:t>Price Notification Declaration (</w:t>
      </w:r>
      <w:smartTag w:uri="urn:schemas-microsoft-com:office:smarttags" w:element="place">
        <w:smartTag w:uri="urn:schemas-microsoft-com:office:smarttags" w:element="country-region">
          <w:r w:rsidRPr="00CA2D66">
            <w:rPr>
              <w:i/>
            </w:rPr>
            <w:t>Australia</w:t>
          </w:r>
        </w:smartTag>
      </w:smartTag>
      <w:r w:rsidRPr="00CA2D66">
        <w:rPr>
          <w:i/>
        </w:rPr>
        <w:t xml:space="preserve"> Post Letter Services) (No. 2) 2011.</w:t>
      </w:r>
    </w:p>
  </w:footnote>
  <w:footnote w:id="6">
    <w:p w:rsidR="00E82DB4" w:rsidRPr="00190621" w:rsidRDefault="00E82DB4" w:rsidP="00BC5209">
      <w:pPr>
        <w:pStyle w:val="FootnoteText"/>
      </w:pPr>
      <w:r>
        <w:rPr>
          <w:rStyle w:val="FootnoteReference"/>
        </w:rPr>
        <w:footnoteRef/>
      </w:r>
      <w:r>
        <w:t xml:space="preserve"> </w:t>
      </w:r>
      <w:r>
        <w:tab/>
        <w:t xml:space="preserve">As noted above, </w:t>
      </w:r>
      <w:r w:rsidRPr="00190621">
        <w:t xml:space="preserve">a complainant is able to lodge a dispute notice without prior consultation with the </w:t>
      </w:r>
      <w:proofErr w:type="spellStart"/>
      <w:r w:rsidRPr="00190621">
        <w:t>ACCC</w:t>
      </w:r>
      <w:proofErr w:type="spellEnd"/>
      <w:r>
        <w:t xml:space="preserve">, as per sub regulation 9(1) of the </w:t>
      </w:r>
      <w:proofErr w:type="spellStart"/>
      <w:r>
        <w:t>APCR</w:t>
      </w:r>
      <w:proofErr w:type="spellEnd"/>
      <w:r w:rsidRPr="00190621">
        <w:t xml:space="preserve">. </w:t>
      </w:r>
    </w:p>
  </w:footnote>
  <w:footnote w:id="7">
    <w:p w:rsidR="00E82DB4" w:rsidRDefault="00E82DB4">
      <w:pPr>
        <w:pStyle w:val="FootnoteText"/>
      </w:pPr>
      <w:r>
        <w:rPr>
          <w:rStyle w:val="FootnoteReference"/>
        </w:rPr>
        <w:footnoteRef/>
      </w:r>
      <w:r>
        <w:t xml:space="preserve"> </w:t>
      </w:r>
      <w:proofErr w:type="gramStart"/>
      <w:r>
        <w:t>Or another Commissioner who is nominated in writing by the Chairperson.</w:t>
      </w:r>
      <w:proofErr w:type="gramEnd"/>
    </w:p>
  </w:footnote>
  <w:footnote w:id="8">
    <w:p w:rsidR="00E82DB4" w:rsidRDefault="00E82DB4">
      <w:pPr>
        <w:pStyle w:val="FootnoteText"/>
      </w:pPr>
      <w:r>
        <w:rPr>
          <w:rStyle w:val="FootnoteReference"/>
        </w:rPr>
        <w:footnoteRef/>
      </w:r>
      <w:r>
        <w:t xml:space="preserve"> </w:t>
      </w:r>
      <w:r>
        <w:tab/>
        <w:t>This can be accessed at www.fedcourt.gov.au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B4" w:rsidRDefault="00CF79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B4" w:rsidRDefault="00CF79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5.05pt;height:174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B4" w:rsidRDefault="00CF79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613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B4" w:rsidRDefault="00CF79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B4" w:rsidRDefault="00CF79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435.05pt;height:174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B4" w:rsidRDefault="00CF79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435.05pt;height:174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6FBF"/>
    <w:multiLevelType w:val="hybridMultilevel"/>
    <w:tmpl w:val="A3D6C6E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03840FC4"/>
    <w:multiLevelType w:val="hybridMultilevel"/>
    <w:tmpl w:val="132A9D8C"/>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03AE522E"/>
    <w:multiLevelType w:val="hybridMultilevel"/>
    <w:tmpl w:val="02B65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CE157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4491705"/>
    <w:multiLevelType w:val="hybridMultilevel"/>
    <w:tmpl w:val="977271AA"/>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04735F84"/>
    <w:multiLevelType w:val="hybridMultilevel"/>
    <w:tmpl w:val="085615C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084B49D4"/>
    <w:multiLevelType w:val="hybridMultilevel"/>
    <w:tmpl w:val="37A415A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0914776D"/>
    <w:multiLevelType w:val="multilevel"/>
    <w:tmpl w:val="945AAA44"/>
    <w:lvl w:ilvl="0">
      <w:start w:val="1"/>
      <w:numFmt w:val="none"/>
      <w:pStyle w:val="Heading1"/>
      <w:lvlText w:val="1.2"/>
      <w:lvlJc w:val="left"/>
      <w:pPr>
        <w:tabs>
          <w:tab w:val="num" w:pos="432"/>
        </w:tabs>
        <w:ind w:left="432" w:hanging="432"/>
      </w:pPr>
      <w:rPr>
        <w:rFonts w:hint="default"/>
      </w:rPr>
    </w:lvl>
    <w:lvl w:ilvl="1">
      <w:start w:val="1"/>
      <w:numFmt w:val="decimal"/>
      <w:pStyle w:val="Heading2"/>
      <w:lvlText w:val="%2%1."/>
      <w:lvlJc w:val="left"/>
      <w:pPr>
        <w:tabs>
          <w:tab w:val="num" w:pos="576"/>
        </w:tabs>
        <w:ind w:left="576" w:hanging="576"/>
      </w:pPr>
      <w:rPr>
        <w:rFonts w:hint="default"/>
      </w:rPr>
    </w:lvl>
    <w:lvl w:ilvl="2">
      <w:start w:val="8"/>
      <w:numFmt w:val="decimal"/>
      <w:pStyle w:val="Heading3"/>
      <w:lvlText w:val="%3%1.%2"/>
      <w:lvlJc w:val="left"/>
      <w:pPr>
        <w:tabs>
          <w:tab w:val="num" w:pos="720"/>
        </w:tabs>
        <w:ind w:left="720" w:hanging="720"/>
      </w:pPr>
      <w:rPr>
        <w:rFonts w:hint="default"/>
      </w:rPr>
    </w:lvl>
    <w:lvl w:ilvl="3">
      <w:start w:val="1"/>
      <w:numFmt w:val="none"/>
      <w:pStyle w:val="Heading4"/>
      <w:lvlText w:val="1.1.%3"/>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0BAC79FD"/>
    <w:multiLevelType w:val="hybridMultilevel"/>
    <w:tmpl w:val="4B1CF90C"/>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0D291AC7"/>
    <w:multiLevelType w:val="multilevel"/>
    <w:tmpl w:val="EAEABF1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EEE79BD"/>
    <w:multiLevelType w:val="hybridMultilevel"/>
    <w:tmpl w:val="409E6D8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0F0E3D78"/>
    <w:multiLevelType w:val="hybridMultilevel"/>
    <w:tmpl w:val="CA4C54B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nsid w:val="16D821A9"/>
    <w:multiLevelType w:val="hybridMultilevel"/>
    <w:tmpl w:val="2AB8497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8010E6B"/>
    <w:multiLevelType w:val="singleLevel"/>
    <w:tmpl w:val="5E4850B2"/>
    <w:lvl w:ilvl="0">
      <w:start w:val="1"/>
      <w:numFmt w:val="bullet"/>
      <w:pStyle w:val="ListBullet2"/>
      <w:lvlText w:val=""/>
      <w:lvlJc w:val="left"/>
      <w:pPr>
        <w:tabs>
          <w:tab w:val="num" w:pos="360"/>
        </w:tabs>
        <w:ind w:left="360" w:hanging="360"/>
      </w:pPr>
      <w:rPr>
        <w:rFonts w:ascii="Wingdings" w:hAnsi="Wingdings" w:hint="default"/>
      </w:rPr>
    </w:lvl>
  </w:abstractNum>
  <w:abstractNum w:abstractNumId="14">
    <w:nsid w:val="1B4A1E65"/>
    <w:multiLevelType w:val="hybridMultilevel"/>
    <w:tmpl w:val="E4588378"/>
    <w:lvl w:ilvl="0" w:tplc="0C090005">
      <w:start w:val="1"/>
      <w:numFmt w:val="bullet"/>
      <w:lvlText w:val=""/>
      <w:lvlJc w:val="left"/>
      <w:pPr>
        <w:tabs>
          <w:tab w:val="num" w:pos="1080"/>
        </w:tabs>
        <w:ind w:left="1080" w:hanging="360"/>
      </w:pPr>
      <w:rPr>
        <w:rFonts w:ascii="Wingdings" w:hAnsi="Wingdings" w:hint="default"/>
      </w:rPr>
    </w:lvl>
    <w:lvl w:ilvl="1" w:tplc="07AA545A">
      <w:start w:val="1"/>
      <w:numFmt w:val="bullet"/>
      <w:lvlText w:val="o"/>
      <w:lvlJc w:val="left"/>
      <w:pPr>
        <w:tabs>
          <w:tab w:val="num" w:pos="2160"/>
        </w:tabs>
        <w:ind w:left="2160" w:hanging="360"/>
      </w:pPr>
      <w:rPr>
        <w:rFonts w:ascii="Courier New" w:hAnsi="Courier New" w:cs="Courier New" w:hint="default"/>
      </w:rPr>
    </w:lvl>
    <w:lvl w:ilvl="2" w:tplc="8072F46C" w:tentative="1">
      <w:start w:val="1"/>
      <w:numFmt w:val="bullet"/>
      <w:lvlText w:val=""/>
      <w:lvlJc w:val="left"/>
      <w:pPr>
        <w:tabs>
          <w:tab w:val="num" w:pos="2880"/>
        </w:tabs>
        <w:ind w:left="2880" w:hanging="360"/>
      </w:pPr>
      <w:rPr>
        <w:rFonts w:ascii="Wingdings" w:hAnsi="Wingdings" w:hint="default"/>
      </w:rPr>
    </w:lvl>
    <w:lvl w:ilvl="3" w:tplc="9800D50C" w:tentative="1">
      <w:start w:val="1"/>
      <w:numFmt w:val="bullet"/>
      <w:lvlText w:val=""/>
      <w:lvlJc w:val="left"/>
      <w:pPr>
        <w:tabs>
          <w:tab w:val="num" w:pos="3600"/>
        </w:tabs>
        <w:ind w:left="3600" w:hanging="360"/>
      </w:pPr>
      <w:rPr>
        <w:rFonts w:ascii="Symbol" w:hAnsi="Symbol" w:hint="default"/>
      </w:rPr>
    </w:lvl>
    <w:lvl w:ilvl="4" w:tplc="EB5CB416" w:tentative="1">
      <w:start w:val="1"/>
      <w:numFmt w:val="bullet"/>
      <w:lvlText w:val="o"/>
      <w:lvlJc w:val="left"/>
      <w:pPr>
        <w:tabs>
          <w:tab w:val="num" w:pos="4320"/>
        </w:tabs>
        <w:ind w:left="4320" w:hanging="360"/>
      </w:pPr>
      <w:rPr>
        <w:rFonts w:ascii="Courier New" w:hAnsi="Courier New" w:cs="Courier New" w:hint="default"/>
      </w:rPr>
    </w:lvl>
    <w:lvl w:ilvl="5" w:tplc="62B88626" w:tentative="1">
      <w:start w:val="1"/>
      <w:numFmt w:val="bullet"/>
      <w:lvlText w:val=""/>
      <w:lvlJc w:val="left"/>
      <w:pPr>
        <w:tabs>
          <w:tab w:val="num" w:pos="5040"/>
        </w:tabs>
        <w:ind w:left="5040" w:hanging="360"/>
      </w:pPr>
      <w:rPr>
        <w:rFonts w:ascii="Wingdings" w:hAnsi="Wingdings" w:hint="default"/>
      </w:rPr>
    </w:lvl>
    <w:lvl w:ilvl="6" w:tplc="E2208A10" w:tentative="1">
      <w:start w:val="1"/>
      <w:numFmt w:val="bullet"/>
      <w:lvlText w:val=""/>
      <w:lvlJc w:val="left"/>
      <w:pPr>
        <w:tabs>
          <w:tab w:val="num" w:pos="5760"/>
        </w:tabs>
        <w:ind w:left="5760" w:hanging="360"/>
      </w:pPr>
      <w:rPr>
        <w:rFonts w:ascii="Symbol" w:hAnsi="Symbol" w:hint="default"/>
      </w:rPr>
    </w:lvl>
    <w:lvl w:ilvl="7" w:tplc="23363C8E" w:tentative="1">
      <w:start w:val="1"/>
      <w:numFmt w:val="bullet"/>
      <w:lvlText w:val="o"/>
      <w:lvlJc w:val="left"/>
      <w:pPr>
        <w:tabs>
          <w:tab w:val="num" w:pos="6480"/>
        </w:tabs>
        <w:ind w:left="6480" w:hanging="360"/>
      </w:pPr>
      <w:rPr>
        <w:rFonts w:ascii="Courier New" w:hAnsi="Courier New" w:cs="Courier New" w:hint="default"/>
      </w:rPr>
    </w:lvl>
    <w:lvl w:ilvl="8" w:tplc="77D483B2" w:tentative="1">
      <w:start w:val="1"/>
      <w:numFmt w:val="bullet"/>
      <w:lvlText w:val=""/>
      <w:lvlJc w:val="left"/>
      <w:pPr>
        <w:tabs>
          <w:tab w:val="num" w:pos="7200"/>
        </w:tabs>
        <w:ind w:left="7200" w:hanging="360"/>
      </w:pPr>
      <w:rPr>
        <w:rFonts w:ascii="Wingdings" w:hAnsi="Wingdings" w:hint="default"/>
      </w:rPr>
    </w:lvl>
  </w:abstractNum>
  <w:abstractNum w:abstractNumId="15">
    <w:nsid w:val="1B95535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E142F2"/>
    <w:multiLevelType w:val="hybridMultilevel"/>
    <w:tmpl w:val="A760BB40"/>
    <w:lvl w:ilvl="0" w:tplc="A2D2DA96">
      <w:start w:val="1"/>
      <w:numFmt w:val="bullet"/>
      <w:lvlText w:val=""/>
      <w:lvlJc w:val="left"/>
      <w:pPr>
        <w:tabs>
          <w:tab w:val="num" w:pos="360"/>
        </w:tabs>
        <w:ind w:left="360" w:hanging="360"/>
      </w:pPr>
      <w:rPr>
        <w:rFonts w:ascii="Wingdings" w:hAnsi="Wingdings" w:hint="default"/>
      </w:rPr>
    </w:lvl>
    <w:lvl w:ilvl="1" w:tplc="48CC3C50" w:tentative="1">
      <w:start w:val="1"/>
      <w:numFmt w:val="bullet"/>
      <w:lvlText w:val="o"/>
      <w:lvlJc w:val="left"/>
      <w:pPr>
        <w:tabs>
          <w:tab w:val="num" w:pos="1080"/>
        </w:tabs>
        <w:ind w:left="1080" w:hanging="360"/>
      </w:pPr>
      <w:rPr>
        <w:rFonts w:ascii="Courier New" w:hAnsi="Courier New" w:cs="Courier New" w:hint="default"/>
      </w:rPr>
    </w:lvl>
    <w:lvl w:ilvl="2" w:tplc="20302A08" w:tentative="1">
      <w:start w:val="1"/>
      <w:numFmt w:val="bullet"/>
      <w:lvlText w:val=""/>
      <w:lvlJc w:val="left"/>
      <w:pPr>
        <w:tabs>
          <w:tab w:val="num" w:pos="1800"/>
        </w:tabs>
        <w:ind w:left="1800" w:hanging="360"/>
      </w:pPr>
      <w:rPr>
        <w:rFonts w:ascii="Wingdings" w:hAnsi="Wingdings" w:hint="default"/>
      </w:rPr>
    </w:lvl>
    <w:lvl w:ilvl="3" w:tplc="B8CAB5F0" w:tentative="1">
      <w:start w:val="1"/>
      <w:numFmt w:val="bullet"/>
      <w:lvlText w:val=""/>
      <w:lvlJc w:val="left"/>
      <w:pPr>
        <w:tabs>
          <w:tab w:val="num" w:pos="2520"/>
        </w:tabs>
        <w:ind w:left="2520" w:hanging="360"/>
      </w:pPr>
      <w:rPr>
        <w:rFonts w:ascii="Symbol" w:hAnsi="Symbol" w:hint="default"/>
      </w:rPr>
    </w:lvl>
    <w:lvl w:ilvl="4" w:tplc="6A5CC11A" w:tentative="1">
      <w:start w:val="1"/>
      <w:numFmt w:val="bullet"/>
      <w:lvlText w:val="o"/>
      <w:lvlJc w:val="left"/>
      <w:pPr>
        <w:tabs>
          <w:tab w:val="num" w:pos="3240"/>
        </w:tabs>
        <w:ind w:left="3240" w:hanging="360"/>
      </w:pPr>
      <w:rPr>
        <w:rFonts w:ascii="Courier New" w:hAnsi="Courier New" w:cs="Courier New" w:hint="default"/>
      </w:rPr>
    </w:lvl>
    <w:lvl w:ilvl="5" w:tplc="9A6EF19E" w:tentative="1">
      <w:start w:val="1"/>
      <w:numFmt w:val="bullet"/>
      <w:lvlText w:val=""/>
      <w:lvlJc w:val="left"/>
      <w:pPr>
        <w:tabs>
          <w:tab w:val="num" w:pos="3960"/>
        </w:tabs>
        <w:ind w:left="3960" w:hanging="360"/>
      </w:pPr>
      <w:rPr>
        <w:rFonts w:ascii="Wingdings" w:hAnsi="Wingdings" w:hint="default"/>
      </w:rPr>
    </w:lvl>
    <w:lvl w:ilvl="6" w:tplc="D03AC42E" w:tentative="1">
      <w:start w:val="1"/>
      <w:numFmt w:val="bullet"/>
      <w:lvlText w:val=""/>
      <w:lvlJc w:val="left"/>
      <w:pPr>
        <w:tabs>
          <w:tab w:val="num" w:pos="4680"/>
        </w:tabs>
        <w:ind w:left="4680" w:hanging="360"/>
      </w:pPr>
      <w:rPr>
        <w:rFonts w:ascii="Symbol" w:hAnsi="Symbol" w:hint="default"/>
      </w:rPr>
    </w:lvl>
    <w:lvl w:ilvl="7" w:tplc="B9185724" w:tentative="1">
      <w:start w:val="1"/>
      <w:numFmt w:val="bullet"/>
      <w:lvlText w:val="o"/>
      <w:lvlJc w:val="left"/>
      <w:pPr>
        <w:tabs>
          <w:tab w:val="num" w:pos="5400"/>
        </w:tabs>
        <w:ind w:left="5400" w:hanging="360"/>
      </w:pPr>
      <w:rPr>
        <w:rFonts w:ascii="Courier New" w:hAnsi="Courier New" w:cs="Courier New" w:hint="default"/>
      </w:rPr>
    </w:lvl>
    <w:lvl w:ilvl="8" w:tplc="7D00EE16" w:tentative="1">
      <w:start w:val="1"/>
      <w:numFmt w:val="bullet"/>
      <w:lvlText w:val=""/>
      <w:lvlJc w:val="left"/>
      <w:pPr>
        <w:tabs>
          <w:tab w:val="num" w:pos="6120"/>
        </w:tabs>
        <w:ind w:left="6120" w:hanging="360"/>
      </w:pPr>
      <w:rPr>
        <w:rFonts w:ascii="Wingdings" w:hAnsi="Wingdings" w:hint="default"/>
      </w:rPr>
    </w:lvl>
  </w:abstractNum>
  <w:abstractNum w:abstractNumId="17">
    <w:nsid w:val="227D51E7"/>
    <w:multiLevelType w:val="hybridMultilevel"/>
    <w:tmpl w:val="8BF0D6A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22D87439"/>
    <w:multiLevelType w:val="hybridMultilevel"/>
    <w:tmpl w:val="E8780352"/>
    <w:lvl w:ilvl="0" w:tplc="48069D7A">
      <w:start w:val="1"/>
      <w:numFmt w:val="bullet"/>
      <w:lvlText w:val=""/>
      <w:lvlJc w:val="left"/>
      <w:pPr>
        <w:tabs>
          <w:tab w:val="num" w:pos="360"/>
        </w:tabs>
        <w:ind w:left="360" w:hanging="360"/>
      </w:pPr>
      <w:rPr>
        <w:rFonts w:ascii="Wingdings" w:hAnsi="Wingdings" w:hint="default"/>
      </w:rPr>
    </w:lvl>
    <w:lvl w:ilvl="1" w:tplc="BB80BD4A" w:tentative="1">
      <w:start w:val="1"/>
      <w:numFmt w:val="bullet"/>
      <w:lvlText w:val="o"/>
      <w:lvlJc w:val="left"/>
      <w:pPr>
        <w:tabs>
          <w:tab w:val="num" w:pos="1080"/>
        </w:tabs>
        <w:ind w:left="1080" w:hanging="360"/>
      </w:pPr>
      <w:rPr>
        <w:rFonts w:ascii="Courier New" w:hAnsi="Courier New" w:cs="Courier New" w:hint="default"/>
      </w:rPr>
    </w:lvl>
    <w:lvl w:ilvl="2" w:tplc="69184ACC" w:tentative="1">
      <w:start w:val="1"/>
      <w:numFmt w:val="bullet"/>
      <w:lvlText w:val=""/>
      <w:lvlJc w:val="left"/>
      <w:pPr>
        <w:tabs>
          <w:tab w:val="num" w:pos="1800"/>
        </w:tabs>
        <w:ind w:left="1800" w:hanging="360"/>
      </w:pPr>
      <w:rPr>
        <w:rFonts w:ascii="Wingdings" w:hAnsi="Wingdings" w:hint="default"/>
      </w:rPr>
    </w:lvl>
    <w:lvl w:ilvl="3" w:tplc="C46297C2" w:tentative="1">
      <w:start w:val="1"/>
      <w:numFmt w:val="bullet"/>
      <w:lvlText w:val=""/>
      <w:lvlJc w:val="left"/>
      <w:pPr>
        <w:tabs>
          <w:tab w:val="num" w:pos="2520"/>
        </w:tabs>
        <w:ind w:left="2520" w:hanging="360"/>
      </w:pPr>
      <w:rPr>
        <w:rFonts w:ascii="Symbol" w:hAnsi="Symbol" w:hint="default"/>
      </w:rPr>
    </w:lvl>
    <w:lvl w:ilvl="4" w:tplc="6BE82072" w:tentative="1">
      <w:start w:val="1"/>
      <w:numFmt w:val="bullet"/>
      <w:lvlText w:val="o"/>
      <w:lvlJc w:val="left"/>
      <w:pPr>
        <w:tabs>
          <w:tab w:val="num" w:pos="3240"/>
        </w:tabs>
        <w:ind w:left="3240" w:hanging="360"/>
      </w:pPr>
      <w:rPr>
        <w:rFonts w:ascii="Courier New" w:hAnsi="Courier New" w:cs="Courier New" w:hint="default"/>
      </w:rPr>
    </w:lvl>
    <w:lvl w:ilvl="5" w:tplc="2506A396" w:tentative="1">
      <w:start w:val="1"/>
      <w:numFmt w:val="bullet"/>
      <w:lvlText w:val=""/>
      <w:lvlJc w:val="left"/>
      <w:pPr>
        <w:tabs>
          <w:tab w:val="num" w:pos="3960"/>
        </w:tabs>
        <w:ind w:left="3960" w:hanging="360"/>
      </w:pPr>
      <w:rPr>
        <w:rFonts w:ascii="Wingdings" w:hAnsi="Wingdings" w:hint="default"/>
      </w:rPr>
    </w:lvl>
    <w:lvl w:ilvl="6" w:tplc="25B296D4" w:tentative="1">
      <w:start w:val="1"/>
      <w:numFmt w:val="bullet"/>
      <w:lvlText w:val=""/>
      <w:lvlJc w:val="left"/>
      <w:pPr>
        <w:tabs>
          <w:tab w:val="num" w:pos="4680"/>
        </w:tabs>
        <w:ind w:left="4680" w:hanging="360"/>
      </w:pPr>
      <w:rPr>
        <w:rFonts w:ascii="Symbol" w:hAnsi="Symbol" w:hint="default"/>
      </w:rPr>
    </w:lvl>
    <w:lvl w:ilvl="7" w:tplc="AC502D28" w:tentative="1">
      <w:start w:val="1"/>
      <w:numFmt w:val="bullet"/>
      <w:lvlText w:val="o"/>
      <w:lvlJc w:val="left"/>
      <w:pPr>
        <w:tabs>
          <w:tab w:val="num" w:pos="5400"/>
        </w:tabs>
        <w:ind w:left="5400" w:hanging="360"/>
      </w:pPr>
      <w:rPr>
        <w:rFonts w:ascii="Courier New" w:hAnsi="Courier New" w:cs="Courier New" w:hint="default"/>
      </w:rPr>
    </w:lvl>
    <w:lvl w:ilvl="8" w:tplc="BA3894A6" w:tentative="1">
      <w:start w:val="1"/>
      <w:numFmt w:val="bullet"/>
      <w:lvlText w:val=""/>
      <w:lvlJc w:val="left"/>
      <w:pPr>
        <w:tabs>
          <w:tab w:val="num" w:pos="6120"/>
        </w:tabs>
        <w:ind w:left="6120" w:hanging="360"/>
      </w:pPr>
      <w:rPr>
        <w:rFonts w:ascii="Wingdings" w:hAnsi="Wingdings" w:hint="default"/>
      </w:rPr>
    </w:lvl>
  </w:abstractNum>
  <w:abstractNum w:abstractNumId="19">
    <w:nsid w:val="24476AA1"/>
    <w:multiLevelType w:val="hybridMultilevel"/>
    <w:tmpl w:val="E1806C4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2AB770E7"/>
    <w:multiLevelType w:val="hybridMultilevel"/>
    <w:tmpl w:val="4FB64A32"/>
    <w:lvl w:ilvl="0" w:tplc="F004816C">
      <w:start w:val="70"/>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2B9E19A1"/>
    <w:multiLevelType w:val="hybridMultilevel"/>
    <w:tmpl w:val="DD049F14"/>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nsid w:val="2D305562"/>
    <w:multiLevelType w:val="hybridMultilevel"/>
    <w:tmpl w:val="46FA44A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nsid w:val="2D821583"/>
    <w:multiLevelType w:val="hybridMultilevel"/>
    <w:tmpl w:val="CA70DBE4"/>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nsid w:val="2DBE1015"/>
    <w:multiLevelType w:val="hybridMultilevel"/>
    <w:tmpl w:val="62E435E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5">
    <w:nsid w:val="317D404C"/>
    <w:multiLevelType w:val="hybridMultilevel"/>
    <w:tmpl w:val="EB5E253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nsid w:val="32D9700D"/>
    <w:multiLevelType w:val="hybridMultilevel"/>
    <w:tmpl w:val="41BC3BB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nsid w:val="32E36BA3"/>
    <w:multiLevelType w:val="hybridMultilevel"/>
    <w:tmpl w:val="16B8E72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nsid w:val="35BE67AB"/>
    <w:multiLevelType w:val="hybridMultilevel"/>
    <w:tmpl w:val="D1761F1C"/>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nsid w:val="399B322E"/>
    <w:multiLevelType w:val="hybridMultilevel"/>
    <w:tmpl w:val="7B8870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B8C2D87"/>
    <w:multiLevelType w:val="hybridMultilevel"/>
    <w:tmpl w:val="6590BA4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nsid w:val="3C6A7826"/>
    <w:multiLevelType w:val="hybridMultilevel"/>
    <w:tmpl w:val="7D2C6726"/>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3DD30E01"/>
    <w:multiLevelType w:val="hybridMultilevel"/>
    <w:tmpl w:val="CE86800A"/>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3DD84E39"/>
    <w:multiLevelType w:val="hybridMultilevel"/>
    <w:tmpl w:val="60342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117640C"/>
    <w:multiLevelType w:val="hybridMultilevel"/>
    <w:tmpl w:val="C3D685E6"/>
    <w:lvl w:ilvl="0" w:tplc="EDAC5D6A">
      <w:start w:val="1"/>
      <w:numFmt w:val="bullet"/>
      <w:lvlText w:val=""/>
      <w:lvlJc w:val="left"/>
      <w:pPr>
        <w:tabs>
          <w:tab w:val="num" w:pos="720"/>
        </w:tabs>
        <w:ind w:left="720" w:hanging="360"/>
      </w:pPr>
      <w:rPr>
        <w:rFonts w:ascii="Wingdings" w:hAnsi="Wingdings" w:hint="default"/>
      </w:rPr>
    </w:lvl>
    <w:lvl w:ilvl="1" w:tplc="43F2FF0A">
      <w:start w:val="1"/>
      <w:numFmt w:val="bullet"/>
      <w:lvlText w:val="o"/>
      <w:lvlJc w:val="left"/>
      <w:pPr>
        <w:tabs>
          <w:tab w:val="num" w:pos="1440"/>
        </w:tabs>
        <w:ind w:left="1440" w:hanging="360"/>
      </w:pPr>
      <w:rPr>
        <w:rFonts w:ascii="Courier New" w:hAnsi="Courier New" w:cs="Courier New" w:hint="default"/>
      </w:rPr>
    </w:lvl>
    <w:lvl w:ilvl="2" w:tplc="F03256BE" w:tentative="1">
      <w:start w:val="1"/>
      <w:numFmt w:val="bullet"/>
      <w:lvlText w:val=""/>
      <w:lvlJc w:val="left"/>
      <w:pPr>
        <w:tabs>
          <w:tab w:val="num" w:pos="2160"/>
        </w:tabs>
        <w:ind w:left="2160" w:hanging="360"/>
      </w:pPr>
      <w:rPr>
        <w:rFonts w:ascii="Wingdings" w:hAnsi="Wingdings" w:hint="default"/>
      </w:rPr>
    </w:lvl>
    <w:lvl w:ilvl="3" w:tplc="0D18B880" w:tentative="1">
      <w:start w:val="1"/>
      <w:numFmt w:val="bullet"/>
      <w:lvlText w:val=""/>
      <w:lvlJc w:val="left"/>
      <w:pPr>
        <w:tabs>
          <w:tab w:val="num" w:pos="2880"/>
        </w:tabs>
        <w:ind w:left="2880" w:hanging="360"/>
      </w:pPr>
      <w:rPr>
        <w:rFonts w:ascii="Symbol" w:hAnsi="Symbol" w:hint="default"/>
      </w:rPr>
    </w:lvl>
    <w:lvl w:ilvl="4" w:tplc="88EC4FC6" w:tentative="1">
      <w:start w:val="1"/>
      <w:numFmt w:val="bullet"/>
      <w:lvlText w:val="o"/>
      <w:lvlJc w:val="left"/>
      <w:pPr>
        <w:tabs>
          <w:tab w:val="num" w:pos="3600"/>
        </w:tabs>
        <w:ind w:left="3600" w:hanging="360"/>
      </w:pPr>
      <w:rPr>
        <w:rFonts w:ascii="Courier New" w:hAnsi="Courier New" w:cs="Courier New" w:hint="default"/>
      </w:rPr>
    </w:lvl>
    <w:lvl w:ilvl="5" w:tplc="B992B190" w:tentative="1">
      <w:start w:val="1"/>
      <w:numFmt w:val="bullet"/>
      <w:lvlText w:val=""/>
      <w:lvlJc w:val="left"/>
      <w:pPr>
        <w:tabs>
          <w:tab w:val="num" w:pos="4320"/>
        </w:tabs>
        <w:ind w:left="4320" w:hanging="360"/>
      </w:pPr>
      <w:rPr>
        <w:rFonts w:ascii="Wingdings" w:hAnsi="Wingdings" w:hint="default"/>
      </w:rPr>
    </w:lvl>
    <w:lvl w:ilvl="6" w:tplc="923EF274" w:tentative="1">
      <w:start w:val="1"/>
      <w:numFmt w:val="bullet"/>
      <w:lvlText w:val=""/>
      <w:lvlJc w:val="left"/>
      <w:pPr>
        <w:tabs>
          <w:tab w:val="num" w:pos="5040"/>
        </w:tabs>
        <w:ind w:left="5040" w:hanging="360"/>
      </w:pPr>
      <w:rPr>
        <w:rFonts w:ascii="Symbol" w:hAnsi="Symbol" w:hint="default"/>
      </w:rPr>
    </w:lvl>
    <w:lvl w:ilvl="7" w:tplc="03089BD8" w:tentative="1">
      <w:start w:val="1"/>
      <w:numFmt w:val="bullet"/>
      <w:lvlText w:val="o"/>
      <w:lvlJc w:val="left"/>
      <w:pPr>
        <w:tabs>
          <w:tab w:val="num" w:pos="5760"/>
        </w:tabs>
        <w:ind w:left="5760" w:hanging="360"/>
      </w:pPr>
      <w:rPr>
        <w:rFonts w:ascii="Courier New" w:hAnsi="Courier New" w:cs="Courier New" w:hint="default"/>
      </w:rPr>
    </w:lvl>
    <w:lvl w:ilvl="8" w:tplc="3FF2883E" w:tentative="1">
      <w:start w:val="1"/>
      <w:numFmt w:val="bullet"/>
      <w:lvlText w:val=""/>
      <w:lvlJc w:val="left"/>
      <w:pPr>
        <w:tabs>
          <w:tab w:val="num" w:pos="6480"/>
        </w:tabs>
        <w:ind w:left="6480" w:hanging="360"/>
      </w:pPr>
      <w:rPr>
        <w:rFonts w:ascii="Wingdings" w:hAnsi="Wingdings" w:hint="default"/>
      </w:rPr>
    </w:lvl>
  </w:abstractNum>
  <w:abstractNum w:abstractNumId="35">
    <w:nsid w:val="41326396"/>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417F5871"/>
    <w:multiLevelType w:val="hybridMultilevel"/>
    <w:tmpl w:val="611AAA7C"/>
    <w:lvl w:ilvl="0" w:tplc="7CD2FFF4">
      <w:start w:val="1"/>
      <w:numFmt w:val="bullet"/>
      <w:lvlText w:val=""/>
      <w:lvlJc w:val="left"/>
      <w:pPr>
        <w:tabs>
          <w:tab w:val="num" w:pos="360"/>
        </w:tabs>
        <w:ind w:left="360" w:hanging="360"/>
      </w:pPr>
      <w:rPr>
        <w:rFonts w:ascii="Wingdings" w:hAnsi="Wingdings" w:hint="default"/>
      </w:rPr>
    </w:lvl>
    <w:lvl w:ilvl="1" w:tplc="F110838C" w:tentative="1">
      <w:start w:val="1"/>
      <w:numFmt w:val="bullet"/>
      <w:lvlText w:val="o"/>
      <w:lvlJc w:val="left"/>
      <w:pPr>
        <w:tabs>
          <w:tab w:val="num" w:pos="1080"/>
        </w:tabs>
        <w:ind w:left="1080" w:hanging="360"/>
      </w:pPr>
      <w:rPr>
        <w:rFonts w:ascii="Courier New" w:hAnsi="Courier New" w:cs="Courier New" w:hint="default"/>
      </w:rPr>
    </w:lvl>
    <w:lvl w:ilvl="2" w:tplc="F6B416CE" w:tentative="1">
      <w:start w:val="1"/>
      <w:numFmt w:val="bullet"/>
      <w:lvlText w:val=""/>
      <w:lvlJc w:val="left"/>
      <w:pPr>
        <w:tabs>
          <w:tab w:val="num" w:pos="1800"/>
        </w:tabs>
        <w:ind w:left="1800" w:hanging="360"/>
      </w:pPr>
      <w:rPr>
        <w:rFonts w:ascii="Wingdings" w:hAnsi="Wingdings" w:hint="default"/>
      </w:rPr>
    </w:lvl>
    <w:lvl w:ilvl="3" w:tplc="5784C73C" w:tentative="1">
      <w:start w:val="1"/>
      <w:numFmt w:val="bullet"/>
      <w:lvlText w:val=""/>
      <w:lvlJc w:val="left"/>
      <w:pPr>
        <w:tabs>
          <w:tab w:val="num" w:pos="2520"/>
        </w:tabs>
        <w:ind w:left="2520" w:hanging="360"/>
      </w:pPr>
      <w:rPr>
        <w:rFonts w:ascii="Symbol" w:hAnsi="Symbol" w:hint="default"/>
      </w:rPr>
    </w:lvl>
    <w:lvl w:ilvl="4" w:tplc="E1A292D2" w:tentative="1">
      <w:start w:val="1"/>
      <w:numFmt w:val="bullet"/>
      <w:lvlText w:val="o"/>
      <w:lvlJc w:val="left"/>
      <w:pPr>
        <w:tabs>
          <w:tab w:val="num" w:pos="3240"/>
        </w:tabs>
        <w:ind w:left="3240" w:hanging="360"/>
      </w:pPr>
      <w:rPr>
        <w:rFonts w:ascii="Courier New" w:hAnsi="Courier New" w:cs="Courier New" w:hint="default"/>
      </w:rPr>
    </w:lvl>
    <w:lvl w:ilvl="5" w:tplc="F0C413C6" w:tentative="1">
      <w:start w:val="1"/>
      <w:numFmt w:val="bullet"/>
      <w:lvlText w:val=""/>
      <w:lvlJc w:val="left"/>
      <w:pPr>
        <w:tabs>
          <w:tab w:val="num" w:pos="3960"/>
        </w:tabs>
        <w:ind w:left="3960" w:hanging="360"/>
      </w:pPr>
      <w:rPr>
        <w:rFonts w:ascii="Wingdings" w:hAnsi="Wingdings" w:hint="default"/>
      </w:rPr>
    </w:lvl>
    <w:lvl w:ilvl="6" w:tplc="1AC42DE0" w:tentative="1">
      <w:start w:val="1"/>
      <w:numFmt w:val="bullet"/>
      <w:lvlText w:val=""/>
      <w:lvlJc w:val="left"/>
      <w:pPr>
        <w:tabs>
          <w:tab w:val="num" w:pos="4680"/>
        </w:tabs>
        <w:ind w:left="4680" w:hanging="360"/>
      </w:pPr>
      <w:rPr>
        <w:rFonts w:ascii="Symbol" w:hAnsi="Symbol" w:hint="default"/>
      </w:rPr>
    </w:lvl>
    <w:lvl w:ilvl="7" w:tplc="642686D4" w:tentative="1">
      <w:start w:val="1"/>
      <w:numFmt w:val="bullet"/>
      <w:lvlText w:val="o"/>
      <w:lvlJc w:val="left"/>
      <w:pPr>
        <w:tabs>
          <w:tab w:val="num" w:pos="5400"/>
        </w:tabs>
        <w:ind w:left="5400" w:hanging="360"/>
      </w:pPr>
      <w:rPr>
        <w:rFonts w:ascii="Courier New" w:hAnsi="Courier New" w:cs="Courier New" w:hint="default"/>
      </w:rPr>
    </w:lvl>
    <w:lvl w:ilvl="8" w:tplc="D79ABD0A" w:tentative="1">
      <w:start w:val="1"/>
      <w:numFmt w:val="bullet"/>
      <w:lvlText w:val=""/>
      <w:lvlJc w:val="left"/>
      <w:pPr>
        <w:tabs>
          <w:tab w:val="num" w:pos="6120"/>
        </w:tabs>
        <w:ind w:left="6120" w:hanging="360"/>
      </w:pPr>
      <w:rPr>
        <w:rFonts w:ascii="Wingdings" w:hAnsi="Wingdings" w:hint="default"/>
      </w:rPr>
    </w:lvl>
  </w:abstractNum>
  <w:abstractNum w:abstractNumId="37">
    <w:nsid w:val="42CA085C"/>
    <w:multiLevelType w:val="singleLevel"/>
    <w:tmpl w:val="9AF06992"/>
    <w:lvl w:ilvl="0">
      <w:start w:val="1"/>
      <w:numFmt w:val="bullet"/>
      <w:pStyle w:val="ListBullet"/>
      <w:lvlText w:val=""/>
      <w:lvlJc w:val="left"/>
      <w:pPr>
        <w:tabs>
          <w:tab w:val="num" w:pos="360"/>
        </w:tabs>
        <w:ind w:left="360" w:hanging="360"/>
      </w:pPr>
      <w:rPr>
        <w:rFonts w:ascii="Wingdings" w:hAnsi="Wingdings" w:hint="default"/>
        <w:sz w:val="28"/>
      </w:rPr>
    </w:lvl>
  </w:abstractNum>
  <w:abstractNum w:abstractNumId="38">
    <w:nsid w:val="433056AA"/>
    <w:multiLevelType w:val="singleLevel"/>
    <w:tmpl w:val="7A3837B0"/>
    <w:lvl w:ilvl="0">
      <w:numFmt w:val="bullet"/>
      <w:pStyle w:val="ListBullet3"/>
      <w:lvlText w:val="—"/>
      <w:lvlJc w:val="left"/>
      <w:pPr>
        <w:tabs>
          <w:tab w:val="num" w:pos="360"/>
        </w:tabs>
        <w:ind w:left="360" w:hanging="360"/>
      </w:pPr>
      <w:rPr>
        <w:rFonts w:ascii="Times New Roman" w:hAnsi="Times New Roman" w:hint="default"/>
      </w:rPr>
    </w:lvl>
  </w:abstractNum>
  <w:abstractNum w:abstractNumId="39">
    <w:nsid w:val="46555E56"/>
    <w:multiLevelType w:val="hybridMultilevel"/>
    <w:tmpl w:val="A968772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47304DA8"/>
    <w:multiLevelType w:val="hybridMultilevel"/>
    <w:tmpl w:val="EBFCCA34"/>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1">
    <w:nsid w:val="473D251C"/>
    <w:multiLevelType w:val="hybridMultilevel"/>
    <w:tmpl w:val="AF7005C6"/>
    <w:lvl w:ilvl="0" w:tplc="52BC79D8">
      <w:start w:val="1"/>
      <w:numFmt w:val="bullet"/>
      <w:lvlText w:val=""/>
      <w:lvlJc w:val="left"/>
      <w:pPr>
        <w:tabs>
          <w:tab w:val="num" w:pos="360"/>
        </w:tabs>
        <w:ind w:left="360" w:hanging="360"/>
      </w:pPr>
      <w:rPr>
        <w:rFonts w:ascii="Wingdings" w:hAnsi="Wingdings" w:hint="default"/>
      </w:rPr>
    </w:lvl>
    <w:lvl w:ilvl="1" w:tplc="C212CFF8" w:tentative="1">
      <w:start w:val="1"/>
      <w:numFmt w:val="bullet"/>
      <w:lvlText w:val="o"/>
      <w:lvlJc w:val="left"/>
      <w:pPr>
        <w:tabs>
          <w:tab w:val="num" w:pos="1080"/>
        </w:tabs>
        <w:ind w:left="1080" w:hanging="360"/>
      </w:pPr>
      <w:rPr>
        <w:rFonts w:ascii="Courier New" w:hAnsi="Courier New" w:cs="Courier New" w:hint="default"/>
      </w:rPr>
    </w:lvl>
    <w:lvl w:ilvl="2" w:tplc="19DA26A4" w:tentative="1">
      <w:start w:val="1"/>
      <w:numFmt w:val="bullet"/>
      <w:lvlText w:val=""/>
      <w:lvlJc w:val="left"/>
      <w:pPr>
        <w:tabs>
          <w:tab w:val="num" w:pos="1800"/>
        </w:tabs>
        <w:ind w:left="1800" w:hanging="360"/>
      </w:pPr>
      <w:rPr>
        <w:rFonts w:ascii="Wingdings" w:hAnsi="Wingdings" w:hint="default"/>
      </w:rPr>
    </w:lvl>
    <w:lvl w:ilvl="3" w:tplc="E5EC4C84" w:tentative="1">
      <w:start w:val="1"/>
      <w:numFmt w:val="bullet"/>
      <w:lvlText w:val=""/>
      <w:lvlJc w:val="left"/>
      <w:pPr>
        <w:tabs>
          <w:tab w:val="num" w:pos="2520"/>
        </w:tabs>
        <w:ind w:left="2520" w:hanging="360"/>
      </w:pPr>
      <w:rPr>
        <w:rFonts w:ascii="Symbol" w:hAnsi="Symbol" w:hint="default"/>
      </w:rPr>
    </w:lvl>
    <w:lvl w:ilvl="4" w:tplc="F774B52E" w:tentative="1">
      <w:start w:val="1"/>
      <w:numFmt w:val="bullet"/>
      <w:lvlText w:val="o"/>
      <w:lvlJc w:val="left"/>
      <w:pPr>
        <w:tabs>
          <w:tab w:val="num" w:pos="3240"/>
        </w:tabs>
        <w:ind w:left="3240" w:hanging="360"/>
      </w:pPr>
      <w:rPr>
        <w:rFonts w:ascii="Courier New" w:hAnsi="Courier New" w:cs="Courier New" w:hint="default"/>
      </w:rPr>
    </w:lvl>
    <w:lvl w:ilvl="5" w:tplc="32F066BA" w:tentative="1">
      <w:start w:val="1"/>
      <w:numFmt w:val="bullet"/>
      <w:lvlText w:val=""/>
      <w:lvlJc w:val="left"/>
      <w:pPr>
        <w:tabs>
          <w:tab w:val="num" w:pos="3960"/>
        </w:tabs>
        <w:ind w:left="3960" w:hanging="360"/>
      </w:pPr>
      <w:rPr>
        <w:rFonts w:ascii="Wingdings" w:hAnsi="Wingdings" w:hint="default"/>
      </w:rPr>
    </w:lvl>
    <w:lvl w:ilvl="6" w:tplc="4768B30C" w:tentative="1">
      <w:start w:val="1"/>
      <w:numFmt w:val="bullet"/>
      <w:lvlText w:val=""/>
      <w:lvlJc w:val="left"/>
      <w:pPr>
        <w:tabs>
          <w:tab w:val="num" w:pos="4680"/>
        </w:tabs>
        <w:ind w:left="4680" w:hanging="360"/>
      </w:pPr>
      <w:rPr>
        <w:rFonts w:ascii="Symbol" w:hAnsi="Symbol" w:hint="default"/>
      </w:rPr>
    </w:lvl>
    <w:lvl w:ilvl="7" w:tplc="7E945AF8" w:tentative="1">
      <w:start w:val="1"/>
      <w:numFmt w:val="bullet"/>
      <w:lvlText w:val="o"/>
      <w:lvlJc w:val="left"/>
      <w:pPr>
        <w:tabs>
          <w:tab w:val="num" w:pos="5400"/>
        </w:tabs>
        <w:ind w:left="5400" w:hanging="360"/>
      </w:pPr>
      <w:rPr>
        <w:rFonts w:ascii="Courier New" w:hAnsi="Courier New" w:cs="Courier New" w:hint="default"/>
      </w:rPr>
    </w:lvl>
    <w:lvl w:ilvl="8" w:tplc="678A70CA" w:tentative="1">
      <w:start w:val="1"/>
      <w:numFmt w:val="bullet"/>
      <w:lvlText w:val=""/>
      <w:lvlJc w:val="left"/>
      <w:pPr>
        <w:tabs>
          <w:tab w:val="num" w:pos="6120"/>
        </w:tabs>
        <w:ind w:left="6120" w:hanging="360"/>
      </w:pPr>
      <w:rPr>
        <w:rFonts w:ascii="Wingdings" w:hAnsi="Wingdings" w:hint="default"/>
      </w:rPr>
    </w:lvl>
  </w:abstractNum>
  <w:abstractNum w:abstractNumId="42">
    <w:nsid w:val="482E5724"/>
    <w:multiLevelType w:val="hybridMultilevel"/>
    <w:tmpl w:val="6FC8EDF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3">
    <w:nsid w:val="4B943FFC"/>
    <w:multiLevelType w:val="multilevel"/>
    <w:tmpl w:val="0C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4D004F21"/>
    <w:multiLevelType w:val="hybridMultilevel"/>
    <w:tmpl w:val="E3B68212"/>
    <w:lvl w:ilvl="0" w:tplc="FFFFFFFF">
      <w:start w:val="1"/>
      <w:numFmt w:val="bullet"/>
      <w:lvlText w:val=""/>
      <w:lvlJc w:val="left"/>
      <w:pPr>
        <w:tabs>
          <w:tab w:val="num" w:pos="360"/>
        </w:tabs>
        <w:ind w:left="360" w:hanging="360"/>
      </w:pPr>
      <w:rPr>
        <w:rFonts w:ascii="Wingdings" w:hAnsi="Wingdings" w:hint="default"/>
      </w:rPr>
    </w:lvl>
    <w:lvl w:ilvl="1" w:tplc="0C090005">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5">
    <w:nsid w:val="4DE63E21"/>
    <w:multiLevelType w:val="hybridMultilevel"/>
    <w:tmpl w:val="171CD90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6">
    <w:nsid w:val="4F5110C7"/>
    <w:multiLevelType w:val="hybridMultilevel"/>
    <w:tmpl w:val="84D08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0BA3CDD"/>
    <w:multiLevelType w:val="hybridMultilevel"/>
    <w:tmpl w:val="F2EC0944"/>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8">
    <w:nsid w:val="52D32FD4"/>
    <w:multiLevelType w:val="hybridMultilevel"/>
    <w:tmpl w:val="2034E1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53041042"/>
    <w:multiLevelType w:val="hybridMultilevel"/>
    <w:tmpl w:val="D2C68AC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0">
    <w:nsid w:val="561E0B67"/>
    <w:multiLevelType w:val="hybridMultilevel"/>
    <w:tmpl w:val="51DA9BF2"/>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1">
    <w:nsid w:val="56BA5451"/>
    <w:multiLevelType w:val="hybridMultilevel"/>
    <w:tmpl w:val="5B647564"/>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2">
    <w:nsid w:val="57953DB3"/>
    <w:multiLevelType w:val="hybridMultilevel"/>
    <w:tmpl w:val="800A8276"/>
    <w:lvl w:ilvl="0" w:tplc="0C090005">
      <w:start w:val="1"/>
      <w:numFmt w:val="bullet"/>
      <w:lvlText w:val=""/>
      <w:lvlJc w:val="left"/>
      <w:pPr>
        <w:tabs>
          <w:tab w:val="num" w:pos="360"/>
        </w:tabs>
        <w:ind w:left="360" w:hanging="360"/>
      </w:pPr>
      <w:rPr>
        <w:rFonts w:ascii="Wingdings" w:hAnsi="Wingdings" w:hint="default"/>
      </w:rPr>
    </w:lvl>
    <w:lvl w:ilvl="1" w:tplc="0C090005">
      <w:start w:val="1"/>
      <w:numFmt w:val="bullet"/>
      <w:lvlText w:val=""/>
      <w:lvlJc w:val="left"/>
      <w:pPr>
        <w:tabs>
          <w:tab w:val="num" w:pos="1080"/>
        </w:tabs>
        <w:ind w:left="1080" w:hanging="360"/>
      </w:pPr>
      <w:rPr>
        <w:rFonts w:ascii="Wingdings" w:hAnsi="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3">
    <w:nsid w:val="59BE110D"/>
    <w:multiLevelType w:val="hybridMultilevel"/>
    <w:tmpl w:val="CB3A0418"/>
    <w:lvl w:ilvl="0" w:tplc="F092C8A0">
      <w:start w:val="1"/>
      <w:numFmt w:val="bullet"/>
      <w:lvlText w:val=""/>
      <w:lvlJc w:val="left"/>
      <w:pPr>
        <w:tabs>
          <w:tab w:val="num" w:pos="360"/>
        </w:tabs>
        <w:ind w:left="360" w:hanging="360"/>
      </w:pPr>
      <w:rPr>
        <w:rFonts w:ascii="Wingdings" w:hAnsi="Wingdings" w:hint="default"/>
      </w:rPr>
    </w:lvl>
    <w:lvl w:ilvl="1" w:tplc="32766A04" w:tentative="1">
      <w:start w:val="1"/>
      <w:numFmt w:val="bullet"/>
      <w:lvlText w:val="o"/>
      <w:lvlJc w:val="left"/>
      <w:pPr>
        <w:tabs>
          <w:tab w:val="num" w:pos="1080"/>
        </w:tabs>
        <w:ind w:left="1080" w:hanging="360"/>
      </w:pPr>
      <w:rPr>
        <w:rFonts w:ascii="Courier New" w:hAnsi="Courier New" w:cs="Courier New" w:hint="default"/>
      </w:rPr>
    </w:lvl>
    <w:lvl w:ilvl="2" w:tplc="A38A862E" w:tentative="1">
      <w:start w:val="1"/>
      <w:numFmt w:val="bullet"/>
      <w:lvlText w:val=""/>
      <w:lvlJc w:val="left"/>
      <w:pPr>
        <w:tabs>
          <w:tab w:val="num" w:pos="1800"/>
        </w:tabs>
        <w:ind w:left="1800" w:hanging="360"/>
      </w:pPr>
      <w:rPr>
        <w:rFonts w:ascii="Wingdings" w:hAnsi="Wingdings" w:hint="default"/>
      </w:rPr>
    </w:lvl>
    <w:lvl w:ilvl="3" w:tplc="1E2267BE" w:tentative="1">
      <w:start w:val="1"/>
      <w:numFmt w:val="bullet"/>
      <w:lvlText w:val=""/>
      <w:lvlJc w:val="left"/>
      <w:pPr>
        <w:tabs>
          <w:tab w:val="num" w:pos="2520"/>
        </w:tabs>
        <w:ind w:left="2520" w:hanging="360"/>
      </w:pPr>
      <w:rPr>
        <w:rFonts w:ascii="Symbol" w:hAnsi="Symbol" w:hint="default"/>
      </w:rPr>
    </w:lvl>
    <w:lvl w:ilvl="4" w:tplc="6F98BC2C" w:tentative="1">
      <w:start w:val="1"/>
      <w:numFmt w:val="bullet"/>
      <w:lvlText w:val="o"/>
      <w:lvlJc w:val="left"/>
      <w:pPr>
        <w:tabs>
          <w:tab w:val="num" w:pos="3240"/>
        </w:tabs>
        <w:ind w:left="3240" w:hanging="360"/>
      </w:pPr>
      <w:rPr>
        <w:rFonts w:ascii="Courier New" w:hAnsi="Courier New" w:cs="Courier New" w:hint="default"/>
      </w:rPr>
    </w:lvl>
    <w:lvl w:ilvl="5" w:tplc="574C5AB8" w:tentative="1">
      <w:start w:val="1"/>
      <w:numFmt w:val="bullet"/>
      <w:lvlText w:val=""/>
      <w:lvlJc w:val="left"/>
      <w:pPr>
        <w:tabs>
          <w:tab w:val="num" w:pos="3960"/>
        </w:tabs>
        <w:ind w:left="3960" w:hanging="360"/>
      </w:pPr>
      <w:rPr>
        <w:rFonts w:ascii="Wingdings" w:hAnsi="Wingdings" w:hint="default"/>
      </w:rPr>
    </w:lvl>
    <w:lvl w:ilvl="6" w:tplc="E15073F0" w:tentative="1">
      <w:start w:val="1"/>
      <w:numFmt w:val="bullet"/>
      <w:lvlText w:val=""/>
      <w:lvlJc w:val="left"/>
      <w:pPr>
        <w:tabs>
          <w:tab w:val="num" w:pos="4680"/>
        </w:tabs>
        <w:ind w:left="4680" w:hanging="360"/>
      </w:pPr>
      <w:rPr>
        <w:rFonts w:ascii="Symbol" w:hAnsi="Symbol" w:hint="default"/>
      </w:rPr>
    </w:lvl>
    <w:lvl w:ilvl="7" w:tplc="62222DD6" w:tentative="1">
      <w:start w:val="1"/>
      <w:numFmt w:val="bullet"/>
      <w:lvlText w:val="o"/>
      <w:lvlJc w:val="left"/>
      <w:pPr>
        <w:tabs>
          <w:tab w:val="num" w:pos="5400"/>
        </w:tabs>
        <w:ind w:left="5400" w:hanging="360"/>
      </w:pPr>
      <w:rPr>
        <w:rFonts w:ascii="Courier New" w:hAnsi="Courier New" w:cs="Courier New" w:hint="default"/>
      </w:rPr>
    </w:lvl>
    <w:lvl w:ilvl="8" w:tplc="CBA2BF32" w:tentative="1">
      <w:start w:val="1"/>
      <w:numFmt w:val="bullet"/>
      <w:lvlText w:val=""/>
      <w:lvlJc w:val="left"/>
      <w:pPr>
        <w:tabs>
          <w:tab w:val="num" w:pos="6120"/>
        </w:tabs>
        <w:ind w:left="6120" w:hanging="360"/>
      </w:pPr>
      <w:rPr>
        <w:rFonts w:ascii="Wingdings" w:hAnsi="Wingdings" w:hint="default"/>
      </w:rPr>
    </w:lvl>
  </w:abstractNum>
  <w:abstractNum w:abstractNumId="54">
    <w:nsid w:val="5CFE3EFA"/>
    <w:multiLevelType w:val="hybridMultilevel"/>
    <w:tmpl w:val="6B26F2DC"/>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5">
    <w:nsid w:val="62424A45"/>
    <w:multiLevelType w:val="hybridMultilevel"/>
    <w:tmpl w:val="EDCAF66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6">
    <w:nsid w:val="64666633"/>
    <w:multiLevelType w:val="hybridMultilevel"/>
    <w:tmpl w:val="12D85376"/>
    <w:lvl w:ilvl="0" w:tplc="0C090005">
      <w:start w:val="1"/>
      <w:numFmt w:val="bullet"/>
      <w:lvlText w:val=""/>
      <w:lvlJc w:val="left"/>
      <w:pPr>
        <w:tabs>
          <w:tab w:val="num" w:pos="360"/>
        </w:tabs>
        <w:ind w:left="360" w:hanging="360"/>
      </w:pPr>
      <w:rPr>
        <w:rFonts w:ascii="Wingdings" w:hAnsi="Wingdings" w:hint="default"/>
      </w:rPr>
    </w:lvl>
    <w:lvl w:ilvl="1" w:tplc="0C090003">
      <w:start w:val="1"/>
      <w:numFmt w:val="lowerLetter"/>
      <w:lvlText w:val="%2."/>
      <w:lvlJc w:val="left"/>
      <w:pPr>
        <w:tabs>
          <w:tab w:val="num" w:pos="1080"/>
        </w:tabs>
        <w:ind w:left="1080" w:hanging="360"/>
      </w:pPr>
    </w:lvl>
    <w:lvl w:ilvl="2" w:tplc="0C090005" w:tentative="1">
      <w:start w:val="1"/>
      <w:numFmt w:val="lowerRoman"/>
      <w:lvlText w:val="%3."/>
      <w:lvlJc w:val="right"/>
      <w:pPr>
        <w:tabs>
          <w:tab w:val="num" w:pos="1800"/>
        </w:tabs>
        <w:ind w:left="1800" w:hanging="180"/>
      </w:pPr>
    </w:lvl>
    <w:lvl w:ilvl="3" w:tplc="0C090001" w:tentative="1">
      <w:start w:val="1"/>
      <w:numFmt w:val="decimal"/>
      <w:lvlText w:val="%4."/>
      <w:lvlJc w:val="left"/>
      <w:pPr>
        <w:tabs>
          <w:tab w:val="num" w:pos="2520"/>
        </w:tabs>
        <w:ind w:left="2520" w:hanging="360"/>
      </w:pPr>
    </w:lvl>
    <w:lvl w:ilvl="4" w:tplc="0C090003" w:tentative="1">
      <w:start w:val="1"/>
      <w:numFmt w:val="lowerLetter"/>
      <w:lvlText w:val="%5."/>
      <w:lvlJc w:val="left"/>
      <w:pPr>
        <w:tabs>
          <w:tab w:val="num" w:pos="3240"/>
        </w:tabs>
        <w:ind w:left="3240" w:hanging="360"/>
      </w:pPr>
    </w:lvl>
    <w:lvl w:ilvl="5" w:tplc="0C090005" w:tentative="1">
      <w:start w:val="1"/>
      <w:numFmt w:val="lowerRoman"/>
      <w:lvlText w:val="%6."/>
      <w:lvlJc w:val="right"/>
      <w:pPr>
        <w:tabs>
          <w:tab w:val="num" w:pos="3960"/>
        </w:tabs>
        <w:ind w:left="3960" w:hanging="180"/>
      </w:pPr>
    </w:lvl>
    <w:lvl w:ilvl="6" w:tplc="0C090001" w:tentative="1">
      <w:start w:val="1"/>
      <w:numFmt w:val="decimal"/>
      <w:lvlText w:val="%7."/>
      <w:lvlJc w:val="left"/>
      <w:pPr>
        <w:tabs>
          <w:tab w:val="num" w:pos="4680"/>
        </w:tabs>
        <w:ind w:left="4680" w:hanging="360"/>
      </w:pPr>
    </w:lvl>
    <w:lvl w:ilvl="7" w:tplc="0C090003" w:tentative="1">
      <w:start w:val="1"/>
      <w:numFmt w:val="lowerLetter"/>
      <w:lvlText w:val="%8."/>
      <w:lvlJc w:val="left"/>
      <w:pPr>
        <w:tabs>
          <w:tab w:val="num" w:pos="5400"/>
        </w:tabs>
        <w:ind w:left="5400" w:hanging="360"/>
      </w:pPr>
    </w:lvl>
    <w:lvl w:ilvl="8" w:tplc="0C090005" w:tentative="1">
      <w:start w:val="1"/>
      <w:numFmt w:val="lowerRoman"/>
      <w:lvlText w:val="%9."/>
      <w:lvlJc w:val="right"/>
      <w:pPr>
        <w:tabs>
          <w:tab w:val="num" w:pos="6120"/>
        </w:tabs>
        <w:ind w:left="6120" w:hanging="180"/>
      </w:pPr>
    </w:lvl>
  </w:abstractNum>
  <w:abstractNum w:abstractNumId="57">
    <w:nsid w:val="650000FC"/>
    <w:multiLevelType w:val="hybridMultilevel"/>
    <w:tmpl w:val="EB40A830"/>
    <w:lvl w:ilvl="0" w:tplc="31CE3492">
      <w:start w:val="1"/>
      <w:numFmt w:val="bullet"/>
      <w:lvlText w:val=""/>
      <w:lvlJc w:val="left"/>
      <w:pPr>
        <w:tabs>
          <w:tab w:val="num" w:pos="360"/>
        </w:tabs>
        <w:ind w:left="360" w:hanging="360"/>
      </w:pPr>
      <w:rPr>
        <w:rFonts w:ascii="Wingdings" w:hAnsi="Wingdings" w:hint="default"/>
      </w:rPr>
    </w:lvl>
    <w:lvl w:ilvl="1" w:tplc="1EF898FE" w:tentative="1">
      <w:start w:val="1"/>
      <w:numFmt w:val="bullet"/>
      <w:lvlText w:val="o"/>
      <w:lvlJc w:val="left"/>
      <w:pPr>
        <w:tabs>
          <w:tab w:val="num" w:pos="1080"/>
        </w:tabs>
        <w:ind w:left="1080" w:hanging="360"/>
      </w:pPr>
      <w:rPr>
        <w:rFonts w:ascii="Courier New" w:hAnsi="Courier New" w:cs="Courier New" w:hint="default"/>
      </w:rPr>
    </w:lvl>
    <w:lvl w:ilvl="2" w:tplc="F804665E" w:tentative="1">
      <w:start w:val="1"/>
      <w:numFmt w:val="bullet"/>
      <w:lvlText w:val=""/>
      <w:lvlJc w:val="left"/>
      <w:pPr>
        <w:tabs>
          <w:tab w:val="num" w:pos="1800"/>
        </w:tabs>
        <w:ind w:left="1800" w:hanging="360"/>
      </w:pPr>
      <w:rPr>
        <w:rFonts w:ascii="Wingdings" w:hAnsi="Wingdings" w:hint="default"/>
      </w:rPr>
    </w:lvl>
    <w:lvl w:ilvl="3" w:tplc="A7F6157C" w:tentative="1">
      <w:start w:val="1"/>
      <w:numFmt w:val="bullet"/>
      <w:lvlText w:val=""/>
      <w:lvlJc w:val="left"/>
      <w:pPr>
        <w:tabs>
          <w:tab w:val="num" w:pos="2520"/>
        </w:tabs>
        <w:ind w:left="2520" w:hanging="360"/>
      </w:pPr>
      <w:rPr>
        <w:rFonts w:ascii="Symbol" w:hAnsi="Symbol" w:hint="default"/>
      </w:rPr>
    </w:lvl>
    <w:lvl w:ilvl="4" w:tplc="A04E740A" w:tentative="1">
      <w:start w:val="1"/>
      <w:numFmt w:val="bullet"/>
      <w:lvlText w:val="o"/>
      <w:lvlJc w:val="left"/>
      <w:pPr>
        <w:tabs>
          <w:tab w:val="num" w:pos="3240"/>
        </w:tabs>
        <w:ind w:left="3240" w:hanging="360"/>
      </w:pPr>
      <w:rPr>
        <w:rFonts w:ascii="Courier New" w:hAnsi="Courier New" w:cs="Courier New" w:hint="default"/>
      </w:rPr>
    </w:lvl>
    <w:lvl w:ilvl="5" w:tplc="0BCCE3D8" w:tentative="1">
      <w:start w:val="1"/>
      <w:numFmt w:val="bullet"/>
      <w:lvlText w:val=""/>
      <w:lvlJc w:val="left"/>
      <w:pPr>
        <w:tabs>
          <w:tab w:val="num" w:pos="3960"/>
        </w:tabs>
        <w:ind w:left="3960" w:hanging="360"/>
      </w:pPr>
      <w:rPr>
        <w:rFonts w:ascii="Wingdings" w:hAnsi="Wingdings" w:hint="default"/>
      </w:rPr>
    </w:lvl>
    <w:lvl w:ilvl="6" w:tplc="94F05AC2" w:tentative="1">
      <w:start w:val="1"/>
      <w:numFmt w:val="bullet"/>
      <w:lvlText w:val=""/>
      <w:lvlJc w:val="left"/>
      <w:pPr>
        <w:tabs>
          <w:tab w:val="num" w:pos="4680"/>
        </w:tabs>
        <w:ind w:left="4680" w:hanging="360"/>
      </w:pPr>
      <w:rPr>
        <w:rFonts w:ascii="Symbol" w:hAnsi="Symbol" w:hint="default"/>
      </w:rPr>
    </w:lvl>
    <w:lvl w:ilvl="7" w:tplc="3918ABB0" w:tentative="1">
      <w:start w:val="1"/>
      <w:numFmt w:val="bullet"/>
      <w:lvlText w:val="o"/>
      <w:lvlJc w:val="left"/>
      <w:pPr>
        <w:tabs>
          <w:tab w:val="num" w:pos="5400"/>
        </w:tabs>
        <w:ind w:left="5400" w:hanging="360"/>
      </w:pPr>
      <w:rPr>
        <w:rFonts w:ascii="Courier New" w:hAnsi="Courier New" w:cs="Courier New" w:hint="default"/>
      </w:rPr>
    </w:lvl>
    <w:lvl w:ilvl="8" w:tplc="0F4AFF8A" w:tentative="1">
      <w:start w:val="1"/>
      <w:numFmt w:val="bullet"/>
      <w:lvlText w:val=""/>
      <w:lvlJc w:val="left"/>
      <w:pPr>
        <w:tabs>
          <w:tab w:val="num" w:pos="6120"/>
        </w:tabs>
        <w:ind w:left="6120" w:hanging="360"/>
      </w:pPr>
      <w:rPr>
        <w:rFonts w:ascii="Wingdings" w:hAnsi="Wingdings" w:hint="default"/>
      </w:rPr>
    </w:lvl>
  </w:abstractNum>
  <w:abstractNum w:abstractNumId="58">
    <w:nsid w:val="65C0508A"/>
    <w:multiLevelType w:val="hybridMultilevel"/>
    <w:tmpl w:val="2D488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66935449"/>
    <w:multiLevelType w:val="hybridMultilevel"/>
    <w:tmpl w:val="80BAC4A8"/>
    <w:lvl w:ilvl="0" w:tplc="880E2574">
      <w:start w:val="1"/>
      <w:numFmt w:val="bullet"/>
      <w:lvlText w:val=""/>
      <w:lvlJc w:val="left"/>
      <w:pPr>
        <w:tabs>
          <w:tab w:val="num" w:pos="360"/>
        </w:tabs>
        <w:ind w:left="360" w:hanging="360"/>
      </w:pPr>
      <w:rPr>
        <w:rFonts w:ascii="Wingdings" w:hAnsi="Wingdings" w:hint="default"/>
      </w:rPr>
    </w:lvl>
    <w:lvl w:ilvl="1" w:tplc="4FC8214A" w:tentative="1">
      <w:start w:val="1"/>
      <w:numFmt w:val="bullet"/>
      <w:lvlText w:val="o"/>
      <w:lvlJc w:val="left"/>
      <w:pPr>
        <w:tabs>
          <w:tab w:val="num" w:pos="1080"/>
        </w:tabs>
        <w:ind w:left="1080" w:hanging="360"/>
      </w:pPr>
      <w:rPr>
        <w:rFonts w:ascii="Courier New" w:hAnsi="Courier New" w:cs="Courier New" w:hint="default"/>
      </w:rPr>
    </w:lvl>
    <w:lvl w:ilvl="2" w:tplc="60C49FFC" w:tentative="1">
      <w:start w:val="1"/>
      <w:numFmt w:val="bullet"/>
      <w:lvlText w:val=""/>
      <w:lvlJc w:val="left"/>
      <w:pPr>
        <w:tabs>
          <w:tab w:val="num" w:pos="1800"/>
        </w:tabs>
        <w:ind w:left="1800" w:hanging="360"/>
      </w:pPr>
      <w:rPr>
        <w:rFonts w:ascii="Wingdings" w:hAnsi="Wingdings" w:hint="default"/>
      </w:rPr>
    </w:lvl>
    <w:lvl w:ilvl="3" w:tplc="31AABF74" w:tentative="1">
      <w:start w:val="1"/>
      <w:numFmt w:val="bullet"/>
      <w:lvlText w:val=""/>
      <w:lvlJc w:val="left"/>
      <w:pPr>
        <w:tabs>
          <w:tab w:val="num" w:pos="2520"/>
        </w:tabs>
        <w:ind w:left="2520" w:hanging="360"/>
      </w:pPr>
      <w:rPr>
        <w:rFonts w:ascii="Symbol" w:hAnsi="Symbol" w:hint="default"/>
      </w:rPr>
    </w:lvl>
    <w:lvl w:ilvl="4" w:tplc="373A1274" w:tentative="1">
      <w:start w:val="1"/>
      <w:numFmt w:val="bullet"/>
      <w:lvlText w:val="o"/>
      <w:lvlJc w:val="left"/>
      <w:pPr>
        <w:tabs>
          <w:tab w:val="num" w:pos="3240"/>
        </w:tabs>
        <w:ind w:left="3240" w:hanging="360"/>
      </w:pPr>
      <w:rPr>
        <w:rFonts w:ascii="Courier New" w:hAnsi="Courier New" w:cs="Courier New" w:hint="default"/>
      </w:rPr>
    </w:lvl>
    <w:lvl w:ilvl="5" w:tplc="58AEA038" w:tentative="1">
      <w:start w:val="1"/>
      <w:numFmt w:val="bullet"/>
      <w:lvlText w:val=""/>
      <w:lvlJc w:val="left"/>
      <w:pPr>
        <w:tabs>
          <w:tab w:val="num" w:pos="3960"/>
        </w:tabs>
        <w:ind w:left="3960" w:hanging="360"/>
      </w:pPr>
      <w:rPr>
        <w:rFonts w:ascii="Wingdings" w:hAnsi="Wingdings" w:hint="default"/>
      </w:rPr>
    </w:lvl>
    <w:lvl w:ilvl="6" w:tplc="FCFC1D26" w:tentative="1">
      <w:start w:val="1"/>
      <w:numFmt w:val="bullet"/>
      <w:lvlText w:val=""/>
      <w:lvlJc w:val="left"/>
      <w:pPr>
        <w:tabs>
          <w:tab w:val="num" w:pos="4680"/>
        </w:tabs>
        <w:ind w:left="4680" w:hanging="360"/>
      </w:pPr>
      <w:rPr>
        <w:rFonts w:ascii="Symbol" w:hAnsi="Symbol" w:hint="default"/>
      </w:rPr>
    </w:lvl>
    <w:lvl w:ilvl="7" w:tplc="AC90817A" w:tentative="1">
      <w:start w:val="1"/>
      <w:numFmt w:val="bullet"/>
      <w:lvlText w:val="o"/>
      <w:lvlJc w:val="left"/>
      <w:pPr>
        <w:tabs>
          <w:tab w:val="num" w:pos="5400"/>
        </w:tabs>
        <w:ind w:left="5400" w:hanging="360"/>
      </w:pPr>
      <w:rPr>
        <w:rFonts w:ascii="Courier New" w:hAnsi="Courier New" w:cs="Courier New" w:hint="default"/>
      </w:rPr>
    </w:lvl>
    <w:lvl w:ilvl="8" w:tplc="AE92B426" w:tentative="1">
      <w:start w:val="1"/>
      <w:numFmt w:val="bullet"/>
      <w:lvlText w:val=""/>
      <w:lvlJc w:val="left"/>
      <w:pPr>
        <w:tabs>
          <w:tab w:val="num" w:pos="6120"/>
        </w:tabs>
        <w:ind w:left="6120" w:hanging="360"/>
      </w:pPr>
      <w:rPr>
        <w:rFonts w:ascii="Wingdings" w:hAnsi="Wingdings" w:hint="default"/>
      </w:rPr>
    </w:lvl>
  </w:abstractNum>
  <w:abstractNum w:abstractNumId="60">
    <w:nsid w:val="69286089"/>
    <w:multiLevelType w:val="hybridMultilevel"/>
    <w:tmpl w:val="5BECF4F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1">
    <w:nsid w:val="6AB45092"/>
    <w:multiLevelType w:val="hybridMultilevel"/>
    <w:tmpl w:val="DFA2F43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2">
    <w:nsid w:val="6C664FE7"/>
    <w:multiLevelType w:val="hybridMultilevel"/>
    <w:tmpl w:val="2842CA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3">
    <w:nsid w:val="6EF45909"/>
    <w:multiLevelType w:val="hybridMultilevel"/>
    <w:tmpl w:val="9EEC591A"/>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4">
    <w:nsid w:val="73460528"/>
    <w:multiLevelType w:val="hybridMultilevel"/>
    <w:tmpl w:val="1B9EC02A"/>
    <w:lvl w:ilvl="0" w:tplc="0C090005">
      <w:start w:val="1"/>
      <w:numFmt w:val="bullet"/>
      <w:lvlText w:val=""/>
      <w:lvlJc w:val="left"/>
      <w:pPr>
        <w:tabs>
          <w:tab w:val="num" w:pos="360"/>
        </w:tabs>
        <w:ind w:left="360" w:hanging="360"/>
      </w:pPr>
      <w:rPr>
        <w:rFonts w:ascii="Wingdings" w:hAnsi="Wingdings" w:hint="default"/>
      </w:rPr>
    </w:lvl>
    <w:lvl w:ilvl="1" w:tplc="0C090005">
      <w:start w:val="1"/>
      <w:numFmt w:val="bullet"/>
      <w:lvlText w:val=""/>
      <w:lvlJc w:val="left"/>
      <w:pPr>
        <w:tabs>
          <w:tab w:val="num" w:pos="1080"/>
        </w:tabs>
        <w:ind w:left="1080" w:hanging="360"/>
      </w:pPr>
      <w:rPr>
        <w:rFonts w:ascii="Wingdings" w:hAnsi="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5">
    <w:nsid w:val="77763A42"/>
    <w:multiLevelType w:val="hybridMultilevel"/>
    <w:tmpl w:val="547EF54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6">
    <w:nsid w:val="78B75593"/>
    <w:multiLevelType w:val="multilevel"/>
    <w:tmpl w:val="10FCF318"/>
    <w:name w:val="legal"/>
    <w:lvl w:ilvl="0">
      <w:start w:val="1"/>
      <w:numFmt w:val="decimal"/>
      <w:pStyle w:val="LegalFirstLevel"/>
      <w:lvlText w:val="%1."/>
      <w:lvlJc w:val="left"/>
      <w:pPr>
        <w:tabs>
          <w:tab w:val="num" w:pos="567"/>
        </w:tabs>
        <w:ind w:left="567" w:hanging="567"/>
      </w:pPr>
      <w:rPr>
        <w:rFonts w:hint="default"/>
        <w:i w:val="0"/>
      </w:rPr>
    </w:lvl>
    <w:lvl w:ilvl="1">
      <w:start w:val="1"/>
      <w:numFmt w:val="lowerLetter"/>
      <w:pStyle w:val="LegalSecondLevel"/>
      <w:lvlText w:val="(%2)"/>
      <w:lvlJc w:val="left"/>
      <w:pPr>
        <w:tabs>
          <w:tab w:val="num" w:pos="1134"/>
        </w:tabs>
        <w:ind w:left="1134" w:hanging="567"/>
      </w:pPr>
      <w:rPr>
        <w:rFonts w:hint="default"/>
      </w:rPr>
    </w:lvl>
    <w:lvl w:ilvl="2">
      <w:start w:val="1"/>
      <w:numFmt w:val="lowerRoman"/>
      <w:pStyle w:val="LegalThirdLevel"/>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937183B"/>
    <w:multiLevelType w:val="hybridMultilevel"/>
    <w:tmpl w:val="2EC0E24C"/>
    <w:lvl w:ilvl="0" w:tplc="F004816C">
      <w:start w:val="16"/>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8">
    <w:nsid w:val="79741EF4"/>
    <w:multiLevelType w:val="multilevel"/>
    <w:tmpl w:val="663C9C5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79BD0C5C"/>
    <w:multiLevelType w:val="hybridMultilevel"/>
    <w:tmpl w:val="70DAD65A"/>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0">
    <w:nsid w:val="7C9A6536"/>
    <w:multiLevelType w:val="hybridMultilevel"/>
    <w:tmpl w:val="4E50C25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1">
    <w:nsid w:val="7D4E7D6B"/>
    <w:multiLevelType w:val="hybridMultilevel"/>
    <w:tmpl w:val="71962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7F054A1B"/>
    <w:multiLevelType w:val="hybridMultilevel"/>
    <w:tmpl w:val="6C5EA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8"/>
  </w:num>
  <w:num w:numId="2">
    <w:abstractNumId w:val="13"/>
  </w:num>
  <w:num w:numId="3">
    <w:abstractNumId w:val="37"/>
  </w:num>
  <w:num w:numId="4">
    <w:abstractNumId w:val="56"/>
  </w:num>
  <w:num w:numId="5">
    <w:abstractNumId w:val="55"/>
  </w:num>
  <w:num w:numId="6">
    <w:abstractNumId w:val="57"/>
  </w:num>
  <w:num w:numId="7">
    <w:abstractNumId w:val="53"/>
  </w:num>
  <w:num w:numId="8">
    <w:abstractNumId w:val="3"/>
  </w:num>
  <w:num w:numId="9">
    <w:abstractNumId w:val="35"/>
  </w:num>
  <w:num w:numId="10">
    <w:abstractNumId w:val="43"/>
  </w:num>
  <w:num w:numId="11">
    <w:abstractNumId w:val="15"/>
  </w:num>
  <w:num w:numId="12">
    <w:abstractNumId w:val="1"/>
  </w:num>
  <w:num w:numId="13">
    <w:abstractNumId w:val="16"/>
  </w:num>
  <w:num w:numId="14">
    <w:abstractNumId w:val="70"/>
  </w:num>
  <w:num w:numId="15">
    <w:abstractNumId w:val="10"/>
  </w:num>
  <w:num w:numId="16">
    <w:abstractNumId w:val="34"/>
  </w:num>
  <w:num w:numId="17">
    <w:abstractNumId w:val="25"/>
  </w:num>
  <w:num w:numId="18">
    <w:abstractNumId w:val="0"/>
  </w:num>
  <w:num w:numId="19">
    <w:abstractNumId w:val="11"/>
  </w:num>
  <w:num w:numId="20">
    <w:abstractNumId w:val="36"/>
  </w:num>
  <w:num w:numId="21">
    <w:abstractNumId w:val="59"/>
  </w:num>
  <w:num w:numId="22">
    <w:abstractNumId w:val="6"/>
  </w:num>
  <w:num w:numId="23">
    <w:abstractNumId w:val="18"/>
  </w:num>
  <w:num w:numId="24">
    <w:abstractNumId w:val="51"/>
  </w:num>
  <w:num w:numId="25">
    <w:abstractNumId w:val="44"/>
  </w:num>
  <w:num w:numId="26">
    <w:abstractNumId w:val="40"/>
  </w:num>
  <w:num w:numId="27">
    <w:abstractNumId w:val="7"/>
  </w:num>
  <w:num w:numId="28">
    <w:abstractNumId w:val="9"/>
  </w:num>
  <w:num w:numId="29">
    <w:abstractNumId w:val="41"/>
  </w:num>
  <w:num w:numId="30">
    <w:abstractNumId w:val="27"/>
  </w:num>
  <w:num w:numId="31">
    <w:abstractNumId w:val="30"/>
  </w:num>
  <w:num w:numId="32">
    <w:abstractNumId w:val="63"/>
  </w:num>
  <w:num w:numId="33">
    <w:abstractNumId w:val="42"/>
  </w:num>
  <w:num w:numId="34">
    <w:abstractNumId w:val="60"/>
  </w:num>
  <w:num w:numId="35">
    <w:abstractNumId w:val="26"/>
  </w:num>
  <w:num w:numId="36">
    <w:abstractNumId w:val="4"/>
  </w:num>
  <w:num w:numId="37">
    <w:abstractNumId w:val="22"/>
  </w:num>
  <w:num w:numId="38">
    <w:abstractNumId w:val="31"/>
  </w:num>
  <w:num w:numId="39">
    <w:abstractNumId w:val="47"/>
  </w:num>
  <w:num w:numId="40">
    <w:abstractNumId w:val="23"/>
  </w:num>
  <w:num w:numId="41">
    <w:abstractNumId w:val="32"/>
  </w:num>
  <w:num w:numId="42">
    <w:abstractNumId w:val="5"/>
  </w:num>
  <w:num w:numId="43">
    <w:abstractNumId w:val="17"/>
  </w:num>
  <w:num w:numId="44">
    <w:abstractNumId w:val="14"/>
  </w:num>
  <w:num w:numId="45">
    <w:abstractNumId w:val="69"/>
  </w:num>
  <w:num w:numId="46">
    <w:abstractNumId w:val="21"/>
  </w:num>
  <w:num w:numId="47">
    <w:abstractNumId w:val="28"/>
  </w:num>
  <w:num w:numId="48">
    <w:abstractNumId w:val="45"/>
  </w:num>
  <w:num w:numId="49">
    <w:abstractNumId w:val="66"/>
  </w:num>
  <w:num w:numId="50">
    <w:abstractNumId w:val="61"/>
  </w:num>
  <w:num w:numId="51">
    <w:abstractNumId w:val="49"/>
  </w:num>
  <w:num w:numId="52">
    <w:abstractNumId w:val="62"/>
  </w:num>
  <w:num w:numId="53">
    <w:abstractNumId w:val="67"/>
  </w:num>
  <w:num w:numId="54">
    <w:abstractNumId w:val="20"/>
  </w:num>
  <w:num w:numId="55">
    <w:abstractNumId w:val="68"/>
  </w:num>
  <w:num w:numId="56">
    <w:abstractNumId w:val="54"/>
  </w:num>
  <w:num w:numId="57">
    <w:abstractNumId w:val="65"/>
  </w:num>
  <w:num w:numId="58">
    <w:abstractNumId w:val="7"/>
  </w:num>
  <w:num w:numId="59">
    <w:abstractNumId w:val="8"/>
  </w:num>
  <w:num w:numId="60">
    <w:abstractNumId w:val="19"/>
  </w:num>
  <w:num w:numId="61">
    <w:abstractNumId w:val="72"/>
  </w:num>
  <w:num w:numId="62">
    <w:abstractNumId w:val="71"/>
  </w:num>
  <w:num w:numId="63">
    <w:abstractNumId w:val="39"/>
  </w:num>
  <w:num w:numId="64">
    <w:abstractNumId w:val="7"/>
  </w:num>
  <w:num w:numId="65">
    <w:abstractNumId w:val="7"/>
  </w:num>
  <w:num w:numId="66">
    <w:abstractNumId w:val="46"/>
  </w:num>
  <w:num w:numId="67">
    <w:abstractNumId w:val="7"/>
  </w:num>
  <w:num w:numId="68">
    <w:abstractNumId w:val="64"/>
  </w:num>
  <w:num w:numId="69">
    <w:abstractNumId w:val="29"/>
  </w:num>
  <w:num w:numId="70">
    <w:abstractNumId w:val="12"/>
  </w:num>
  <w:num w:numId="71">
    <w:abstractNumId w:val="50"/>
  </w:num>
  <w:num w:numId="72">
    <w:abstractNumId w:val="48"/>
  </w:num>
  <w:num w:numId="73">
    <w:abstractNumId w:val="58"/>
  </w:num>
  <w:num w:numId="74">
    <w:abstractNumId w:val="2"/>
  </w:num>
  <w:num w:numId="75">
    <w:abstractNumId w:val="52"/>
  </w:num>
  <w:num w:numId="76">
    <w:abstractNumId w:val="7"/>
  </w:num>
  <w:num w:numId="77">
    <w:abstractNumId w:val="7"/>
  </w:num>
  <w:num w:numId="78">
    <w:abstractNumId w:val="24"/>
  </w:num>
  <w:num w:numId="79">
    <w:abstractNumId w:val="33"/>
  </w:num>
  <w:num w:numId="80">
    <w:abstractNumId w:val="7"/>
  </w:num>
  <w:num w:numId="81">
    <w:abstractNumId w:val="7"/>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stylePaneFormatFilter w:val="3F0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urrentname" w:val="H:\TRIMDATA\TRIM\TEMP\CONTEXT.3312\D12 107699  Draft guidelines into disputes about bulk interconnection services - Final version.DOC"/>
  </w:docVars>
  <w:rsids>
    <w:rsidRoot w:val="00B34604"/>
    <w:rsid w:val="000017D8"/>
    <w:rsid w:val="00004581"/>
    <w:rsid w:val="00004FBA"/>
    <w:rsid w:val="00006DE4"/>
    <w:rsid w:val="00007658"/>
    <w:rsid w:val="00013EDD"/>
    <w:rsid w:val="000165F8"/>
    <w:rsid w:val="000170D2"/>
    <w:rsid w:val="00017CBB"/>
    <w:rsid w:val="00020CB3"/>
    <w:rsid w:val="000211AF"/>
    <w:rsid w:val="00022519"/>
    <w:rsid w:val="000305BF"/>
    <w:rsid w:val="00031ABE"/>
    <w:rsid w:val="00033841"/>
    <w:rsid w:val="00033C9A"/>
    <w:rsid w:val="0003784B"/>
    <w:rsid w:val="00041B01"/>
    <w:rsid w:val="00043333"/>
    <w:rsid w:val="00047AB7"/>
    <w:rsid w:val="00050853"/>
    <w:rsid w:val="000516F3"/>
    <w:rsid w:val="000572C7"/>
    <w:rsid w:val="00057AF4"/>
    <w:rsid w:val="00060940"/>
    <w:rsid w:val="00062429"/>
    <w:rsid w:val="00063210"/>
    <w:rsid w:val="000632E4"/>
    <w:rsid w:val="00064654"/>
    <w:rsid w:val="00064910"/>
    <w:rsid w:val="000651C9"/>
    <w:rsid w:val="00066287"/>
    <w:rsid w:val="0007165B"/>
    <w:rsid w:val="000724F5"/>
    <w:rsid w:val="00072B46"/>
    <w:rsid w:val="000732B7"/>
    <w:rsid w:val="00075D81"/>
    <w:rsid w:val="000760D6"/>
    <w:rsid w:val="00076DCF"/>
    <w:rsid w:val="00077091"/>
    <w:rsid w:val="00082AB8"/>
    <w:rsid w:val="000859EB"/>
    <w:rsid w:val="00086870"/>
    <w:rsid w:val="00087B85"/>
    <w:rsid w:val="00087CC4"/>
    <w:rsid w:val="0009393F"/>
    <w:rsid w:val="0009531C"/>
    <w:rsid w:val="0009648B"/>
    <w:rsid w:val="00097D36"/>
    <w:rsid w:val="00097F78"/>
    <w:rsid w:val="000A0057"/>
    <w:rsid w:val="000A1F13"/>
    <w:rsid w:val="000A3269"/>
    <w:rsid w:val="000A3E76"/>
    <w:rsid w:val="000A3EF3"/>
    <w:rsid w:val="000A7C90"/>
    <w:rsid w:val="000B2658"/>
    <w:rsid w:val="000B464F"/>
    <w:rsid w:val="000B471C"/>
    <w:rsid w:val="000B5923"/>
    <w:rsid w:val="000B633D"/>
    <w:rsid w:val="000B72A2"/>
    <w:rsid w:val="000C0B27"/>
    <w:rsid w:val="000C0DB6"/>
    <w:rsid w:val="000C2264"/>
    <w:rsid w:val="000C26AD"/>
    <w:rsid w:val="000C277B"/>
    <w:rsid w:val="000C27EE"/>
    <w:rsid w:val="000D0AA2"/>
    <w:rsid w:val="000D4DA3"/>
    <w:rsid w:val="000D5422"/>
    <w:rsid w:val="000D5CE6"/>
    <w:rsid w:val="000E08E3"/>
    <w:rsid w:val="000E218E"/>
    <w:rsid w:val="000E3B11"/>
    <w:rsid w:val="000E482D"/>
    <w:rsid w:val="000E616E"/>
    <w:rsid w:val="000E6BC4"/>
    <w:rsid w:val="000F0350"/>
    <w:rsid w:val="000F2226"/>
    <w:rsid w:val="000F3A23"/>
    <w:rsid w:val="000F65FF"/>
    <w:rsid w:val="00100FB6"/>
    <w:rsid w:val="00100FC5"/>
    <w:rsid w:val="0010107D"/>
    <w:rsid w:val="00103B6D"/>
    <w:rsid w:val="00104FB4"/>
    <w:rsid w:val="001061C1"/>
    <w:rsid w:val="0010639D"/>
    <w:rsid w:val="0010763F"/>
    <w:rsid w:val="00107D03"/>
    <w:rsid w:val="0011012B"/>
    <w:rsid w:val="0011139B"/>
    <w:rsid w:val="00111DFC"/>
    <w:rsid w:val="0011708F"/>
    <w:rsid w:val="00120002"/>
    <w:rsid w:val="00120564"/>
    <w:rsid w:val="00122C24"/>
    <w:rsid w:val="00123FDC"/>
    <w:rsid w:val="00126AB8"/>
    <w:rsid w:val="0013013A"/>
    <w:rsid w:val="00130C01"/>
    <w:rsid w:val="00131533"/>
    <w:rsid w:val="00131DDE"/>
    <w:rsid w:val="001357D5"/>
    <w:rsid w:val="001359DE"/>
    <w:rsid w:val="00141047"/>
    <w:rsid w:val="00141C88"/>
    <w:rsid w:val="00143E2B"/>
    <w:rsid w:val="0014480A"/>
    <w:rsid w:val="00145D48"/>
    <w:rsid w:val="00156901"/>
    <w:rsid w:val="00156FA4"/>
    <w:rsid w:val="001574F3"/>
    <w:rsid w:val="001613D2"/>
    <w:rsid w:val="001642A6"/>
    <w:rsid w:val="001654A3"/>
    <w:rsid w:val="00165DE8"/>
    <w:rsid w:val="00173125"/>
    <w:rsid w:val="0017338D"/>
    <w:rsid w:val="0018082B"/>
    <w:rsid w:val="00180991"/>
    <w:rsid w:val="00180DBF"/>
    <w:rsid w:val="001815A1"/>
    <w:rsid w:val="00182F44"/>
    <w:rsid w:val="00183128"/>
    <w:rsid w:val="00186E5D"/>
    <w:rsid w:val="001879C1"/>
    <w:rsid w:val="00191557"/>
    <w:rsid w:val="0019272E"/>
    <w:rsid w:val="00194780"/>
    <w:rsid w:val="0019520B"/>
    <w:rsid w:val="001A0EBB"/>
    <w:rsid w:val="001A3236"/>
    <w:rsid w:val="001A42C1"/>
    <w:rsid w:val="001A680A"/>
    <w:rsid w:val="001A7375"/>
    <w:rsid w:val="001B0815"/>
    <w:rsid w:val="001B0DCD"/>
    <w:rsid w:val="001B5BDD"/>
    <w:rsid w:val="001B61C0"/>
    <w:rsid w:val="001B70A8"/>
    <w:rsid w:val="001C0126"/>
    <w:rsid w:val="001C2A95"/>
    <w:rsid w:val="001C49B3"/>
    <w:rsid w:val="001D09A8"/>
    <w:rsid w:val="001D12B2"/>
    <w:rsid w:val="001D299E"/>
    <w:rsid w:val="001D4D33"/>
    <w:rsid w:val="001D5B7E"/>
    <w:rsid w:val="001D67BB"/>
    <w:rsid w:val="001D68BB"/>
    <w:rsid w:val="001D7AEB"/>
    <w:rsid w:val="001E0BCB"/>
    <w:rsid w:val="001E1F61"/>
    <w:rsid w:val="001E2877"/>
    <w:rsid w:val="001E34AF"/>
    <w:rsid w:val="001E690F"/>
    <w:rsid w:val="001E7052"/>
    <w:rsid w:val="001F0229"/>
    <w:rsid w:val="001F08DE"/>
    <w:rsid w:val="001F1B01"/>
    <w:rsid w:val="001F31EA"/>
    <w:rsid w:val="001F33D6"/>
    <w:rsid w:val="001F4057"/>
    <w:rsid w:val="001F4E43"/>
    <w:rsid w:val="001F5617"/>
    <w:rsid w:val="001F6F6E"/>
    <w:rsid w:val="00203981"/>
    <w:rsid w:val="0020411E"/>
    <w:rsid w:val="0020670A"/>
    <w:rsid w:val="002072DD"/>
    <w:rsid w:val="00210339"/>
    <w:rsid w:val="002104F3"/>
    <w:rsid w:val="002119DD"/>
    <w:rsid w:val="00212958"/>
    <w:rsid w:val="00216412"/>
    <w:rsid w:val="002175B4"/>
    <w:rsid w:val="00220CF9"/>
    <w:rsid w:val="00223F68"/>
    <w:rsid w:val="0022405B"/>
    <w:rsid w:val="0022625B"/>
    <w:rsid w:val="0022691E"/>
    <w:rsid w:val="002320C1"/>
    <w:rsid w:val="00232128"/>
    <w:rsid w:val="00236F37"/>
    <w:rsid w:val="002371E1"/>
    <w:rsid w:val="00243567"/>
    <w:rsid w:val="002440D5"/>
    <w:rsid w:val="00244C7F"/>
    <w:rsid w:val="002452BB"/>
    <w:rsid w:val="00246AC6"/>
    <w:rsid w:val="00250DE8"/>
    <w:rsid w:val="002537BC"/>
    <w:rsid w:val="00255212"/>
    <w:rsid w:val="0026106D"/>
    <w:rsid w:val="00262B2A"/>
    <w:rsid w:val="00262C6F"/>
    <w:rsid w:val="002678B5"/>
    <w:rsid w:val="002741DD"/>
    <w:rsid w:val="00277AC1"/>
    <w:rsid w:val="002811A0"/>
    <w:rsid w:val="00282B8E"/>
    <w:rsid w:val="00283313"/>
    <w:rsid w:val="00284EB1"/>
    <w:rsid w:val="00285429"/>
    <w:rsid w:val="00286048"/>
    <w:rsid w:val="00286669"/>
    <w:rsid w:val="00286DAE"/>
    <w:rsid w:val="002870A7"/>
    <w:rsid w:val="0029304D"/>
    <w:rsid w:val="0029654F"/>
    <w:rsid w:val="00296562"/>
    <w:rsid w:val="002A212F"/>
    <w:rsid w:val="002A3FA7"/>
    <w:rsid w:val="002A4629"/>
    <w:rsid w:val="002A6108"/>
    <w:rsid w:val="002A684C"/>
    <w:rsid w:val="002B0141"/>
    <w:rsid w:val="002B03AB"/>
    <w:rsid w:val="002B1183"/>
    <w:rsid w:val="002B1219"/>
    <w:rsid w:val="002B16D6"/>
    <w:rsid w:val="002B2E94"/>
    <w:rsid w:val="002B4A23"/>
    <w:rsid w:val="002C1699"/>
    <w:rsid w:val="002C1D3B"/>
    <w:rsid w:val="002C2040"/>
    <w:rsid w:val="002C240C"/>
    <w:rsid w:val="002C3BC7"/>
    <w:rsid w:val="002C47F6"/>
    <w:rsid w:val="002C61CB"/>
    <w:rsid w:val="002C6ADD"/>
    <w:rsid w:val="002C7C68"/>
    <w:rsid w:val="002D2103"/>
    <w:rsid w:val="002D2464"/>
    <w:rsid w:val="002D5F03"/>
    <w:rsid w:val="002D660E"/>
    <w:rsid w:val="002D72D6"/>
    <w:rsid w:val="002F1DF6"/>
    <w:rsid w:val="002F6F11"/>
    <w:rsid w:val="002F7C31"/>
    <w:rsid w:val="003004A8"/>
    <w:rsid w:val="00300E88"/>
    <w:rsid w:val="00304496"/>
    <w:rsid w:val="00307494"/>
    <w:rsid w:val="00310D90"/>
    <w:rsid w:val="00315B9A"/>
    <w:rsid w:val="00317999"/>
    <w:rsid w:val="00323EFE"/>
    <w:rsid w:val="00324213"/>
    <w:rsid w:val="00327C06"/>
    <w:rsid w:val="0033259C"/>
    <w:rsid w:val="00334BE2"/>
    <w:rsid w:val="0033591D"/>
    <w:rsid w:val="003365B2"/>
    <w:rsid w:val="00336957"/>
    <w:rsid w:val="003432BF"/>
    <w:rsid w:val="00351282"/>
    <w:rsid w:val="003526DF"/>
    <w:rsid w:val="00353F4A"/>
    <w:rsid w:val="003560FB"/>
    <w:rsid w:val="00364CD4"/>
    <w:rsid w:val="00366078"/>
    <w:rsid w:val="00367481"/>
    <w:rsid w:val="00372DA0"/>
    <w:rsid w:val="00372DB7"/>
    <w:rsid w:val="0037715C"/>
    <w:rsid w:val="00380E05"/>
    <w:rsid w:val="00381032"/>
    <w:rsid w:val="00382D57"/>
    <w:rsid w:val="0038549E"/>
    <w:rsid w:val="00385586"/>
    <w:rsid w:val="00387A68"/>
    <w:rsid w:val="00387DA8"/>
    <w:rsid w:val="00393A7F"/>
    <w:rsid w:val="00394DE2"/>
    <w:rsid w:val="0039582B"/>
    <w:rsid w:val="00397B5A"/>
    <w:rsid w:val="00397C7C"/>
    <w:rsid w:val="003A0356"/>
    <w:rsid w:val="003A44EF"/>
    <w:rsid w:val="003A4D75"/>
    <w:rsid w:val="003A4E8D"/>
    <w:rsid w:val="003B028B"/>
    <w:rsid w:val="003B02CC"/>
    <w:rsid w:val="003B1AF3"/>
    <w:rsid w:val="003B62E3"/>
    <w:rsid w:val="003B62EF"/>
    <w:rsid w:val="003B6517"/>
    <w:rsid w:val="003C1810"/>
    <w:rsid w:val="003C204E"/>
    <w:rsid w:val="003C38E6"/>
    <w:rsid w:val="003C40D1"/>
    <w:rsid w:val="003C4138"/>
    <w:rsid w:val="003D06ED"/>
    <w:rsid w:val="003D2A47"/>
    <w:rsid w:val="003D4742"/>
    <w:rsid w:val="003D7267"/>
    <w:rsid w:val="003E057A"/>
    <w:rsid w:val="003E0956"/>
    <w:rsid w:val="003F034D"/>
    <w:rsid w:val="003F0B9C"/>
    <w:rsid w:val="003F6961"/>
    <w:rsid w:val="003F7BAC"/>
    <w:rsid w:val="0040560B"/>
    <w:rsid w:val="00414F27"/>
    <w:rsid w:val="00415DCC"/>
    <w:rsid w:val="0042423A"/>
    <w:rsid w:val="00424B56"/>
    <w:rsid w:val="00425524"/>
    <w:rsid w:val="004275A7"/>
    <w:rsid w:val="004319B8"/>
    <w:rsid w:val="00432284"/>
    <w:rsid w:val="0043535E"/>
    <w:rsid w:val="00441AA1"/>
    <w:rsid w:val="004422D7"/>
    <w:rsid w:val="00442D7E"/>
    <w:rsid w:val="00444E86"/>
    <w:rsid w:val="00444F95"/>
    <w:rsid w:val="004461E8"/>
    <w:rsid w:val="00450432"/>
    <w:rsid w:val="0045354F"/>
    <w:rsid w:val="00454DE9"/>
    <w:rsid w:val="00455B1A"/>
    <w:rsid w:val="00455E8B"/>
    <w:rsid w:val="00456263"/>
    <w:rsid w:val="00456285"/>
    <w:rsid w:val="004570AF"/>
    <w:rsid w:val="00465528"/>
    <w:rsid w:val="00471697"/>
    <w:rsid w:val="00471B9A"/>
    <w:rsid w:val="004741DE"/>
    <w:rsid w:val="0047429F"/>
    <w:rsid w:val="0047632D"/>
    <w:rsid w:val="004779C5"/>
    <w:rsid w:val="004808A7"/>
    <w:rsid w:val="004808C3"/>
    <w:rsid w:val="00480A80"/>
    <w:rsid w:val="00481976"/>
    <w:rsid w:val="0048251C"/>
    <w:rsid w:val="00482BB2"/>
    <w:rsid w:val="00487BB0"/>
    <w:rsid w:val="00487FBE"/>
    <w:rsid w:val="00491113"/>
    <w:rsid w:val="00491EDE"/>
    <w:rsid w:val="00493428"/>
    <w:rsid w:val="00493A4E"/>
    <w:rsid w:val="00496CCD"/>
    <w:rsid w:val="004A01D8"/>
    <w:rsid w:val="004A302F"/>
    <w:rsid w:val="004A4AE8"/>
    <w:rsid w:val="004A5359"/>
    <w:rsid w:val="004A713C"/>
    <w:rsid w:val="004B1355"/>
    <w:rsid w:val="004B3774"/>
    <w:rsid w:val="004B473A"/>
    <w:rsid w:val="004B51A3"/>
    <w:rsid w:val="004B7A82"/>
    <w:rsid w:val="004C011C"/>
    <w:rsid w:val="004C06F1"/>
    <w:rsid w:val="004C0D3D"/>
    <w:rsid w:val="004C13E0"/>
    <w:rsid w:val="004C5FD4"/>
    <w:rsid w:val="004D1144"/>
    <w:rsid w:val="004D1D39"/>
    <w:rsid w:val="004D4605"/>
    <w:rsid w:val="004D5880"/>
    <w:rsid w:val="004D58FD"/>
    <w:rsid w:val="004D72B3"/>
    <w:rsid w:val="004E0AB2"/>
    <w:rsid w:val="004E2B4B"/>
    <w:rsid w:val="004E5DBB"/>
    <w:rsid w:val="004E7DA9"/>
    <w:rsid w:val="004F00C8"/>
    <w:rsid w:val="004F380D"/>
    <w:rsid w:val="004F3983"/>
    <w:rsid w:val="004F6EFD"/>
    <w:rsid w:val="00500295"/>
    <w:rsid w:val="00503B5E"/>
    <w:rsid w:val="005048E6"/>
    <w:rsid w:val="00504C0B"/>
    <w:rsid w:val="005072D0"/>
    <w:rsid w:val="00513F99"/>
    <w:rsid w:val="00514F33"/>
    <w:rsid w:val="005153C3"/>
    <w:rsid w:val="005179E9"/>
    <w:rsid w:val="005230C4"/>
    <w:rsid w:val="00524268"/>
    <w:rsid w:val="0052590B"/>
    <w:rsid w:val="00525B7D"/>
    <w:rsid w:val="00527AA9"/>
    <w:rsid w:val="00530B05"/>
    <w:rsid w:val="00536A22"/>
    <w:rsid w:val="0054581A"/>
    <w:rsid w:val="005500B5"/>
    <w:rsid w:val="0055033F"/>
    <w:rsid w:val="0055048B"/>
    <w:rsid w:val="0055188A"/>
    <w:rsid w:val="0055427C"/>
    <w:rsid w:val="00554357"/>
    <w:rsid w:val="0055666B"/>
    <w:rsid w:val="005609E5"/>
    <w:rsid w:val="00562C37"/>
    <w:rsid w:val="00566A15"/>
    <w:rsid w:val="00566F86"/>
    <w:rsid w:val="00567EE7"/>
    <w:rsid w:val="0057174B"/>
    <w:rsid w:val="00571B1B"/>
    <w:rsid w:val="00572004"/>
    <w:rsid w:val="00573A92"/>
    <w:rsid w:val="00580439"/>
    <w:rsid w:val="0058098D"/>
    <w:rsid w:val="005845FD"/>
    <w:rsid w:val="0058641B"/>
    <w:rsid w:val="00590EA3"/>
    <w:rsid w:val="00591AA2"/>
    <w:rsid w:val="00592379"/>
    <w:rsid w:val="00593DE2"/>
    <w:rsid w:val="00595FFE"/>
    <w:rsid w:val="00597369"/>
    <w:rsid w:val="005A0C55"/>
    <w:rsid w:val="005A0FCF"/>
    <w:rsid w:val="005A1422"/>
    <w:rsid w:val="005A4063"/>
    <w:rsid w:val="005A4567"/>
    <w:rsid w:val="005A5D27"/>
    <w:rsid w:val="005A613B"/>
    <w:rsid w:val="005A66DB"/>
    <w:rsid w:val="005A7089"/>
    <w:rsid w:val="005A7962"/>
    <w:rsid w:val="005A7A59"/>
    <w:rsid w:val="005B0058"/>
    <w:rsid w:val="005B06AA"/>
    <w:rsid w:val="005B1F2A"/>
    <w:rsid w:val="005B2986"/>
    <w:rsid w:val="005B5293"/>
    <w:rsid w:val="005B5F4F"/>
    <w:rsid w:val="005C19BC"/>
    <w:rsid w:val="005C2AA4"/>
    <w:rsid w:val="005C5FED"/>
    <w:rsid w:val="005C6578"/>
    <w:rsid w:val="005C6B36"/>
    <w:rsid w:val="005C75B4"/>
    <w:rsid w:val="005C7947"/>
    <w:rsid w:val="005D03F8"/>
    <w:rsid w:val="005D4BB4"/>
    <w:rsid w:val="005E0FF9"/>
    <w:rsid w:val="005E2007"/>
    <w:rsid w:val="005E2669"/>
    <w:rsid w:val="005E3628"/>
    <w:rsid w:val="005E42F7"/>
    <w:rsid w:val="005E5118"/>
    <w:rsid w:val="005E5E31"/>
    <w:rsid w:val="005E7509"/>
    <w:rsid w:val="005E7584"/>
    <w:rsid w:val="005F00A7"/>
    <w:rsid w:val="005F3CB2"/>
    <w:rsid w:val="005F4BCD"/>
    <w:rsid w:val="005F5A80"/>
    <w:rsid w:val="005F61B0"/>
    <w:rsid w:val="005F7BB4"/>
    <w:rsid w:val="006013E6"/>
    <w:rsid w:val="006044DB"/>
    <w:rsid w:val="00605A1E"/>
    <w:rsid w:val="00607A96"/>
    <w:rsid w:val="00607C14"/>
    <w:rsid w:val="00612EAC"/>
    <w:rsid w:val="00613A55"/>
    <w:rsid w:val="00614341"/>
    <w:rsid w:val="006153A8"/>
    <w:rsid w:val="00617982"/>
    <w:rsid w:val="00630103"/>
    <w:rsid w:val="00630DB3"/>
    <w:rsid w:val="00631D41"/>
    <w:rsid w:val="00634BA5"/>
    <w:rsid w:val="0063528A"/>
    <w:rsid w:val="00635830"/>
    <w:rsid w:val="00636380"/>
    <w:rsid w:val="00637CD2"/>
    <w:rsid w:val="006429A1"/>
    <w:rsid w:val="00645293"/>
    <w:rsid w:val="00647731"/>
    <w:rsid w:val="00652B90"/>
    <w:rsid w:val="00655AFB"/>
    <w:rsid w:val="00657C85"/>
    <w:rsid w:val="006600BA"/>
    <w:rsid w:val="00660820"/>
    <w:rsid w:val="00662838"/>
    <w:rsid w:val="00665604"/>
    <w:rsid w:val="00666348"/>
    <w:rsid w:val="006717C2"/>
    <w:rsid w:val="006755F5"/>
    <w:rsid w:val="00675991"/>
    <w:rsid w:val="006776CA"/>
    <w:rsid w:val="0068265B"/>
    <w:rsid w:val="00682D5D"/>
    <w:rsid w:val="00686C3E"/>
    <w:rsid w:val="00687962"/>
    <w:rsid w:val="00690473"/>
    <w:rsid w:val="00692C95"/>
    <w:rsid w:val="00692EE3"/>
    <w:rsid w:val="006935DA"/>
    <w:rsid w:val="00695FDA"/>
    <w:rsid w:val="006978F3"/>
    <w:rsid w:val="00697F17"/>
    <w:rsid w:val="00697F7B"/>
    <w:rsid w:val="006A0E34"/>
    <w:rsid w:val="006A1026"/>
    <w:rsid w:val="006A23EC"/>
    <w:rsid w:val="006A38F4"/>
    <w:rsid w:val="006A4E7B"/>
    <w:rsid w:val="006A515B"/>
    <w:rsid w:val="006A5F56"/>
    <w:rsid w:val="006A7CE9"/>
    <w:rsid w:val="006B0C1E"/>
    <w:rsid w:val="006B5C2A"/>
    <w:rsid w:val="006B65F7"/>
    <w:rsid w:val="006B73D3"/>
    <w:rsid w:val="006B7425"/>
    <w:rsid w:val="006C102F"/>
    <w:rsid w:val="006C3A5C"/>
    <w:rsid w:val="006C4D4C"/>
    <w:rsid w:val="006C76F7"/>
    <w:rsid w:val="006D11A0"/>
    <w:rsid w:val="006D1A93"/>
    <w:rsid w:val="006D1ADE"/>
    <w:rsid w:val="006D3270"/>
    <w:rsid w:val="006D376E"/>
    <w:rsid w:val="006D585A"/>
    <w:rsid w:val="006D6241"/>
    <w:rsid w:val="006D7D91"/>
    <w:rsid w:val="006E03F6"/>
    <w:rsid w:val="006E0723"/>
    <w:rsid w:val="006E2F48"/>
    <w:rsid w:val="006E3A66"/>
    <w:rsid w:val="006E3E70"/>
    <w:rsid w:val="006F04C9"/>
    <w:rsid w:val="006F0555"/>
    <w:rsid w:val="006F0BBC"/>
    <w:rsid w:val="006F167D"/>
    <w:rsid w:val="006F1C7B"/>
    <w:rsid w:val="006F3344"/>
    <w:rsid w:val="006F3F04"/>
    <w:rsid w:val="00702B00"/>
    <w:rsid w:val="0070306E"/>
    <w:rsid w:val="00704E6B"/>
    <w:rsid w:val="00706E40"/>
    <w:rsid w:val="00710DCD"/>
    <w:rsid w:val="0071178C"/>
    <w:rsid w:val="00712A1A"/>
    <w:rsid w:val="00712F3D"/>
    <w:rsid w:val="00713D1B"/>
    <w:rsid w:val="00714026"/>
    <w:rsid w:val="00714F66"/>
    <w:rsid w:val="00715472"/>
    <w:rsid w:val="0071590A"/>
    <w:rsid w:val="007171FC"/>
    <w:rsid w:val="00720B24"/>
    <w:rsid w:val="007233A8"/>
    <w:rsid w:val="007238EC"/>
    <w:rsid w:val="00724B8F"/>
    <w:rsid w:val="007255C3"/>
    <w:rsid w:val="0072577B"/>
    <w:rsid w:val="00727DD6"/>
    <w:rsid w:val="00727FDD"/>
    <w:rsid w:val="00730265"/>
    <w:rsid w:val="007346A1"/>
    <w:rsid w:val="00734E8B"/>
    <w:rsid w:val="007402A9"/>
    <w:rsid w:val="00740779"/>
    <w:rsid w:val="00741192"/>
    <w:rsid w:val="007432E1"/>
    <w:rsid w:val="00743641"/>
    <w:rsid w:val="0074505E"/>
    <w:rsid w:val="0074743B"/>
    <w:rsid w:val="007533F6"/>
    <w:rsid w:val="00753E26"/>
    <w:rsid w:val="00757D46"/>
    <w:rsid w:val="00757DE9"/>
    <w:rsid w:val="00761B3C"/>
    <w:rsid w:val="00762E2B"/>
    <w:rsid w:val="007638C2"/>
    <w:rsid w:val="00764525"/>
    <w:rsid w:val="00771CD1"/>
    <w:rsid w:val="00771E54"/>
    <w:rsid w:val="007731DE"/>
    <w:rsid w:val="007743B4"/>
    <w:rsid w:val="00776144"/>
    <w:rsid w:val="00776A90"/>
    <w:rsid w:val="00780FA3"/>
    <w:rsid w:val="00783272"/>
    <w:rsid w:val="00783B8B"/>
    <w:rsid w:val="00787301"/>
    <w:rsid w:val="00790C8A"/>
    <w:rsid w:val="007944BB"/>
    <w:rsid w:val="0079629F"/>
    <w:rsid w:val="007A004F"/>
    <w:rsid w:val="007A055A"/>
    <w:rsid w:val="007A2B76"/>
    <w:rsid w:val="007A3524"/>
    <w:rsid w:val="007A5EC7"/>
    <w:rsid w:val="007A6B3E"/>
    <w:rsid w:val="007A77C4"/>
    <w:rsid w:val="007B08A6"/>
    <w:rsid w:val="007B466C"/>
    <w:rsid w:val="007B508D"/>
    <w:rsid w:val="007B5586"/>
    <w:rsid w:val="007B703B"/>
    <w:rsid w:val="007C030E"/>
    <w:rsid w:val="007C0F45"/>
    <w:rsid w:val="007C289C"/>
    <w:rsid w:val="007C3170"/>
    <w:rsid w:val="007C6731"/>
    <w:rsid w:val="007D0A17"/>
    <w:rsid w:val="007D12B4"/>
    <w:rsid w:val="007D1D3A"/>
    <w:rsid w:val="007D48CF"/>
    <w:rsid w:val="007D4B25"/>
    <w:rsid w:val="007D4BD7"/>
    <w:rsid w:val="007E00DF"/>
    <w:rsid w:val="007E1042"/>
    <w:rsid w:val="007E2C59"/>
    <w:rsid w:val="007E4462"/>
    <w:rsid w:val="007F055A"/>
    <w:rsid w:val="007F568A"/>
    <w:rsid w:val="007F7960"/>
    <w:rsid w:val="007F7ADC"/>
    <w:rsid w:val="0080230E"/>
    <w:rsid w:val="00802BE0"/>
    <w:rsid w:val="00802D78"/>
    <w:rsid w:val="00812923"/>
    <w:rsid w:val="00812D5E"/>
    <w:rsid w:val="00813337"/>
    <w:rsid w:val="00814CE0"/>
    <w:rsid w:val="00815E07"/>
    <w:rsid w:val="00822380"/>
    <w:rsid w:val="0082372B"/>
    <w:rsid w:val="00824471"/>
    <w:rsid w:val="00826D5E"/>
    <w:rsid w:val="008271D2"/>
    <w:rsid w:val="00830271"/>
    <w:rsid w:val="008305FD"/>
    <w:rsid w:val="008359E1"/>
    <w:rsid w:val="008410F9"/>
    <w:rsid w:val="00841925"/>
    <w:rsid w:val="00847EB9"/>
    <w:rsid w:val="0085011F"/>
    <w:rsid w:val="008507A1"/>
    <w:rsid w:val="008518D9"/>
    <w:rsid w:val="00852BD1"/>
    <w:rsid w:val="008533A3"/>
    <w:rsid w:val="00854C31"/>
    <w:rsid w:val="0085589E"/>
    <w:rsid w:val="00856993"/>
    <w:rsid w:val="00856DFF"/>
    <w:rsid w:val="00861524"/>
    <w:rsid w:val="00861CC5"/>
    <w:rsid w:val="0086258D"/>
    <w:rsid w:val="00862838"/>
    <w:rsid w:val="00864376"/>
    <w:rsid w:val="00865A6B"/>
    <w:rsid w:val="00866399"/>
    <w:rsid w:val="00870910"/>
    <w:rsid w:val="00870E58"/>
    <w:rsid w:val="008730AE"/>
    <w:rsid w:val="00873B78"/>
    <w:rsid w:val="00875F5F"/>
    <w:rsid w:val="0088002B"/>
    <w:rsid w:val="008810E5"/>
    <w:rsid w:val="00881883"/>
    <w:rsid w:val="0088367A"/>
    <w:rsid w:val="008836BC"/>
    <w:rsid w:val="00885ABD"/>
    <w:rsid w:val="00890F58"/>
    <w:rsid w:val="00891727"/>
    <w:rsid w:val="00892462"/>
    <w:rsid w:val="00893830"/>
    <w:rsid w:val="00896919"/>
    <w:rsid w:val="008A0F94"/>
    <w:rsid w:val="008A381C"/>
    <w:rsid w:val="008A3901"/>
    <w:rsid w:val="008A3E22"/>
    <w:rsid w:val="008A41A4"/>
    <w:rsid w:val="008A513B"/>
    <w:rsid w:val="008B1A0C"/>
    <w:rsid w:val="008B2208"/>
    <w:rsid w:val="008B2414"/>
    <w:rsid w:val="008B530A"/>
    <w:rsid w:val="008B666A"/>
    <w:rsid w:val="008C1163"/>
    <w:rsid w:val="008C2D8A"/>
    <w:rsid w:val="008C4CF8"/>
    <w:rsid w:val="008C4E1E"/>
    <w:rsid w:val="008D02E0"/>
    <w:rsid w:val="008D151C"/>
    <w:rsid w:val="008D1D99"/>
    <w:rsid w:val="008D20AD"/>
    <w:rsid w:val="008D3F28"/>
    <w:rsid w:val="008D4036"/>
    <w:rsid w:val="008D7602"/>
    <w:rsid w:val="008E3825"/>
    <w:rsid w:val="008E3BB2"/>
    <w:rsid w:val="008E68A1"/>
    <w:rsid w:val="008F2626"/>
    <w:rsid w:val="008F27EB"/>
    <w:rsid w:val="008F3706"/>
    <w:rsid w:val="008F5F0D"/>
    <w:rsid w:val="008F7302"/>
    <w:rsid w:val="0090471B"/>
    <w:rsid w:val="00906964"/>
    <w:rsid w:val="00910CD0"/>
    <w:rsid w:val="00911EBA"/>
    <w:rsid w:val="009156F0"/>
    <w:rsid w:val="00916523"/>
    <w:rsid w:val="009222EE"/>
    <w:rsid w:val="00924AEA"/>
    <w:rsid w:val="00924E20"/>
    <w:rsid w:val="00924E43"/>
    <w:rsid w:val="00927F7A"/>
    <w:rsid w:val="009308CD"/>
    <w:rsid w:val="00934312"/>
    <w:rsid w:val="00936C48"/>
    <w:rsid w:val="0093753B"/>
    <w:rsid w:val="00940193"/>
    <w:rsid w:val="00942E32"/>
    <w:rsid w:val="009460CF"/>
    <w:rsid w:val="009478B9"/>
    <w:rsid w:val="00947C19"/>
    <w:rsid w:val="00950A6B"/>
    <w:rsid w:val="0095185F"/>
    <w:rsid w:val="00954BA4"/>
    <w:rsid w:val="00954F9E"/>
    <w:rsid w:val="00957F8B"/>
    <w:rsid w:val="009635E0"/>
    <w:rsid w:val="0096579F"/>
    <w:rsid w:val="009658E6"/>
    <w:rsid w:val="00966496"/>
    <w:rsid w:val="00966F46"/>
    <w:rsid w:val="00970BEF"/>
    <w:rsid w:val="00970FAB"/>
    <w:rsid w:val="009712EE"/>
    <w:rsid w:val="00973B9B"/>
    <w:rsid w:val="0097458C"/>
    <w:rsid w:val="00974CC3"/>
    <w:rsid w:val="0097586C"/>
    <w:rsid w:val="00975BDE"/>
    <w:rsid w:val="009772A1"/>
    <w:rsid w:val="009842EC"/>
    <w:rsid w:val="00987FF8"/>
    <w:rsid w:val="009903BA"/>
    <w:rsid w:val="00990E6F"/>
    <w:rsid w:val="009A253D"/>
    <w:rsid w:val="009A2A16"/>
    <w:rsid w:val="009A2C56"/>
    <w:rsid w:val="009A76E6"/>
    <w:rsid w:val="009B4B1A"/>
    <w:rsid w:val="009B4C98"/>
    <w:rsid w:val="009B6F01"/>
    <w:rsid w:val="009C028C"/>
    <w:rsid w:val="009C0868"/>
    <w:rsid w:val="009C3918"/>
    <w:rsid w:val="009C5407"/>
    <w:rsid w:val="009C6D75"/>
    <w:rsid w:val="009C7E00"/>
    <w:rsid w:val="009C7F83"/>
    <w:rsid w:val="009D00DC"/>
    <w:rsid w:val="009D0887"/>
    <w:rsid w:val="009D11ED"/>
    <w:rsid w:val="009D1FE5"/>
    <w:rsid w:val="009D34EE"/>
    <w:rsid w:val="009D3D18"/>
    <w:rsid w:val="009D4852"/>
    <w:rsid w:val="009D492B"/>
    <w:rsid w:val="009D6C4C"/>
    <w:rsid w:val="009D7055"/>
    <w:rsid w:val="009D7C0C"/>
    <w:rsid w:val="009E5CD3"/>
    <w:rsid w:val="009E628D"/>
    <w:rsid w:val="009E6A45"/>
    <w:rsid w:val="009E748C"/>
    <w:rsid w:val="009F07CE"/>
    <w:rsid w:val="009F0AE0"/>
    <w:rsid w:val="009F7666"/>
    <w:rsid w:val="00A00EC5"/>
    <w:rsid w:val="00A03F84"/>
    <w:rsid w:val="00A040C3"/>
    <w:rsid w:val="00A0513F"/>
    <w:rsid w:val="00A0629C"/>
    <w:rsid w:val="00A10008"/>
    <w:rsid w:val="00A10E96"/>
    <w:rsid w:val="00A115C3"/>
    <w:rsid w:val="00A152D7"/>
    <w:rsid w:val="00A15BD8"/>
    <w:rsid w:val="00A20E70"/>
    <w:rsid w:val="00A216DA"/>
    <w:rsid w:val="00A21765"/>
    <w:rsid w:val="00A24EF2"/>
    <w:rsid w:val="00A269FC"/>
    <w:rsid w:val="00A3026A"/>
    <w:rsid w:val="00A3067D"/>
    <w:rsid w:val="00A32136"/>
    <w:rsid w:val="00A34063"/>
    <w:rsid w:val="00A364CE"/>
    <w:rsid w:val="00A44674"/>
    <w:rsid w:val="00A44B3D"/>
    <w:rsid w:val="00A50077"/>
    <w:rsid w:val="00A50F7C"/>
    <w:rsid w:val="00A51F54"/>
    <w:rsid w:val="00A534E6"/>
    <w:rsid w:val="00A54482"/>
    <w:rsid w:val="00A60F7E"/>
    <w:rsid w:val="00A63BDC"/>
    <w:rsid w:val="00A671FB"/>
    <w:rsid w:val="00A80937"/>
    <w:rsid w:val="00A821E5"/>
    <w:rsid w:val="00A8315E"/>
    <w:rsid w:val="00A845CC"/>
    <w:rsid w:val="00A862CA"/>
    <w:rsid w:val="00A95C6C"/>
    <w:rsid w:val="00AA0AA8"/>
    <w:rsid w:val="00AA0FED"/>
    <w:rsid w:val="00AA116F"/>
    <w:rsid w:val="00AA1C88"/>
    <w:rsid w:val="00AA2A7A"/>
    <w:rsid w:val="00AA59C9"/>
    <w:rsid w:val="00AA5C4A"/>
    <w:rsid w:val="00AA685F"/>
    <w:rsid w:val="00AB1E02"/>
    <w:rsid w:val="00AB3198"/>
    <w:rsid w:val="00AB399A"/>
    <w:rsid w:val="00AB5241"/>
    <w:rsid w:val="00AB5DE2"/>
    <w:rsid w:val="00AB7854"/>
    <w:rsid w:val="00AB7BBE"/>
    <w:rsid w:val="00AC13AE"/>
    <w:rsid w:val="00AC1544"/>
    <w:rsid w:val="00AC5ABB"/>
    <w:rsid w:val="00AD394A"/>
    <w:rsid w:val="00AD628E"/>
    <w:rsid w:val="00AE3811"/>
    <w:rsid w:val="00AE462C"/>
    <w:rsid w:val="00AE4A96"/>
    <w:rsid w:val="00AE50CC"/>
    <w:rsid w:val="00AE6E8A"/>
    <w:rsid w:val="00AE7252"/>
    <w:rsid w:val="00AE7F11"/>
    <w:rsid w:val="00AF00D1"/>
    <w:rsid w:val="00AF0A52"/>
    <w:rsid w:val="00AF16B2"/>
    <w:rsid w:val="00AF1FD7"/>
    <w:rsid w:val="00AF360F"/>
    <w:rsid w:val="00AF70F4"/>
    <w:rsid w:val="00AF7B0A"/>
    <w:rsid w:val="00B01572"/>
    <w:rsid w:val="00B03D99"/>
    <w:rsid w:val="00B04723"/>
    <w:rsid w:val="00B04C65"/>
    <w:rsid w:val="00B055B9"/>
    <w:rsid w:val="00B061B0"/>
    <w:rsid w:val="00B07636"/>
    <w:rsid w:val="00B10003"/>
    <w:rsid w:val="00B10956"/>
    <w:rsid w:val="00B10C43"/>
    <w:rsid w:val="00B10C91"/>
    <w:rsid w:val="00B11E49"/>
    <w:rsid w:val="00B13452"/>
    <w:rsid w:val="00B14B82"/>
    <w:rsid w:val="00B15A58"/>
    <w:rsid w:val="00B17AC8"/>
    <w:rsid w:val="00B201B6"/>
    <w:rsid w:val="00B210FC"/>
    <w:rsid w:val="00B22AD1"/>
    <w:rsid w:val="00B24C89"/>
    <w:rsid w:val="00B26692"/>
    <w:rsid w:val="00B2696D"/>
    <w:rsid w:val="00B26CCA"/>
    <w:rsid w:val="00B27D74"/>
    <w:rsid w:val="00B30E35"/>
    <w:rsid w:val="00B31013"/>
    <w:rsid w:val="00B32B02"/>
    <w:rsid w:val="00B334DD"/>
    <w:rsid w:val="00B338F0"/>
    <w:rsid w:val="00B34604"/>
    <w:rsid w:val="00B34C25"/>
    <w:rsid w:val="00B34DE7"/>
    <w:rsid w:val="00B406D8"/>
    <w:rsid w:val="00B43C61"/>
    <w:rsid w:val="00B4442D"/>
    <w:rsid w:val="00B53F50"/>
    <w:rsid w:val="00B57F27"/>
    <w:rsid w:val="00B60BDE"/>
    <w:rsid w:val="00B62015"/>
    <w:rsid w:val="00B64245"/>
    <w:rsid w:val="00B65BAE"/>
    <w:rsid w:val="00B65E92"/>
    <w:rsid w:val="00B676C1"/>
    <w:rsid w:val="00B70CEA"/>
    <w:rsid w:val="00B74976"/>
    <w:rsid w:val="00B7567E"/>
    <w:rsid w:val="00B75EE6"/>
    <w:rsid w:val="00B76489"/>
    <w:rsid w:val="00B82C76"/>
    <w:rsid w:val="00B84B0E"/>
    <w:rsid w:val="00B86A99"/>
    <w:rsid w:val="00B9045D"/>
    <w:rsid w:val="00B9371A"/>
    <w:rsid w:val="00B93B46"/>
    <w:rsid w:val="00B940C5"/>
    <w:rsid w:val="00B96577"/>
    <w:rsid w:val="00BA009C"/>
    <w:rsid w:val="00BA029B"/>
    <w:rsid w:val="00BA132E"/>
    <w:rsid w:val="00BA30E4"/>
    <w:rsid w:val="00BA311B"/>
    <w:rsid w:val="00BA5909"/>
    <w:rsid w:val="00BA7D5C"/>
    <w:rsid w:val="00BB2F05"/>
    <w:rsid w:val="00BB3E10"/>
    <w:rsid w:val="00BB4901"/>
    <w:rsid w:val="00BB5D00"/>
    <w:rsid w:val="00BB7634"/>
    <w:rsid w:val="00BC06F0"/>
    <w:rsid w:val="00BC227D"/>
    <w:rsid w:val="00BC37E7"/>
    <w:rsid w:val="00BC5209"/>
    <w:rsid w:val="00BD11CD"/>
    <w:rsid w:val="00BD3ABA"/>
    <w:rsid w:val="00BD4E82"/>
    <w:rsid w:val="00BD5129"/>
    <w:rsid w:val="00BD61AE"/>
    <w:rsid w:val="00BE11F2"/>
    <w:rsid w:val="00BE28A0"/>
    <w:rsid w:val="00BE4022"/>
    <w:rsid w:val="00BE63EB"/>
    <w:rsid w:val="00BE755D"/>
    <w:rsid w:val="00BF1738"/>
    <w:rsid w:val="00BF7695"/>
    <w:rsid w:val="00C0399D"/>
    <w:rsid w:val="00C03A0E"/>
    <w:rsid w:val="00C03EEA"/>
    <w:rsid w:val="00C0695E"/>
    <w:rsid w:val="00C0770D"/>
    <w:rsid w:val="00C13DAF"/>
    <w:rsid w:val="00C15B48"/>
    <w:rsid w:val="00C20EC1"/>
    <w:rsid w:val="00C21A08"/>
    <w:rsid w:val="00C224E9"/>
    <w:rsid w:val="00C23BA7"/>
    <w:rsid w:val="00C24D54"/>
    <w:rsid w:val="00C32B15"/>
    <w:rsid w:val="00C340D1"/>
    <w:rsid w:val="00C41889"/>
    <w:rsid w:val="00C42F71"/>
    <w:rsid w:val="00C43561"/>
    <w:rsid w:val="00C46013"/>
    <w:rsid w:val="00C47A56"/>
    <w:rsid w:val="00C47E29"/>
    <w:rsid w:val="00C508A8"/>
    <w:rsid w:val="00C5154C"/>
    <w:rsid w:val="00C52051"/>
    <w:rsid w:val="00C553C4"/>
    <w:rsid w:val="00C56819"/>
    <w:rsid w:val="00C61231"/>
    <w:rsid w:val="00C62E05"/>
    <w:rsid w:val="00C6562A"/>
    <w:rsid w:val="00C65D1D"/>
    <w:rsid w:val="00C67E11"/>
    <w:rsid w:val="00C7030C"/>
    <w:rsid w:val="00C7092A"/>
    <w:rsid w:val="00C70EAF"/>
    <w:rsid w:val="00C71D31"/>
    <w:rsid w:val="00C72456"/>
    <w:rsid w:val="00C740EC"/>
    <w:rsid w:val="00C8088F"/>
    <w:rsid w:val="00C82B73"/>
    <w:rsid w:val="00C83F46"/>
    <w:rsid w:val="00C84FBB"/>
    <w:rsid w:val="00C85D2D"/>
    <w:rsid w:val="00C85ED0"/>
    <w:rsid w:val="00C87855"/>
    <w:rsid w:val="00C9032D"/>
    <w:rsid w:val="00C95B26"/>
    <w:rsid w:val="00C95E7A"/>
    <w:rsid w:val="00C96654"/>
    <w:rsid w:val="00CA0545"/>
    <w:rsid w:val="00CA0E17"/>
    <w:rsid w:val="00CA2DFE"/>
    <w:rsid w:val="00CA34FC"/>
    <w:rsid w:val="00CA36A8"/>
    <w:rsid w:val="00CA5507"/>
    <w:rsid w:val="00CA5508"/>
    <w:rsid w:val="00CB1AF4"/>
    <w:rsid w:val="00CB57C4"/>
    <w:rsid w:val="00CC31DF"/>
    <w:rsid w:val="00CC338B"/>
    <w:rsid w:val="00CC4BC7"/>
    <w:rsid w:val="00CC546E"/>
    <w:rsid w:val="00CC55D4"/>
    <w:rsid w:val="00CC7E90"/>
    <w:rsid w:val="00CD0CC7"/>
    <w:rsid w:val="00CD173B"/>
    <w:rsid w:val="00CD1BE3"/>
    <w:rsid w:val="00CD21D4"/>
    <w:rsid w:val="00CD2AAE"/>
    <w:rsid w:val="00CD434F"/>
    <w:rsid w:val="00CD61ED"/>
    <w:rsid w:val="00CD7558"/>
    <w:rsid w:val="00CD7A10"/>
    <w:rsid w:val="00CD7A3B"/>
    <w:rsid w:val="00CE1C07"/>
    <w:rsid w:val="00CE3FDF"/>
    <w:rsid w:val="00CF061F"/>
    <w:rsid w:val="00CF167D"/>
    <w:rsid w:val="00CF2433"/>
    <w:rsid w:val="00CF2B44"/>
    <w:rsid w:val="00CF3E57"/>
    <w:rsid w:val="00CF656C"/>
    <w:rsid w:val="00CF79EA"/>
    <w:rsid w:val="00D00196"/>
    <w:rsid w:val="00D0107A"/>
    <w:rsid w:val="00D038F7"/>
    <w:rsid w:val="00D03C7A"/>
    <w:rsid w:val="00D03EBF"/>
    <w:rsid w:val="00D05E3A"/>
    <w:rsid w:val="00D06EF9"/>
    <w:rsid w:val="00D121BB"/>
    <w:rsid w:val="00D14274"/>
    <w:rsid w:val="00D1452D"/>
    <w:rsid w:val="00D1744F"/>
    <w:rsid w:val="00D227E7"/>
    <w:rsid w:val="00D246ED"/>
    <w:rsid w:val="00D25AE7"/>
    <w:rsid w:val="00D26723"/>
    <w:rsid w:val="00D26A05"/>
    <w:rsid w:val="00D302E1"/>
    <w:rsid w:val="00D318FF"/>
    <w:rsid w:val="00D330E6"/>
    <w:rsid w:val="00D33FC1"/>
    <w:rsid w:val="00D352A5"/>
    <w:rsid w:val="00D36339"/>
    <w:rsid w:val="00D40360"/>
    <w:rsid w:val="00D404A6"/>
    <w:rsid w:val="00D423BB"/>
    <w:rsid w:val="00D42A85"/>
    <w:rsid w:val="00D44996"/>
    <w:rsid w:val="00D451E0"/>
    <w:rsid w:val="00D50C2A"/>
    <w:rsid w:val="00D517A7"/>
    <w:rsid w:val="00D523E1"/>
    <w:rsid w:val="00D52746"/>
    <w:rsid w:val="00D52850"/>
    <w:rsid w:val="00D532AB"/>
    <w:rsid w:val="00D602C1"/>
    <w:rsid w:val="00D61151"/>
    <w:rsid w:val="00D63E98"/>
    <w:rsid w:val="00D642F5"/>
    <w:rsid w:val="00D64ADA"/>
    <w:rsid w:val="00D66596"/>
    <w:rsid w:val="00D67329"/>
    <w:rsid w:val="00D67FC1"/>
    <w:rsid w:val="00D72E17"/>
    <w:rsid w:val="00D7378A"/>
    <w:rsid w:val="00D747F8"/>
    <w:rsid w:val="00D7773B"/>
    <w:rsid w:val="00D80BF3"/>
    <w:rsid w:val="00D810F3"/>
    <w:rsid w:val="00D815F9"/>
    <w:rsid w:val="00D87EFE"/>
    <w:rsid w:val="00D9323A"/>
    <w:rsid w:val="00D9453D"/>
    <w:rsid w:val="00D94605"/>
    <w:rsid w:val="00DA1629"/>
    <w:rsid w:val="00DA2AA5"/>
    <w:rsid w:val="00DA2E8F"/>
    <w:rsid w:val="00DA579A"/>
    <w:rsid w:val="00DA6065"/>
    <w:rsid w:val="00DA70A7"/>
    <w:rsid w:val="00DA7EA7"/>
    <w:rsid w:val="00DB2654"/>
    <w:rsid w:val="00DB2B23"/>
    <w:rsid w:val="00DB2E04"/>
    <w:rsid w:val="00DB50E7"/>
    <w:rsid w:val="00DB6E65"/>
    <w:rsid w:val="00DC107D"/>
    <w:rsid w:val="00DC1605"/>
    <w:rsid w:val="00DC4631"/>
    <w:rsid w:val="00DC5582"/>
    <w:rsid w:val="00DC6A97"/>
    <w:rsid w:val="00DD1172"/>
    <w:rsid w:val="00DD132D"/>
    <w:rsid w:val="00DD1412"/>
    <w:rsid w:val="00DD4553"/>
    <w:rsid w:val="00DE0B0F"/>
    <w:rsid w:val="00DE0EEA"/>
    <w:rsid w:val="00DE4E44"/>
    <w:rsid w:val="00DE6E1D"/>
    <w:rsid w:val="00DE7585"/>
    <w:rsid w:val="00DE7C6F"/>
    <w:rsid w:val="00DF1748"/>
    <w:rsid w:val="00DF2719"/>
    <w:rsid w:val="00DF2D22"/>
    <w:rsid w:val="00DF5362"/>
    <w:rsid w:val="00DF6694"/>
    <w:rsid w:val="00E00B9A"/>
    <w:rsid w:val="00E013FA"/>
    <w:rsid w:val="00E0341C"/>
    <w:rsid w:val="00E072D8"/>
    <w:rsid w:val="00E075FA"/>
    <w:rsid w:val="00E125BD"/>
    <w:rsid w:val="00E12F49"/>
    <w:rsid w:val="00E14BBA"/>
    <w:rsid w:val="00E150A9"/>
    <w:rsid w:val="00E15594"/>
    <w:rsid w:val="00E220D2"/>
    <w:rsid w:val="00E220DE"/>
    <w:rsid w:val="00E25849"/>
    <w:rsid w:val="00E267B7"/>
    <w:rsid w:val="00E26BD5"/>
    <w:rsid w:val="00E273AE"/>
    <w:rsid w:val="00E27629"/>
    <w:rsid w:val="00E307CE"/>
    <w:rsid w:val="00E31747"/>
    <w:rsid w:val="00E33D95"/>
    <w:rsid w:val="00E34753"/>
    <w:rsid w:val="00E367F6"/>
    <w:rsid w:val="00E36902"/>
    <w:rsid w:val="00E41CC5"/>
    <w:rsid w:val="00E43969"/>
    <w:rsid w:val="00E4396C"/>
    <w:rsid w:val="00E44A20"/>
    <w:rsid w:val="00E5093C"/>
    <w:rsid w:val="00E515FD"/>
    <w:rsid w:val="00E53BE0"/>
    <w:rsid w:val="00E55394"/>
    <w:rsid w:val="00E55463"/>
    <w:rsid w:val="00E5792F"/>
    <w:rsid w:val="00E60A9E"/>
    <w:rsid w:val="00E63739"/>
    <w:rsid w:val="00E64B1C"/>
    <w:rsid w:val="00E65264"/>
    <w:rsid w:val="00E72F28"/>
    <w:rsid w:val="00E743D1"/>
    <w:rsid w:val="00E750A7"/>
    <w:rsid w:val="00E80DEF"/>
    <w:rsid w:val="00E8271E"/>
    <w:rsid w:val="00E82DB4"/>
    <w:rsid w:val="00E862F8"/>
    <w:rsid w:val="00E92B3C"/>
    <w:rsid w:val="00E93900"/>
    <w:rsid w:val="00E93AB7"/>
    <w:rsid w:val="00EA13B5"/>
    <w:rsid w:val="00EA27B9"/>
    <w:rsid w:val="00EA2FFE"/>
    <w:rsid w:val="00EB1C37"/>
    <w:rsid w:val="00EB1D8C"/>
    <w:rsid w:val="00EB3E7A"/>
    <w:rsid w:val="00EB66D3"/>
    <w:rsid w:val="00EB722C"/>
    <w:rsid w:val="00EB7823"/>
    <w:rsid w:val="00EC013F"/>
    <w:rsid w:val="00EC120A"/>
    <w:rsid w:val="00EC653F"/>
    <w:rsid w:val="00ED67E1"/>
    <w:rsid w:val="00ED6FC3"/>
    <w:rsid w:val="00EE027D"/>
    <w:rsid w:val="00EE386D"/>
    <w:rsid w:val="00EE437A"/>
    <w:rsid w:val="00EE5CD9"/>
    <w:rsid w:val="00EE5EFF"/>
    <w:rsid w:val="00EF5100"/>
    <w:rsid w:val="00EF5658"/>
    <w:rsid w:val="00EF573E"/>
    <w:rsid w:val="00EF6E68"/>
    <w:rsid w:val="00F017EF"/>
    <w:rsid w:val="00F01B44"/>
    <w:rsid w:val="00F0311F"/>
    <w:rsid w:val="00F03C85"/>
    <w:rsid w:val="00F03F69"/>
    <w:rsid w:val="00F04E10"/>
    <w:rsid w:val="00F05DAE"/>
    <w:rsid w:val="00F1091B"/>
    <w:rsid w:val="00F10C9D"/>
    <w:rsid w:val="00F128A5"/>
    <w:rsid w:val="00F152E1"/>
    <w:rsid w:val="00F175C5"/>
    <w:rsid w:val="00F17ABD"/>
    <w:rsid w:val="00F22B30"/>
    <w:rsid w:val="00F25EF0"/>
    <w:rsid w:val="00F2608C"/>
    <w:rsid w:val="00F261AF"/>
    <w:rsid w:val="00F2681D"/>
    <w:rsid w:val="00F30E93"/>
    <w:rsid w:val="00F31679"/>
    <w:rsid w:val="00F32BB7"/>
    <w:rsid w:val="00F34B2D"/>
    <w:rsid w:val="00F35249"/>
    <w:rsid w:val="00F358B1"/>
    <w:rsid w:val="00F36BFE"/>
    <w:rsid w:val="00F40AB2"/>
    <w:rsid w:val="00F425F2"/>
    <w:rsid w:val="00F42605"/>
    <w:rsid w:val="00F42C59"/>
    <w:rsid w:val="00F441C8"/>
    <w:rsid w:val="00F4484A"/>
    <w:rsid w:val="00F44B57"/>
    <w:rsid w:val="00F45683"/>
    <w:rsid w:val="00F47991"/>
    <w:rsid w:val="00F50604"/>
    <w:rsid w:val="00F5374D"/>
    <w:rsid w:val="00F54AE6"/>
    <w:rsid w:val="00F577ED"/>
    <w:rsid w:val="00F60C25"/>
    <w:rsid w:val="00F6388E"/>
    <w:rsid w:val="00F63C77"/>
    <w:rsid w:val="00F649CA"/>
    <w:rsid w:val="00F65183"/>
    <w:rsid w:val="00F65258"/>
    <w:rsid w:val="00F66F6F"/>
    <w:rsid w:val="00F6771D"/>
    <w:rsid w:val="00F71E0B"/>
    <w:rsid w:val="00F732D3"/>
    <w:rsid w:val="00F747C4"/>
    <w:rsid w:val="00F75F13"/>
    <w:rsid w:val="00F76BA0"/>
    <w:rsid w:val="00F76C10"/>
    <w:rsid w:val="00F8078A"/>
    <w:rsid w:val="00F81D54"/>
    <w:rsid w:val="00F82372"/>
    <w:rsid w:val="00F84718"/>
    <w:rsid w:val="00F84BA7"/>
    <w:rsid w:val="00F861DF"/>
    <w:rsid w:val="00F86AA1"/>
    <w:rsid w:val="00F91041"/>
    <w:rsid w:val="00FA010B"/>
    <w:rsid w:val="00FA2615"/>
    <w:rsid w:val="00FA30D7"/>
    <w:rsid w:val="00FA4E17"/>
    <w:rsid w:val="00FA65DF"/>
    <w:rsid w:val="00FB0AB4"/>
    <w:rsid w:val="00FB448C"/>
    <w:rsid w:val="00FB74AB"/>
    <w:rsid w:val="00FB7FF8"/>
    <w:rsid w:val="00FC0167"/>
    <w:rsid w:val="00FC2128"/>
    <w:rsid w:val="00FC4203"/>
    <w:rsid w:val="00FC42B3"/>
    <w:rsid w:val="00FC6306"/>
    <w:rsid w:val="00FC6EC1"/>
    <w:rsid w:val="00FD1251"/>
    <w:rsid w:val="00FD18C6"/>
    <w:rsid w:val="00FD26FC"/>
    <w:rsid w:val="00FD5FF9"/>
    <w:rsid w:val="00FD6DDC"/>
    <w:rsid w:val="00FD7402"/>
    <w:rsid w:val="00FE1779"/>
    <w:rsid w:val="00FE2A3E"/>
    <w:rsid w:val="00FE3C53"/>
    <w:rsid w:val="00FE53D1"/>
    <w:rsid w:val="00FE6FEF"/>
    <w:rsid w:val="00FF65FE"/>
    <w:rsid w:val="00FF6668"/>
    <w:rsid w:val="00FF671A"/>
    <w:rsid w:val="00FF6F54"/>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hapeDefaults>
    <o:shapedefaults v:ext="edit" spidmax="2055"/>
    <o:shapelayout v:ext="edit">
      <o:idmap v:ext="edit" data="1"/>
      <o:rules v:ext="edit">
        <o:r id="V:Rule18" type="connector" idref="#_x0000_s1190"/>
        <o:r id="V:Rule19" type="connector" idref="#_x0000_s1246"/>
        <o:r id="V:Rule20" type="connector" idref="#_x0000_s1244"/>
        <o:r id="V:Rule21" type="connector" idref="#_x0000_s1220"/>
        <o:r id="V:Rule22" type="connector" idref="#_x0000_s1245"/>
        <o:r id="V:Rule23" type="connector" idref="#_x0000_s1207"/>
        <o:r id="V:Rule24" type="connector" idref="#_x0000_s1191"/>
        <o:r id="V:Rule25" type="connector" idref="#_x0000_s1249"/>
        <o:r id="V:Rule26" type="connector" idref="#_x0000_s1240"/>
        <o:r id="V:Rule27" type="connector" idref="#_x0000_s1217"/>
        <o:r id="V:Rule28" type="connector" idref="#_x0000_s1188"/>
        <o:r id="V:Rule29" type="connector" idref="#_x0000_s1241"/>
        <o:r id="V:Rule30" type="connector" idref="#_x0000_s1239"/>
        <o:r id="V:Rule31" type="connector" idref="#_x0000_s1243"/>
        <o:r id="V:Rule32" type="connector" idref="#_x0000_s1247"/>
        <o:r id="V:Rule33" type="connector" idref="#_x0000_s1189"/>
        <o:r id="V:Rule34" type="connector" idref="#_x0000_s12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C6F"/>
    <w:pPr>
      <w:spacing w:after="240"/>
    </w:pPr>
    <w:rPr>
      <w:sz w:val="24"/>
    </w:rPr>
  </w:style>
  <w:style w:type="paragraph" w:styleId="Heading1">
    <w:name w:val="heading 1"/>
    <w:basedOn w:val="Normal"/>
    <w:next w:val="Normal"/>
    <w:qFormat/>
    <w:rsid w:val="006D1ADE"/>
    <w:pPr>
      <w:keepNext/>
      <w:numPr>
        <w:numId w:val="27"/>
      </w:numPr>
      <w:tabs>
        <w:tab w:val="left" w:pos="360"/>
      </w:tabs>
      <w:spacing w:after="480"/>
      <w:outlineLvl w:val="0"/>
    </w:pPr>
    <w:rPr>
      <w:rFonts w:ascii="Arial" w:hAnsi="Arial"/>
      <w:b/>
      <w:sz w:val="36"/>
    </w:rPr>
  </w:style>
  <w:style w:type="paragraph" w:styleId="Heading2">
    <w:name w:val="heading 2"/>
    <w:basedOn w:val="Normal"/>
    <w:next w:val="Normal"/>
    <w:link w:val="Heading2Char"/>
    <w:qFormat/>
    <w:rsid w:val="006D1ADE"/>
    <w:pPr>
      <w:keepNext/>
      <w:numPr>
        <w:ilvl w:val="1"/>
        <w:numId w:val="27"/>
      </w:numPr>
      <w:spacing w:before="240"/>
      <w:outlineLvl w:val="1"/>
    </w:pPr>
    <w:rPr>
      <w:rFonts w:ascii="Arial" w:hAnsi="Arial"/>
      <w:b/>
      <w:sz w:val="30"/>
    </w:rPr>
  </w:style>
  <w:style w:type="paragraph" w:styleId="Heading3">
    <w:name w:val="heading 3"/>
    <w:basedOn w:val="Normal"/>
    <w:next w:val="Normal"/>
    <w:link w:val="Heading3Char"/>
    <w:qFormat/>
    <w:rsid w:val="006D1ADE"/>
    <w:pPr>
      <w:keepNext/>
      <w:numPr>
        <w:ilvl w:val="2"/>
        <w:numId w:val="27"/>
      </w:numPr>
      <w:spacing w:before="120" w:after="120"/>
      <w:outlineLvl w:val="2"/>
    </w:pPr>
    <w:rPr>
      <w:rFonts w:ascii="Arial" w:hAnsi="Arial"/>
      <w:b/>
    </w:rPr>
  </w:style>
  <w:style w:type="paragraph" w:styleId="Heading4">
    <w:name w:val="heading 4"/>
    <w:basedOn w:val="Normal"/>
    <w:next w:val="Normal"/>
    <w:qFormat/>
    <w:rsid w:val="006D1ADE"/>
    <w:pPr>
      <w:keepNext/>
      <w:numPr>
        <w:ilvl w:val="3"/>
        <w:numId w:val="27"/>
      </w:numPr>
      <w:spacing w:after="120"/>
      <w:outlineLvl w:val="3"/>
    </w:pPr>
    <w:rPr>
      <w:rFonts w:ascii="Arial" w:hAnsi="Arial"/>
      <w:b/>
      <w:i/>
    </w:rPr>
  </w:style>
  <w:style w:type="paragraph" w:styleId="Heading5">
    <w:name w:val="heading 5"/>
    <w:basedOn w:val="Normal"/>
    <w:next w:val="Normal"/>
    <w:qFormat/>
    <w:rsid w:val="006D1ADE"/>
    <w:pPr>
      <w:numPr>
        <w:ilvl w:val="4"/>
        <w:numId w:val="27"/>
      </w:numPr>
      <w:spacing w:after="120"/>
      <w:outlineLvl w:val="4"/>
    </w:pPr>
    <w:rPr>
      <w:rFonts w:ascii="Arial" w:hAnsi="Arial"/>
      <w:i/>
    </w:rPr>
  </w:style>
  <w:style w:type="paragraph" w:styleId="Heading6">
    <w:name w:val="heading 6"/>
    <w:basedOn w:val="Normal"/>
    <w:next w:val="Normal"/>
    <w:qFormat/>
    <w:rsid w:val="00DC107D"/>
    <w:pPr>
      <w:numPr>
        <w:ilvl w:val="5"/>
        <w:numId w:val="27"/>
      </w:numPr>
      <w:spacing w:before="240" w:after="60"/>
      <w:outlineLvl w:val="5"/>
    </w:pPr>
    <w:rPr>
      <w:b/>
      <w:bCs/>
      <w:sz w:val="22"/>
      <w:szCs w:val="22"/>
    </w:rPr>
  </w:style>
  <w:style w:type="paragraph" w:styleId="Heading7">
    <w:name w:val="heading 7"/>
    <w:basedOn w:val="Normal"/>
    <w:next w:val="Normal"/>
    <w:qFormat/>
    <w:rsid w:val="00DC107D"/>
    <w:pPr>
      <w:numPr>
        <w:ilvl w:val="6"/>
        <w:numId w:val="27"/>
      </w:numPr>
      <w:spacing w:before="240" w:after="60"/>
      <w:outlineLvl w:val="6"/>
    </w:pPr>
    <w:rPr>
      <w:szCs w:val="24"/>
    </w:rPr>
  </w:style>
  <w:style w:type="paragraph" w:styleId="Heading8">
    <w:name w:val="heading 8"/>
    <w:basedOn w:val="Normal"/>
    <w:next w:val="Normal"/>
    <w:qFormat/>
    <w:rsid w:val="00DC107D"/>
    <w:pPr>
      <w:numPr>
        <w:ilvl w:val="7"/>
        <w:numId w:val="27"/>
      </w:numPr>
      <w:spacing w:before="240" w:after="60"/>
      <w:outlineLvl w:val="7"/>
    </w:pPr>
    <w:rPr>
      <w:i/>
      <w:iCs/>
      <w:szCs w:val="24"/>
    </w:rPr>
  </w:style>
  <w:style w:type="paragraph" w:styleId="Heading9">
    <w:name w:val="heading 9"/>
    <w:basedOn w:val="Normal"/>
    <w:next w:val="Normal"/>
    <w:qFormat/>
    <w:rsid w:val="00DC107D"/>
    <w:pPr>
      <w:numPr>
        <w:ilvl w:val="8"/>
        <w:numId w:val="2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2C6F"/>
    <w:pPr>
      <w:tabs>
        <w:tab w:val="center" w:pos="4153"/>
        <w:tab w:val="right" w:pos="8306"/>
      </w:tabs>
    </w:pPr>
  </w:style>
  <w:style w:type="paragraph" w:styleId="Caption">
    <w:name w:val="caption"/>
    <w:basedOn w:val="Normal"/>
    <w:next w:val="Normal"/>
    <w:qFormat/>
    <w:rsid w:val="00262C6F"/>
    <w:pPr>
      <w:spacing w:before="120" w:after="120"/>
    </w:pPr>
    <w:rPr>
      <w:b/>
    </w:rPr>
  </w:style>
  <w:style w:type="character" w:customStyle="1" w:styleId="AERCopyrighttext">
    <w:name w:val="AER Copyright text"/>
    <w:basedOn w:val="DefaultParagraphFont"/>
    <w:rsid w:val="00BA311B"/>
    <w:rPr>
      <w:rFonts w:ascii="Times New Roman" w:hAnsi="Times New Roman" w:cs="Times New Roman" w:hint="default"/>
      <w:sz w:val="20"/>
    </w:rPr>
  </w:style>
  <w:style w:type="paragraph" w:styleId="BalloonText">
    <w:name w:val="Balloon Text"/>
    <w:basedOn w:val="Normal"/>
    <w:semiHidden/>
    <w:rsid w:val="00DA2E8F"/>
    <w:rPr>
      <w:rFonts w:ascii="Tahoma" w:hAnsi="Tahoma" w:cs="Tahoma"/>
      <w:sz w:val="16"/>
      <w:szCs w:val="16"/>
    </w:rPr>
  </w:style>
  <w:style w:type="paragraph" w:customStyle="1" w:styleId="Quotes">
    <w:name w:val="Quotes"/>
    <w:basedOn w:val="Normal"/>
    <w:link w:val="QuotesChar"/>
    <w:rsid w:val="00262C6F"/>
    <w:pPr>
      <w:ind w:left="397" w:right="397"/>
    </w:pPr>
    <w:rPr>
      <w:sz w:val="20"/>
    </w:rPr>
  </w:style>
  <w:style w:type="paragraph" w:styleId="TOC1">
    <w:name w:val="toc 1"/>
    <w:basedOn w:val="Normal"/>
    <w:next w:val="Normal"/>
    <w:uiPriority w:val="39"/>
    <w:rsid w:val="00645293"/>
    <w:pPr>
      <w:tabs>
        <w:tab w:val="right" w:leader="dot" w:pos="8453"/>
      </w:tabs>
      <w:spacing w:before="120" w:after="120"/>
      <w:ind w:left="360" w:hanging="360"/>
    </w:pPr>
    <w:rPr>
      <w:b/>
    </w:rPr>
  </w:style>
  <w:style w:type="paragraph" w:styleId="TOC2">
    <w:name w:val="toc 2"/>
    <w:basedOn w:val="Normal"/>
    <w:next w:val="Normal"/>
    <w:uiPriority w:val="39"/>
    <w:rsid w:val="00DA2E8F"/>
    <w:pPr>
      <w:tabs>
        <w:tab w:val="right" w:leader="dot" w:pos="8453"/>
      </w:tabs>
      <w:spacing w:after="0"/>
    </w:pPr>
  </w:style>
  <w:style w:type="paragraph" w:styleId="TOC3">
    <w:name w:val="toc 3"/>
    <w:basedOn w:val="Normal"/>
    <w:next w:val="Normal"/>
    <w:uiPriority w:val="39"/>
    <w:rsid w:val="00262C6F"/>
    <w:pPr>
      <w:tabs>
        <w:tab w:val="right" w:leader="dot" w:pos="8453"/>
      </w:tabs>
      <w:spacing w:after="0"/>
      <w:ind w:left="360"/>
    </w:pPr>
  </w:style>
  <w:style w:type="paragraph" w:styleId="TOC4">
    <w:name w:val="toc 4"/>
    <w:basedOn w:val="Normal"/>
    <w:next w:val="Normal"/>
    <w:uiPriority w:val="39"/>
    <w:rsid w:val="00262C6F"/>
    <w:pPr>
      <w:tabs>
        <w:tab w:val="right" w:leader="dot" w:pos="8453"/>
      </w:tabs>
      <w:spacing w:after="0"/>
      <w:ind w:left="720"/>
    </w:pPr>
  </w:style>
  <w:style w:type="character" w:styleId="PageNumber">
    <w:name w:val="page number"/>
    <w:basedOn w:val="DefaultParagraphFont"/>
    <w:rsid w:val="00262C6F"/>
  </w:style>
  <w:style w:type="paragraph" w:styleId="Header">
    <w:name w:val="header"/>
    <w:basedOn w:val="Normal"/>
    <w:rsid w:val="00262C6F"/>
    <w:pPr>
      <w:tabs>
        <w:tab w:val="center" w:pos="4153"/>
        <w:tab w:val="right" w:pos="8306"/>
      </w:tabs>
    </w:pPr>
  </w:style>
  <w:style w:type="paragraph" w:styleId="ListBullet">
    <w:name w:val="List Bullet"/>
    <w:basedOn w:val="Normal"/>
    <w:rsid w:val="00262C6F"/>
    <w:pPr>
      <w:numPr>
        <w:numId w:val="3"/>
      </w:numPr>
    </w:pPr>
  </w:style>
  <w:style w:type="character" w:styleId="FootnoteReference">
    <w:name w:val="footnote reference"/>
    <w:aliases w:val="(NECG) Footnote Reference,o,Style 3,Style 12,fr,Appel note de bas de p,Style 124,(NECG) Footnote,(NECG) Footnote Reference1,(NECG) Footnote Reference2"/>
    <w:basedOn w:val="DefaultParagraphFont"/>
    <w:rsid w:val="00262C6F"/>
    <w:rPr>
      <w:rFonts w:ascii="Times New Roman" w:hAnsi="Times New Roman"/>
      <w:sz w:val="18"/>
      <w:vertAlign w:val="superscript"/>
    </w:rPr>
  </w:style>
  <w:style w:type="paragraph" w:styleId="FootnoteText">
    <w:name w:val="footnote text"/>
    <w:aliases w:val="ALTS FOOTNOTE,Footnote Text Char2,Footnote Text Char Char1,Footnote Text Char1 Char Char,Footnote Text Char Char Char Char,Footnote Text Char1 Char Char Char Char,Footnote Text Char Char Char Char Char Char,Footnote Text Char,Footnote text"/>
    <w:basedOn w:val="Normal"/>
    <w:link w:val="FootnoteTextChar1"/>
    <w:rsid w:val="00262C6F"/>
    <w:pPr>
      <w:ind w:left="360" w:hanging="360"/>
    </w:pPr>
    <w:rPr>
      <w:sz w:val="20"/>
    </w:rPr>
  </w:style>
  <w:style w:type="paragraph" w:styleId="ListBullet2">
    <w:name w:val="List Bullet 2"/>
    <w:basedOn w:val="Normal"/>
    <w:rsid w:val="00262C6F"/>
    <w:pPr>
      <w:numPr>
        <w:numId w:val="2"/>
      </w:numPr>
      <w:tabs>
        <w:tab w:val="clear" w:pos="360"/>
      </w:tabs>
      <w:ind w:left="714" w:hanging="357"/>
    </w:pPr>
  </w:style>
  <w:style w:type="paragraph" w:styleId="ListBullet3">
    <w:name w:val="List Bullet 3"/>
    <w:basedOn w:val="Normal"/>
    <w:rsid w:val="00262C6F"/>
    <w:pPr>
      <w:numPr>
        <w:numId w:val="1"/>
      </w:numPr>
      <w:tabs>
        <w:tab w:val="clear" w:pos="360"/>
      </w:tabs>
      <w:ind w:left="1071" w:hanging="357"/>
    </w:pPr>
  </w:style>
  <w:style w:type="character" w:styleId="Hyperlink">
    <w:name w:val="Hyperlink"/>
    <w:basedOn w:val="DefaultParagraphFont"/>
    <w:uiPriority w:val="99"/>
    <w:rsid w:val="00DA2E8F"/>
    <w:rPr>
      <w:color w:val="0000FF"/>
      <w:u w:val="single"/>
    </w:rPr>
  </w:style>
  <w:style w:type="character" w:customStyle="1" w:styleId="FootnoteTextChar1">
    <w:name w:val="Footnote Text Char1"/>
    <w:aliases w:val="ALTS FOOTNOTE Char,Footnote Text Char2 Char,Footnote Text Char Char1 Char,Footnote Text Char1 Char Char Char,Footnote Text Char Char Char Char Char,Footnote Text Char1 Char Char Char Char Char,Footnote Text Char Char"/>
    <w:basedOn w:val="DefaultParagraphFont"/>
    <w:link w:val="FootnoteText"/>
    <w:rsid w:val="0082372B"/>
    <w:rPr>
      <w:lang w:val="en-AU" w:eastAsia="en-AU" w:bidi="ar-SA"/>
    </w:rPr>
  </w:style>
  <w:style w:type="character" w:styleId="CommentReference">
    <w:name w:val="annotation reference"/>
    <w:basedOn w:val="DefaultParagraphFont"/>
    <w:semiHidden/>
    <w:rsid w:val="0082372B"/>
    <w:rPr>
      <w:rFonts w:cs="Times New Roman"/>
      <w:sz w:val="16"/>
      <w:szCs w:val="16"/>
    </w:rPr>
  </w:style>
  <w:style w:type="paragraph" w:styleId="CommentText">
    <w:name w:val="annotation text"/>
    <w:basedOn w:val="Normal"/>
    <w:link w:val="CommentTextChar"/>
    <w:semiHidden/>
    <w:rsid w:val="0082372B"/>
    <w:pPr>
      <w:spacing w:after="0"/>
    </w:pPr>
    <w:rPr>
      <w:sz w:val="20"/>
    </w:rPr>
  </w:style>
  <w:style w:type="character" w:customStyle="1" w:styleId="CommentTextChar">
    <w:name w:val="Comment Text Char"/>
    <w:basedOn w:val="DefaultParagraphFont"/>
    <w:link w:val="CommentText"/>
    <w:semiHidden/>
    <w:locked/>
    <w:rsid w:val="0082372B"/>
    <w:rPr>
      <w:lang w:val="en-AU" w:eastAsia="en-AU" w:bidi="ar-SA"/>
    </w:rPr>
  </w:style>
  <w:style w:type="table" w:styleId="TableGrid">
    <w:name w:val="Table Grid"/>
    <w:basedOn w:val="TableNormal"/>
    <w:rsid w:val="008237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Text">
    <w:name w:val="Table Text"/>
    <w:basedOn w:val="Normal"/>
    <w:rsid w:val="0082372B"/>
    <w:pPr>
      <w:spacing w:before="120" w:after="120" w:line="264" w:lineRule="auto"/>
      <w:jc w:val="center"/>
    </w:pPr>
    <w:rPr>
      <w:rFonts w:ascii="Arial" w:hAnsi="Arial" w:cs="Arial"/>
      <w:sz w:val="18"/>
      <w:lang w:eastAsia="en-US"/>
    </w:rPr>
  </w:style>
  <w:style w:type="paragraph" w:styleId="TOC5">
    <w:name w:val="toc 5"/>
    <w:basedOn w:val="Normal"/>
    <w:next w:val="Normal"/>
    <w:autoRedefine/>
    <w:semiHidden/>
    <w:rsid w:val="00CF167D"/>
    <w:pPr>
      <w:ind w:left="960"/>
    </w:pPr>
  </w:style>
  <w:style w:type="paragraph" w:styleId="CommentSubject">
    <w:name w:val="annotation subject"/>
    <w:basedOn w:val="CommentText"/>
    <w:next w:val="CommentText"/>
    <w:semiHidden/>
    <w:rsid w:val="00E27629"/>
    <w:pPr>
      <w:spacing w:after="240"/>
    </w:pPr>
    <w:rPr>
      <w:b/>
      <w:bCs/>
    </w:rPr>
  </w:style>
  <w:style w:type="paragraph" w:styleId="DocumentMap">
    <w:name w:val="Document Map"/>
    <w:basedOn w:val="Normal"/>
    <w:semiHidden/>
    <w:rsid w:val="00E750A7"/>
    <w:pPr>
      <w:shd w:val="clear" w:color="auto" w:fill="000080"/>
    </w:pPr>
    <w:rPr>
      <w:rFonts w:ascii="Tahoma" w:hAnsi="Tahoma" w:cs="Tahoma"/>
      <w:sz w:val="20"/>
    </w:rPr>
  </w:style>
  <w:style w:type="paragraph" w:styleId="BodyText">
    <w:name w:val="Body Text"/>
    <w:basedOn w:val="Normal"/>
    <w:rsid w:val="002C240C"/>
    <w:pPr>
      <w:spacing w:after="120"/>
    </w:pPr>
  </w:style>
  <w:style w:type="numbering" w:styleId="1ai">
    <w:name w:val="Outline List 1"/>
    <w:basedOn w:val="NoList"/>
    <w:rsid w:val="00DC107D"/>
    <w:pPr>
      <w:numPr>
        <w:numId w:val="9"/>
      </w:numPr>
    </w:pPr>
  </w:style>
  <w:style w:type="numbering" w:styleId="111111">
    <w:name w:val="Outline List 2"/>
    <w:basedOn w:val="NoList"/>
    <w:rsid w:val="00DC107D"/>
    <w:pPr>
      <w:numPr>
        <w:numId w:val="8"/>
      </w:numPr>
    </w:pPr>
  </w:style>
  <w:style w:type="character" w:customStyle="1" w:styleId="Heading3Char">
    <w:name w:val="Heading 3 Char"/>
    <w:basedOn w:val="DefaultParagraphFont"/>
    <w:link w:val="Heading3"/>
    <w:rsid w:val="00075D81"/>
    <w:rPr>
      <w:rFonts w:ascii="Arial" w:hAnsi="Arial"/>
      <w:b/>
      <w:sz w:val="24"/>
    </w:rPr>
  </w:style>
  <w:style w:type="numbering" w:customStyle="1" w:styleId="Style1">
    <w:name w:val="Style1"/>
    <w:rsid w:val="0063528A"/>
    <w:pPr>
      <w:numPr>
        <w:numId w:val="10"/>
      </w:numPr>
    </w:pPr>
  </w:style>
  <w:style w:type="numbering" w:styleId="ArticleSection">
    <w:name w:val="Outline List 3"/>
    <w:basedOn w:val="NoList"/>
    <w:rsid w:val="0063528A"/>
    <w:pPr>
      <w:numPr>
        <w:numId w:val="11"/>
      </w:numPr>
    </w:pPr>
  </w:style>
  <w:style w:type="character" w:customStyle="1" w:styleId="CharChar">
    <w:name w:val="Char Char"/>
    <w:basedOn w:val="DefaultParagraphFont"/>
    <w:semiHidden/>
    <w:locked/>
    <w:rsid w:val="00936C48"/>
    <w:rPr>
      <w:lang w:val="en-AU" w:eastAsia="en-AU" w:bidi="ar-SA"/>
    </w:rPr>
  </w:style>
  <w:style w:type="character" w:customStyle="1" w:styleId="CharChar1">
    <w:name w:val="Char Char1"/>
    <w:basedOn w:val="DefaultParagraphFont"/>
    <w:rsid w:val="00936C48"/>
    <w:rPr>
      <w:rFonts w:ascii="Arial" w:hAnsi="Arial"/>
      <w:b/>
      <w:sz w:val="24"/>
      <w:lang w:val="en-AU" w:eastAsia="en-AU" w:bidi="ar-SA"/>
    </w:rPr>
  </w:style>
  <w:style w:type="paragraph" w:styleId="EnvelopeAddress">
    <w:name w:val="envelope address"/>
    <w:basedOn w:val="Normal"/>
    <w:rsid w:val="00F3524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F35249"/>
    <w:pPr>
      <w:spacing w:after="0"/>
    </w:pPr>
    <w:rPr>
      <w:rFonts w:ascii="Arial" w:hAnsi="Arial" w:cs="Arial"/>
      <w:sz w:val="20"/>
    </w:rPr>
  </w:style>
  <w:style w:type="paragraph" w:customStyle="1" w:styleId="R2">
    <w:name w:val="R2"/>
    <w:aliases w:val="(2)"/>
    <w:basedOn w:val="Normal"/>
    <w:rsid w:val="00CD7558"/>
    <w:pPr>
      <w:tabs>
        <w:tab w:val="right" w:pos="794"/>
      </w:tabs>
      <w:spacing w:before="180" w:after="0" w:line="260" w:lineRule="exact"/>
      <w:ind w:left="964" w:hanging="964"/>
      <w:jc w:val="both"/>
    </w:pPr>
    <w:rPr>
      <w:szCs w:val="24"/>
      <w:lang w:eastAsia="en-US"/>
    </w:rPr>
  </w:style>
  <w:style w:type="paragraph" w:customStyle="1" w:styleId="NoteBody">
    <w:name w:val="Note Body"/>
    <w:basedOn w:val="Normal"/>
    <w:rsid w:val="00CD7558"/>
    <w:pPr>
      <w:tabs>
        <w:tab w:val="left" w:pos="1560"/>
      </w:tabs>
      <w:spacing w:before="120" w:after="0" w:line="220" w:lineRule="exact"/>
      <w:ind w:left="964"/>
      <w:jc w:val="both"/>
    </w:pPr>
    <w:rPr>
      <w:sz w:val="20"/>
    </w:rPr>
  </w:style>
  <w:style w:type="character" w:customStyle="1" w:styleId="QuotesChar">
    <w:name w:val="Quotes Char"/>
    <w:basedOn w:val="DefaultParagraphFont"/>
    <w:link w:val="Quotes"/>
    <w:rsid w:val="00AB399A"/>
    <w:rPr>
      <w:lang w:val="en-AU" w:eastAsia="en-AU" w:bidi="ar-SA"/>
    </w:rPr>
  </w:style>
  <w:style w:type="paragraph" w:customStyle="1" w:styleId="LegalFirstLevel">
    <w:name w:val="Legal First Level"/>
    <w:rsid w:val="00B201B6"/>
    <w:pPr>
      <w:numPr>
        <w:numId w:val="49"/>
      </w:numPr>
      <w:spacing w:after="240"/>
      <w:jc w:val="both"/>
    </w:pPr>
    <w:rPr>
      <w:sz w:val="24"/>
      <w:szCs w:val="22"/>
      <w:lang w:eastAsia="en-US"/>
    </w:rPr>
  </w:style>
  <w:style w:type="paragraph" w:customStyle="1" w:styleId="LegalSecondLevel">
    <w:name w:val="Legal Second Level"/>
    <w:basedOn w:val="LegalFirstLevel"/>
    <w:rsid w:val="00B201B6"/>
    <w:pPr>
      <w:numPr>
        <w:ilvl w:val="1"/>
      </w:numPr>
    </w:pPr>
  </w:style>
  <w:style w:type="paragraph" w:customStyle="1" w:styleId="LegalThirdLevel">
    <w:name w:val="Legal Third Level"/>
    <w:basedOn w:val="LegalSecondLevel"/>
    <w:rsid w:val="00B201B6"/>
    <w:pPr>
      <w:numPr>
        <w:ilvl w:val="2"/>
      </w:numPr>
    </w:pPr>
  </w:style>
  <w:style w:type="character" w:styleId="FollowedHyperlink">
    <w:name w:val="FollowedHyperlink"/>
    <w:basedOn w:val="DefaultParagraphFont"/>
    <w:rsid w:val="00B70CEA"/>
    <w:rPr>
      <w:color w:val="800080"/>
      <w:u w:val="single"/>
    </w:rPr>
  </w:style>
  <w:style w:type="paragraph" w:styleId="Revision">
    <w:name w:val="Revision"/>
    <w:hidden/>
    <w:uiPriority w:val="99"/>
    <w:semiHidden/>
    <w:rsid w:val="00432284"/>
    <w:rPr>
      <w:sz w:val="24"/>
    </w:rPr>
  </w:style>
  <w:style w:type="character" w:customStyle="1" w:styleId="Heading2Char">
    <w:name w:val="Heading 2 Char"/>
    <w:basedOn w:val="DefaultParagraphFont"/>
    <w:link w:val="Heading2"/>
    <w:rsid w:val="00714F66"/>
    <w:rPr>
      <w:rFonts w:ascii="Arial" w:hAnsi="Arial"/>
      <w:b/>
      <w:sz w:val="30"/>
    </w:rPr>
  </w:style>
  <w:style w:type="paragraph" w:styleId="EndnoteText">
    <w:name w:val="endnote text"/>
    <w:basedOn w:val="Normal"/>
    <w:link w:val="EndnoteTextChar"/>
    <w:rsid w:val="00111DFC"/>
    <w:rPr>
      <w:sz w:val="20"/>
    </w:rPr>
  </w:style>
  <w:style w:type="character" w:customStyle="1" w:styleId="EndnoteTextChar">
    <w:name w:val="Endnote Text Char"/>
    <w:basedOn w:val="DefaultParagraphFont"/>
    <w:link w:val="EndnoteText"/>
    <w:rsid w:val="00111DFC"/>
  </w:style>
  <w:style w:type="character" w:styleId="EndnoteReference">
    <w:name w:val="endnote reference"/>
    <w:basedOn w:val="DefaultParagraphFont"/>
    <w:rsid w:val="00111DFC"/>
    <w:rPr>
      <w:vertAlign w:val="superscript"/>
    </w:rPr>
  </w:style>
</w:styles>
</file>

<file path=word/webSettings.xml><?xml version="1.0" encoding="utf-8"?>
<w:webSettings xmlns:r="http://schemas.openxmlformats.org/officeDocument/2006/relationships" xmlns:w="http://schemas.openxmlformats.org/wordprocessingml/2006/main">
  <w:divs>
    <w:div w:id="281425339">
      <w:bodyDiv w:val="1"/>
      <w:marLeft w:val="0"/>
      <w:marRight w:val="0"/>
      <w:marTop w:val="0"/>
      <w:marBottom w:val="0"/>
      <w:divBdr>
        <w:top w:val="none" w:sz="0" w:space="0" w:color="auto"/>
        <w:left w:val="none" w:sz="0" w:space="0" w:color="auto"/>
        <w:bottom w:val="none" w:sz="0" w:space="0" w:color="auto"/>
        <w:right w:val="none" w:sz="0" w:space="0" w:color="auto"/>
      </w:divBdr>
      <w:divsChild>
        <w:div w:id="948001719">
          <w:marLeft w:val="0"/>
          <w:marRight w:val="0"/>
          <w:marTop w:val="0"/>
          <w:marBottom w:val="0"/>
          <w:divBdr>
            <w:top w:val="none" w:sz="0" w:space="0" w:color="auto"/>
            <w:left w:val="none" w:sz="0" w:space="0" w:color="auto"/>
            <w:bottom w:val="none" w:sz="0" w:space="0" w:color="auto"/>
            <w:right w:val="none" w:sz="0" w:space="0" w:color="auto"/>
          </w:divBdr>
          <w:divsChild>
            <w:div w:id="1163282922">
              <w:marLeft w:val="0"/>
              <w:marRight w:val="0"/>
              <w:marTop w:val="0"/>
              <w:marBottom w:val="0"/>
              <w:divBdr>
                <w:top w:val="none" w:sz="0" w:space="0" w:color="auto"/>
                <w:left w:val="none" w:sz="0" w:space="0" w:color="auto"/>
                <w:bottom w:val="none" w:sz="0" w:space="0" w:color="auto"/>
                <w:right w:val="none" w:sz="0" w:space="0" w:color="auto"/>
              </w:divBdr>
              <w:divsChild>
                <w:div w:id="845440552">
                  <w:marLeft w:val="0"/>
                  <w:marRight w:val="0"/>
                  <w:marTop w:val="0"/>
                  <w:marBottom w:val="0"/>
                  <w:divBdr>
                    <w:top w:val="none" w:sz="0" w:space="0" w:color="auto"/>
                    <w:left w:val="none" w:sz="0" w:space="0" w:color="auto"/>
                    <w:bottom w:val="none" w:sz="0" w:space="0" w:color="auto"/>
                    <w:right w:val="none" w:sz="0" w:space="0" w:color="auto"/>
                  </w:divBdr>
                  <w:divsChild>
                    <w:div w:id="1233782055">
                      <w:marLeft w:val="0"/>
                      <w:marRight w:val="0"/>
                      <w:marTop w:val="0"/>
                      <w:marBottom w:val="0"/>
                      <w:divBdr>
                        <w:top w:val="none" w:sz="0" w:space="0" w:color="auto"/>
                        <w:left w:val="none" w:sz="0" w:space="0" w:color="auto"/>
                        <w:bottom w:val="none" w:sz="0" w:space="0" w:color="auto"/>
                        <w:right w:val="none" w:sz="0" w:space="0" w:color="auto"/>
                      </w:divBdr>
                      <w:divsChild>
                        <w:div w:id="787696754">
                          <w:marLeft w:val="0"/>
                          <w:marRight w:val="0"/>
                          <w:marTop w:val="0"/>
                          <w:marBottom w:val="0"/>
                          <w:divBdr>
                            <w:top w:val="single" w:sz="6" w:space="0" w:color="828282"/>
                            <w:left w:val="single" w:sz="6" w:space="0" w:color="828282"/>
                            <w:bottom w:val="single" w:sz="6" w:space="0" w:color="828282"/>
                            <w:right w:val="single" w:sz="6" w:space="0" w:color="828282"/>
                          </w:divBdr>
                          <w:divsChild>
                            <w:div w:id="1142846830">
                              <w:marLeft w:val="0"/>
                              <w:marRight w:val="0"/>
                              <w:marTop w:val="0"/>
                              <w:marBottom w:val="0"/>
                              <w:divBdr>
                                <w:top w:val="none" w:sz="0" w:space="0" w:color="auto"/>
                                <w:left w:val="none" w:sz="0" w:space="0" w:color="auto"/>
                                <w:bottom w:val="none" w:sz="0" w:space="0" w:color="auto"/>
                                <w:right w:val="none" w:sz="0" w:space="0" w:color="auto"/>
                              </w:divBdr>
                              <w:divsChild>
                                <w:div w:id="804003330">
                                  <w:marLeft w:val="0"/>
                                  <w:marRight w:val="0"/>
                                  <w:marTop w:val="0"/>
                                  <w:marBottom w:val="0"/>
                                  <w:divBdr>
                                    <w:top w:val="none" w:sz="0" w:space="0" w:color="auto"/>
                                    <w:left w:val="none" w:sz="0" w:space="0" w:color="auto"/>
                                    <w:bottom w:val="none" w:sz="0" w:space="0" w:color="auto"/>
                                    <w:right w:val="none" w:sz="0" w:space="0" w:color="auto"/>
                                  </w:divBdr>
                                  <w:divsChild>
                                    <w:div w:id="42756321">
                                      <w:marLeft w:val="0"/>
                                      <w:marRight w:val="0"/>
                                      <w:marTop w:val="0"/>
                                      <w:marBottom w:val="0"/>
                                      <w:divBdr>
                                        <w:top w:val="none" w:sz="0" w:space="0" w:color="auto"/>
                                        <w:left w:val="none" w:sz="0" w:space="0" w:color="auto"/>
                                        <w:bottom w:val="none" w:sz="0" w:space="0" w:color="auto"/>
                                        <w:right w:val="none" w:sz="0" w:space="0" w:color="auto"/>
                                      </w:divBdr>
                                      <w:divsChild>
                                        <w:div w:id="2098285243">
                                          <w:marLeft w:val="0"/>
                                          <w:marRight w:val="0"/>
                                          <w:marTop w:val="0"/>
                                          <w:marBottom w:val="0"/>
                                          <w:divBdr>
                                            <w:top w:val="none" w:sz="0" w:space="0" w:color="auto"/>
                                            <w:left w:val="none" w:sz="0" w:space="0" w:color="auto"/>
                                            <w:bottom w:val="none" w:sz="0" w:space="0" w:color="auto"/>
                                            <w:right w:val="none" w:sz="0" w:space="0" w:color="auto"/>
                                          </w:divBdr>
                                          <w:divsChild>
                                            <w:div w:id="6986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713648">
      <w:bodyDiv w:val="1"/>
      <w:marLeft w:val="0"/>
      <w:marRight w:val="0"/>
      <w:marTop w:val="0"/>
      <w:marBottom w:val="0"/>
      <w:divBdr>
        <w:top w:val="none" w:sz="0" w:space="0" w:color="auto"/>
        <w:left w:val="none" w:sz="0" w:space="0" w:color="auto"/>
        <w:bottom w:val="none" w:sz="0" w:space="0" w:color="auto"/>
        <w:right w:val="none" w:sz="0" w:space="0" w:color="auto"/>
      </w:divBdr>
      <w:divsChild>
        <w:div w:id="985665574">
          <w:marLeft w:val="0"/>
          <w:marRight w:val="0"/>
          <w:marTop w:val="0"/>
          <w:marBottom w:val="0"/>
          <w:divBdr>
            <w:top w:val="none" w:sz="0" w:space="0" w:color="auto"/>
            <w:left w:val="none" w:sz="0" w:space="0" w:color="auto"/>
            <w:bottom w:val="none" w:sz="0" w:space="0" w:color="auto"/>
            <w:right w:val="none" w:sz="0" w:space="0" w:color="auto"/>
          </w:divBdr>
          <w:divsChild>
            <w:div w:id="1648894259">
              <w:marLeft w:val="0"/>
              <w:marRight w:val="0"/>
              <w:marTop w:val="0"/>
              <w:marBottom w:val="0"/>
              <w:divBdr>
                <w:top w:val="none" w:sz="0" w:space="0" w:color="auto"/>
                <w:left w:val="none" w:sz="0" w:space="0" w:color="auto"/>
                <w:bottom w:val="none" w:sz="0" w:space="0" w:color="auto"/>
                <w:right w:val="none" w:sz="0" w:space="0" w:color="auto"/>
              </w:divBdr>
              <w:divsChild>
                <w:div w:id="1196621920">
                  <w:marLeft w:val="0"/>
                  <w:marRight w:val="0"/>
                  <w:marTop w:val="0"/>
                  <w:marBottom w:val="0"/>
                  <w:divBdr>
                    <w:top w:val="none" w:sz="0" w:space="0" w:color="auto"/>
                    <w:left w:val="none" w:sz="0" w:space="0" w:color="auto"/>
                    <w:bottom w:val="none" w:sz="0" w:space="0" w:color="auto"/>
                    <w:right w:val="none" w:sz="0" w:space="0" w:color="auto"/>
                  </w:divBdr>
                  <w:divsChild>
                    <w:div w:id="1476217302">
                      <w:marLeft w:val="0"/>
                      <w:marRight w:val="0"/>
                      <w:marTop w:val="0"/>
                      <w:marBottom w:val="0"/>
                      <w:divBdr>
                        <w:top w:val="none" w:sz="0" w:space="0" w:color="auto"/>
                        <w:left w:val="none" w:sz="0" w:space="0" w:color="auto"/>
                        <w:bottom w:val="none" w:sz="0" w:space="0" w:color="auto"/>
                        <w:right w:val="none" w:sz="0" w:space="0" w:color="auto"/>
                      </w:divBdr>
                      <w:divsChild>
                        <w:div w:id="19959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374675">
      <w:bodyDiv w:val="1"/>
      <w:marLeft w:val="0"/>
      <w:marRight w:val="0"/>
      <w:marTop w:val="0"/>
      <w:marBottom w:val="0"/>
      <w:divBdr>
        <w:top w:val="none" w:sz="0" w:space="0" w:color="auto"/>
        <w:left w:val="none" w:sz="0" w:space="0" w:color="auto"/>
        <w:bottom w:val="none" w:sz="0" w:space="0" w:color="auto"/>
        <w:right w:val="none" w:sz="0" w:space="0" w:color="auto"/>
      </w:divBdr>
    </w:div>
    <w:div w:id="540019305">
      <w:bodyDiv w:val="1"/>
      <w:marLeft w:val="0"/>
      <w:marRight w:val="0"/>
      <w:marTop w:val="0"/>
      <w:marBottom w:val="0"/>
      <w:divBdr>
        <w:top w:val="none" w:sz="0" w:space="0" w:color="auto"/>
        <w:left w:val="none" w:sz="0" w:space="0" w:color="auto"/>
        <w:bottom w:val="none" w:sz="0" w:space="0" w:color="auto"/>
        <w:right w:val="none" w:sz="0" w:space="0" w:color="auto"/>
      </w:divBdr>
    </w:div>
    <w:div w:id="1160001990">
      <w:bodyDiv w:val="1"/>
      <w:marLeft w:val="0"/>
      <w:marRight w:val="0"/>
      <w:marTop w:val="0"/>
      <w:marBottom w:val="0"/>
      <w:divBdr>
        <w:top w:val="none" w:sz="0" w:space="0" w:color="auto"/>
        <w:left w:val="none" w:sz="0" w:space="0" w:color="auto"/>
        <w:bottom w:val="none" w:sz="0" w:space="0" w:color="auto"/>
        <w:right w:val="none" w:sz="0" w:space="0" w:color="auto"/>
      </w:divBdr>
    </w:div>
    <w:div w:id="1825774619">
      <w:bodyDiv w:val="1"/>
      <w:marLeft w:val="0"/>
      <w:marRight w:val="0"/>
      <w:marTop w:val="0"/>
      <w:marBottom w:val="0"/>
      <w:divBdr>
        <w:top w:val="single" w:sz="48" w:space="0" w:color="004B75"/>
        <w:left w:val="none" w:sz="0" w:space="0" w:color="auto"/>
        <w:bottom w:val="none" w:sz="0" w:space="0" w:color="auto"/>
        <w:right w:val="none" w:sz="0" w:space="0" w:color="auto"/>
      </w:divBdr>
      <w:divsChild>
        <w:div w:id="1989241079">
          <w:marLeft w:val="0"/>
          <w:marRight w:val="0"/>
          <w:marTop w:val="0"/>
          <w:marBottom w:val="0"/>
          <w:divBdr>
            <w:top w:val="none" w:sz="0" w:space="0" w:color="auto"/>
            <w:left w:val="none" w:sz="0" w:space="0" w:color="auto"/>
            <w:bottom w:val="none" w:sz="0" w:space="0" w:color="auto"/>
            <w:right w:val="none" w:sz="0" w:space="0" w:color="auto"/>
          </w:divBdr>
          <w:divsChild>
            <w:div w:id="456990198">
              <w:marLeft w:val="0"/>
              <w:marRight w:val="0"/>
              <w:marTop w:val="0"/>
              <w:marBottom w:val="0"/>
              <w:divBdr>
                <w:top w:val="none" w:sz="0" w:space="0" w:color="auto"/>
                <w:left w:val="none" w:sz="0" w:space="0" w:color="auto"/>
                <w:bottom w:val="none" w:sz="0" w:space="0" w:color="auto"/>
                <w:right w:val="none" w:sz="0" w:space="0" w:color="auto"/>
              </w:divBdr>
              <w:divsChild>
                <w:div w:id="17780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ostalservices@accc.gov.au"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mailto:publishing.unit@accc.gov.au" TargetMode="Externa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uspos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10157</Words>
  <Characters>55793</Characters>
  <Application>Microsoft Office Word</Application>
  <DocSecurity>0</DocSecurity>
  <Lines>464</Lines>
  <Paragraphs>131</Paragraphs>
  <ScaleCrop>false</ScaleCrop>
  <Company/>
  <LinksUpToDate>false</LinksUpToDate>
  <CharactersWithSpaces>65819</CharactersWithSpaces>
  <SharedDoc>false</SharedDoc>
  <HLinks>
    <vt:vector size="342" baseType="variant">
      <vt:variant>
        <vt:i4>3997779</vt:i4>
      </vt:variant>
      <vt:variant>
        <vt:i4>336</vt:i4>
      </vt:variant>
      <vt:variant>
        <vt:i4>0</vt:i4>
      </vt:variant>
      <vt:variant>
        <vt:i4>5</vt:i4>
      </vt:variant>
      <vt:variant>
        <vt:lpwstr>mailto:postalservices@accc.gov.au</vt:lpwstr>
      </vt:variant>
      <vt:variant>
        <vt:lpwstr/>
      </vt:variant>
      <vt:variant>
        <vt:i4>1966139</vt:i4>
      </vt:variant>
      <vt:variant>
        <vt:i4>329</vt:i4>
      </vt:variant>
      <vt:variant>
        <vt:i4>0</vt:i4>
      </vt:variant>
      <vt:variant>
        <vt:i4>5</vt:i4>
      </vt:variant>
      <vt:variant>
        <vt:lpwstr/>
      </vt:variant>
      <vt:variant>
        <vt:lpwstr>_Toc328129239</vt:lpwstr>
      </vt:variant>
      <vt:variant>
        <vt:i4>1966139</vt:i4>
      </vt:variant>
      <vt:variant>
        <vt:i4>323</vt:i4>
      </vt:variant>
      <vt:variant>
        <vt:i4>0</vt:i4>
      </vt:variant>
      <vt:variant>
        <vt:i4>5</vt:i4>
      </vt:variant>
      <vt:variant>
        <vt:lpwstr/>
      </vt:variant>
      <vt:variant>
        <vt:lpwstr>_Toc328129238</vt:lpwstr>
      </vt:variant>
      <vt:variant>
        <vt:i4>1966139</vt:i4>
      </vt:variant>
      <vt:variant>
        <vt:i4>317</vt:i4>
      </vt:variant>
      <vt:variant>
        <vt:i4>0</vt:i4>
      </vt:variant>
      <vt:variant>
        <vt:i4>5</vt:i4>
      </vt:variant>
      <vt:variant>
        <vt:lpwstr/>
      </vt:variant>
      <vt:variant>
        <vt:lpwstr>_Toc328129237</vt:lpwstr>
      </vt:variant>
      <vt:variant>
        <vt:i4>1966139</vt:i4>
      </vt:variant>
      <vt:variant>
        <vt:i4>311</vt:i4>
      </vt:variant>
      <vt:variant>
        <vt:i4>0</vt:i4>
      </vt:variant>
      <vt:variant>
        <vt:i4>5</vt:i4>
      </vt:variant>
      <vt:variant>
        <vt:lpwstr/>
      </vt:variant>
      <vt:variant>
        <vt:lpwstr>_Toc328129236</vt:lpwstr>
      </vt:variant>
      <vt:variant>
        <vt:i4>1966139</vt:i4>
      </vt:variant>
      <vt:variant>
        <vt:i4>305</vt:i4>
      </vt:variant>
      <vt:variant>
        <vt:i4>0</vt:i4>
      </vt:variant>
      <vt:variant>
        <vt:i4>5</vt:i4>
      </vt:variant>
      <vt:variant>
        <vt:lpwstr/>
      </vt:variant>
      <vt:variant>
        <vt:lpwstr>_Toc328129235</vt:lpwstr>
      </vt:variant>
      <vt:variant>
        <vt:i4>1966139</vt:i4>
      </vt:variant>
      <vt:variant>
        <vt:i4>299</vt:i4>
      </vt:variant>
      <vt:variant>
        <vt:i4>0</vt:i4>
      </vt:variant>
      <vt:variant>
        <vt:i4>5</vt:i4>
      </vt:variant>
      <vt:variant>
        <vt:lpwstr/>
      </vt:variant>
      <vt:variant>
        <vt:lpwstr>_Toc328129234</vt:lpwstr>
      </vt:variant>
      <vt:variant>
        <vt:i4>1966139</vt:i4>
      </vt:variant>
      <vt:variant>
        <vt:i4>293</vt:i4>
      </vt:variant>
      <vt:variant>
        <vt:i4>0</vt:i4>
      </vt:variant>
      <vt:variant>
        <vt:i4>5</vt:i4>
      </vt:variant>
      <vt:variant>
        <vt:lpwstr/>
      </vt:variant>
      <vt:variant>
        <vt:lpwstr>_Toc328129233</vt:lpwstr>
      </vt:variant>
      <vt:variant>
        <vt:i4>1966139</vt:i4>
      </vt:variant>
      <vt:variant>
        <vt:i4>287</vt:i4>
      </vt:variant>
      <vt:variant>
        <vt:i4>0</vt:i4>
      </vt:variant>
      <vt:variant>
        <vt:i4>5</vt:i4>
      </vt:variant>
      <vt:variant>
        <vt:lpwstr/>
      </vt:variant>
      <vt:variant>
        <vt:lpwstr>_Toc328129232</vt:lpwstr>
      </vt:variant>
      <vt:variant>
        <vt:i4>1966139</vt:i4>
      </vt:variant>
      <vt:variant>
        <vt:i4>281</vt:i4>
      </vt:variant>
      <vt:variant>
        <vt:i4>0</vt:i4>
      </vt:variant>
      <vt:variant>
        <vt:i4>5</vt:i4>
      </vt:variant>
      <vt:variant>
        <vt:lpwstr/>
      </vt:variant>
      <vt:variant>
        <vt:lpwstr>_Toc328129231</vt:lpwstr>
      </vt:variant>
      <vt:variant>
        <vt:i4>1966139</vt:i4>
      </vt:variant>
      <vt:variant>
        <vt:i4>275</vt:i4>
      </vt:variant>
      <vt:variant>
        <vt:i4>0</vt:i4>
      </vt:variant>
      <vt:variant>
        <vt:i4>5</vt:i4>
      </vt:variant>
      <vt:variant>
        <vt:lpwstr/>
      </vt:variant>
      <vt:variant>
        <vt:lpwstr>_Toc328129230</vt:lpwstr>
      </vt:variant>
      <vt:variant>
        <vt:i4>2031675</vt:i4>
      </vt:variant>
      <vt:variant>
        <vt:i4>269</vt:i4>
      </vt:variant>
      <vt:variant>
        <vt:i4>0</vt:i4>
      </vt:variant>
      <vt:variant>
        <vt:i4>5</vt:i4>
      </vt:variant>
      <vt:variant>
        <vt:lpwstr/>
      </vt:variant>
      <vt:variant>
        <vt:lpwstr>_Toc328129229</vt:lpwstr>
      </vt:variant>
      <vt:variant>
        <vt:i4>2031675</vt:i4>
      </vt:variant>
      <vt:variant>
        <vt:i4>263</vt:i4>
      </vt:variant>
      <vt:variant>
        <vt:i4>0</vt:i4>
      </vt:variant>
      <vt:variant>
        <vt:i4>5</vt:i4>
      </vt:variant>
      <vt:variant>
        <vt:lpwstr/>
      </vt:variant>
      <vt:variant>
        <vt:lpwstr>_Toc328129228</vt:lpwstr>
      </vt:variant>
      <vt:variant>
        <vt:i4>2031675</vt:i4>
      </vt:variant>
      <vt:variant>
        <vt:i4>257</vt:i4>
      </vt:variant>
      <vt:variant>
        <vt:i4>0</vt:i4>
      </vt:variant>
      <vt:variant>
        <vt:i4>5</vt:i4>
      </vt:variant>
      <vt:variant>
        <vt:lpwstr/>
      </vt:variant>
      <vt:variant>
        <vt:lpwstr>_Toc328129227</vt:lpwstr>
      </vt:variant>
      <vt:variant>
        <vt:i4>2031675</vt:i4>
      </vt:variant>
      <vt:variant>
        <vt:i4>251</vt:i4>
      </vt:variant>
      <vt:variant>
        <vt:i4>0</vt:i4>
      </vt:variant>
      <vt:variant>
        <vt:i4>5</vt:i4>
      </vt:variant>
      <vt:variant>
        <vt:lpwstr/>
      </vt:variant>
      <vt:variant>
        <vt:lpwstr>_Toc328129226</vt:lpwstr>
      </vt:variant>
      <vt:variant>
        <vt:i4>2031675</vt:i4>
      </vt:variant>
      <vt:variant>
        <vt:i4>245</vt:i4>
      </vt:variant>
      <vt:variant>
        <vt:i4>0</vt:i4>
      </vt:variant>
      <vt:variant>
        <vt:i4>5</vt:i4>
      </vt:variant>
      <vt:variant>
        <vt:lpwstr/>
      </vt:variant>
      <vt:variant>
        <vt:lpwstr>_Toc328129225</vt:lpwstr>
      </vt:variant>
      <vt:variant>
        <vt:i4>2031675</vt:i4>
      </vt:variant>
      <vt:variant>
        <vt:i4>239</vt:i4>
      </vt:variant>
      <vt:variant>
        <vt:i4>0</vt:i4>
      </vt:variant>
      <vt:variant>
        <vt:i4>5</vt:i4>
      </vt:variant>
      <vt:variant>
        <vt:lpwstr/>
      </vt:variant>
      <vt:variant>
        <vt:lpwstr>_Toc328129224</vt:lpwstr>
      </vt:variant>
      <vt:variant>
        <vt:i4>2031675</vt:i4>
      </vt:variant>
      <vt:variant>
        <vt:i4>233</vt:i4>
      </vt:variant>
      <vt:variant>
        <vt:i4>0</vt:i4>
      </vt:variant>
      <vt:variant>
        <vt:i4>5</vt:i4>
      </vt:variant>
      <vt:variant>
        <vt:lpwstr/>
      </vt:variant>
      <vt:variant>
        <vt:lpwstr>_Toc328129223</vt:lpwstr>
      </vt:variant>
      <vt:variant>
        <vt:i4>2031675</vt:i4>
      </vt:variant>
      <vt:variant>
        <vt:i4>227</vt:i4>
      </vt:variant>
      <vt:variant>
        <vt:i4>0</vt:i4>
      </vt:variant>
      <vt:variant>
        <vt:i4>5</vt:i4>
      </vt:variant>
      <vt:variant>
        <vt:lpwstr/>
      </vt:variant>
      <vt:variant>
        <vt:lpwstr>_Toc328129222</vt:lpwstr>
      </vt:variant>
      <vt:variant>
        <vt:i4>2031675</vt:i4>
      </vt:variant>
      <vt:variant>
        <vt:i4>221</vt:i4>
      </vt:variant>
      <vt:variant>
        <vt:i4>0</vt:i4>
      </vt:variant>
      <vt:variant>
        <vt:i4>5</vt:i4>
      </vt:variant>
      <vt:variant>
        <vt:lpwstr/>
      </vt:variant>
      <vt:variant>
        <vt:lpwstr>_Toc328129221</vt:lpwstr>
      </vt:variant>
      <vt:variant>
        <vt:i4>2031675</vt:i4>
      </vt:variant>
      <vt:variant>
        <vt:i4>215</vt:i4>
      </vt:variant>
      <vt:variant>
        <vt:i4>0</vt:i4>
      </vt:variant>
      <vt:variant>
        <vt:i4>5</vt:i4>
      </vt:variant>
      <vt:variant>
        <vt:lpwstr/>
      </vt:variant>
      <vt:variant>
        <vt:lpwstr>_Toc328129220</vt:lpwstr>
      </vt:variant>
      <vt:variant>
        <vt:i4>1835067</vt:i4>
      </vt:variant>
      <vt:variant>
        <vt:i4>209</vt:i4>
      </vt:variant>
      <vt:variant>
        <vt:i4>0</vt:i4>
      </vt:variant>
      <vt:variant>
        <vt:i4>5</vt:i4>
      </vt:variant>
      <vt:variant>
        <vt:lpwstr/>
      </vt:variant>
      <vt:variant>
        <vt:lpwstr>_Toc328129219</vt:lpwstr>
      </vt:variant>
      <vt:variant>
        <vt:i4>1835067</vt:i4>
      </vt:variant>
      <vt:variant>
        <vt:i4>203</vt:i4>
      </vt:variant>
      <vt:variant>
        <vt:i4>0</vt:i4>
      </vt:variant>
      <vt:variant>
        <vt:i4>5</vt:i4>
      </vt:variant>
      <vt:variant>
        <vt:lpwstr/>
      </vt:variant>
      <vt:variant>
        <vt:lpwstr>_Toc328129218</vt:lpwstr>
      </vt:variant>
      <vt:variant>
        <vt:i4>1835067</vt:i4>
      </vt:variant>
      <vt:variant>
        <vt:i4>197</vt:i4>
      </vt:variant>
      <vt:variant>
        <vt:i4>0</vt:i4>
      </vt:variant>
      <vt:variant>
        <vt:i4>5</vt:i4>
      </vt:variant>
      <vt:variant>
        <vt:lpwstr/>
      </vt:variant>
      <vt:variant>
        <vt:lpwstr>_Toc328129217</vt:lpwstr>
      </vt:variant>
      <vt:variant>
        <vt:i4>1835067</vt:i4>
      </vt:variant>
      <vt:variant>
        <vt:i4>191</vt:i4>
      </vt:variant>
      <vt:variant>
        <vt:i4>0</vt:i4>
      </vt:variant>
      <vt:variant>
        <vt:i4>5</vt:i4>
      </vt:variant>
      <vt:variant>
        <vt:lpwstr/>
      </vt:variant>
      <vt:variant>
        <vt:lpwstr>_Toc328129216</vt:lpwstr>
      </vt:variant>
      <vt:variant>
        <vt:i4>1835067</vt:i4>
      </vt:variant>
      <vt:variant>
        <vt:i4>185</vt:i4>
      </vt:variant>
      <vt:variant>
        <vt:i4>0</vt:i4>
      </vt:variant>
      <vt:variant>
        <vt:i4>5</vt:i4>
      </vt:variant>
      <vt:variant>
        <vt:lpwstr/>
      </vt:variant>
      <vt:variant>
        <vt:lpwstr>_Toc328129215</vt:lpwstr>
      </vt:variant>
      <vt:variant>
        <vt:i4>1835067</vt:i4>
      </vt:variant>
      <vt:variant>
        <vt:i4>179</vt:i4>
      </vt:variant>
      <vt:variant>
        <vt:i4>0</vt:i4>
      </vt:variant>
      <vt:variant>
        <vt:i4>5</vt:i4>
      </vt:variant>
      <vt:variant>
        <vt:lpwstr/>
      </vt:variant>
      <vt:variant>
        <vt:lpwstr>_Toc328129214</vt:lpwstr>
      </vt:variant>
      <vt:variant>
        <vt:i4>1835067</vt:i4>
      </vt:variant>
      <vt:variant>
        <vt:i4>173</vt:i4>
      </vt:variant>
      <vt:variant>
        <vt:i4>0</vt:i4>
      </vt:variant>
      <vt:variant>
        <vt:i4>5</vt:i4>
      </vt:variant>
      <vt:variant>
        <vt:lpwstr/>
      </vt:variant>
      <vt:variant>
        <vt:lpwstr>_Toc328129213</vt:lpwstr>
      </vt:variant>
      <vt:variant>
        <vt:i4>1835067</vt:i4>
      </vt:variant>
      <vt:variant>
        <vt:i4>167</vt:i4>
      </vt:variant>
      <vt:variant>
        <vt:i4>0</vt:i4>
      </vt:variant>
      <vt:variant>
        <vt:i4>5</vt:i4>
      </vt:variant>
      <vt:variant>
        <vt:lpwstr/>
      </vt:variant>
      <vt:variant>
        <vt:lpwstr>_Toc328129212</vt:lpwstr>
      </vt:variant>
      <vt:variant>
        <vt:i4>1835067</vt:i4>
      </vt:variant>
      <vt:variant>
        <vt:i4>161</vt:i4>
      </vt:variant>
      <vt:variant>
        <vt:i4>0</vt:i4>
      </vt:variant>
      <vt:variant>
        <vt:i4>5</vt:i4>
      </vt:variant>
      <vt:variant>
        <vt:lpwstr/>
      </vt:variant>
      <vt:variant>
        <vt:lpwstr>_Toc328129211</vt:lpwstr>
      </vt:variant>
      <vt:variant>
        <vt:i4>1835067</vt:i4>
      </vt:variant>
      <vt:variant>
        <vt:i4>155</vt:i4>
      </vt:variant>
      <vt:variant>
        <vt:i4>0</vt:i4>
      </vt:variant>
      <vt:variant>
        <vt:i4>5</vt:i4>
      </vt:variant>
      <vt:variant>
        <vt:lpwstr/>
      </vt:variant>
      <vt:variant>
        <vt:lpwstr>_Toc328129210</vt:lpwstr>
      </vt:variant>
      <vt:variant>
        <vt:i4>1900603</vt:i4>
      </vt:variant>
      <vt:variant>
        <vt:i4>149</vt:i4>
      </vt:variant>
      <vt:variant>
        <vt:i4>0</vt:i4>
      </vt:variant>
      <vt:variant>
        <vt:i4>5</vt:i4>
      </vt:variant>
      <vt:variant>
        <vt:lpwstr/>
      </vt:variant>
      <vt:variant>
        <vt:lpwstr>_Toc328129209</vt:lpwstr>
      </vt:variant>
      <vt:variant>
        <vt:i4>1900603</vt:i4>
      </vt:variant>
      <vt:variant>
        <vt:i4>143</vt:i4>
      </vt:variant>
      <vt:variant>
        <vt:i4>0</vt:i4>
      </vt:variant>
      <vt:variant>
        <vt:i4>5</vt:i4>
      </vt:variant>
      <vt:variant>
        <vt:lpwstr/>
      </vt:variant>
      <vt:variant>
        <vt:lpwstr>_Toc328129208</vt:lpwstr>
      </vt:variant>
      <vt:variant>
        <vt:i4>1900603</vt:i4>
      </vt:variant>
      <vt:variant>
        <vt:i4>137</vt:i4>
      </vt:variant>
      <vt:variant>
        <vt:i4>0</vt:i4>
      </vt:variant>
      <vt:variant>
        <vt:i4>5</vt:i4>
      </vt:variant>
      <vt:variant>
        <vt:lpwstr/>
      </vt:variant>
      <vt:variant>
        <vt:lpwstr>_Toc328129207</vt:lpwstr>
      </vt:variant>
      <vt:variant>
        <vt:i4>1900603</vt:i4>
      </vt:variant>
      <vt:variant>
        <vt:i4>131</vt:i4>
      </vt:variant>
      <vt:variant>
        <vt:i4>0</vt:i4>
      </vt:variant>
      <vt:variant>
        <vt:i4>5</vt:i4>
      </vt:variant>
      <vt:variant>
        <vt:lpwstr/>
      </vt:variant>
      <vt:variant>
        <vt:lpwstr>_Toc328129206</vt:lpwstr>
      </vt:variant>
      <vt:variant>
        <vt:i4>1900603</vt:i4>
      </vt:variant>
      <vt:variant>
        <vt:i4>125</vt:i4>
      </vt:variant>
      <vt:variant>
        <vt:i4>0</vt:i4>
      </vt:variant>
      <vt:variant>
        <vt:i4>5</vt:i4>
      </vt:variant>
      <vt:variant>
        <vt:lpwstr/>
      </vt:variant>
      <vt:variant>
        <vt:lpwstr>_Toc328129205</vt:lpwstr>
      </vt:variant>
      <vt:variant>
        <vt:i4>1900603</vt:i4>
      </vt:variant>
      <vt:variant>
        <vt:i4>119</vt:i4>
      </vt:variant>
      <vt:variant>
        <vt:i4>0</vt:i4>
      </vt:variant>
      <vt:variant>
        <vt:i4>5</vt:i4>
      </vt:variant>
      <vt:variant>
        <vt:lpwstr/>
      </vt:variant>
      <vt:variant>
        <vt:lpwstr>_Toc328129204</vt:lpwstr>
      </vt:variant>
      <vt:variant>
        <vt:i4>1900603</vt:i4>
      </vt:variant>
      <vt:variant>
        <vt:i4>113</vt:i4>
      </vt:variant>
      <vt:variant>
        <vt:i4>0</vt:i4>
      </vt:variant>
      <vt:variant>
        <vt:i4>5</vt:i4>
      </vt:variant>
      <vt:variant>
        <vt:lpwstr/>
      </vt:variant>
      <vt:variant>
        <vt:lpwstr>_Toc328129203</vt:lpwstr>
      </vt:variant>
      <vt:variant>
        <vt:i4>1900603</vt:i4>
      </vt:variant>
      <vt:variant>
        <vt:i4>107</vt:i4>
      </vt:variant>
      <vt:variant>
        <vt:i4>0</vt:i4>
      </vt:variant>
      <vt:variant>
        <vt:i4>5</vt:i4>
      </vt:variant>
      <vt:variant>
        <vt:lpwstr/>
      </vt:variant>
      <vt:variant>
        <vt:lpwstr>_Toc328129202</vt:lpwstr>
      </vt:variant>
      <vt:variant>
        <vt:i4>1900603</vt:i4>
      </vt:variant>
      <vt:variant>
        <vt:i4>101</vt:i4>
      </vt:variant>
      <vt:variant>
        <vt:i4>0</vt:i4>
      </vt:variant>
      <vt:variant>
        <vt:i4>5</vt:i4>
      </vt:variant>
      <vt:variant>
        <vt:lpwstr/>
      </vt:variant>
      <vt:variant>
        <vt:lpwstr>_Toc328129201</vt:lpwstr>
      </vt:variant>
      <vt:variant>
        <vt:i4>1900603</vt:i4>
      </vt:variant>
      <vt:variant>
        <vt:i4>95</vt:i4>
      </vt:variant>
      <vt:variant>
        <vt:i4>0</vt:i4>
      </vt:variant>
      <vt:variant>
        <vt:i4>5</vt:i4>
      </vt:variant>
      <vt:variant>
        <vt:lpwstr/>
      </vt:variant>
      <vt:variant>
        <vt:lpwstr>_Toc328129200</vt:lpwstr>
      </vt:variant>
      <vt:variant>
        <vt:i4>1310776</vt:i4>
      </vt:variant>
      <vt:variant>
        <vt:i4>89</vt:i4>
      </vt:variant>
      <vt:variant>
        <vt:i4>0</vt:i4>
      </vt:variant>
      <vt:variant>
        <vt:i4>5</vt:i4>
      </vt:variant>
      <vt:variant>
        <vt:lpwstr/>
      </vt:variant>
      <vt:variant>
        <vt:lpwstr>_Toc328129199</vt:lpwstr>
      </vt:variant>
      <vt:variant>
        <vt:i4>1310776</vt:i4>
      </vt:variant>
      <vt:variant>
        <vt:i4>83</vt:i4>
      </vt:variant>
      <vt:variant>
        <vt:i4>0</vt:i4>
      </vt:variant>
      <vt:variant>
        <vt:i4>5</vt:i4>
      </vt:variant>
      <vt:variant>
        <vt:lpwstr/>
      </vt:variant>
      <vt:variant>
        <vt:lpwstr>_Toc328129198</vt:lpwstr>
      </vt:variant>
      <vt:variant>
        <vt:i4>1310776</vt:i4>
      </vt:variant>
      <vt:variant>
        <vt:i4>77</vt:i4>
      </vt:variant>
      <vt:variant>
        <vt:i4>0</vt:i4>
      </vt:variant>
      <vt:variant>
        <vt:i4>5</vt:i4>
      </vt:variant>
      <vt:variant>
        <vt:lpwstr/>
      </vt:variant>
      <vt:variant>
        <vt:lpwstr>_Toc328129197</vt:lpwstr>
      </vt:variant>
      <vt:variant>
        <vt:i4>1310776</vt:i4>
      </vt:variant>
      <vt:variant>
        <vt:i4>71</vt:i4>
      </vt:variant>
      <vt:variant>
        <vt:i4>0</vt:i4>
      </vt:variant>
      <vt:variant>
        <vt:i4>5</vt:i4>
      </vt:variant>
      <vt:variant>
        <vt:lpwstr/>
      </vt:variant>
      <vt:variant>
        <vt:lpwstr>_Toc328129196</vt:lpwstr>
      </vt:variant>
      <vt:variant>
        <vt:i4>1310776</vt:i4>
      </vt:variant>
      <vt:variant>
        <vt:i4>65</vt:i4>
      </vt:variant>
      <vt:variant>
        <vt:i4>0</vt:i4>
      </vt:variant>
      <vt:variant>
        <vt:i4>5</vt:i4>
      </vt:variant>
      <vt:variant>
        <vt:lpwstr/>
      </vt:variant>
      <vt:variant>
        <vt:lpwstr>_Toc328129195</vt:lpwstr>
      </vt:variant>
      <vt:variant>
        <vt:i4>1310776</vt:i4>
      </vt:variant>
      <vt:variant>
        <vt:i4>59</vt:i4>
      </vt:variant>
      <vt:variant>
        <vt:i4>0</vt:i4>
      </vt:variant>
      <vt:variant>
        <vt:i4>5</vt:i4>
      </vt:variant>
      <vt:variant>
        <vt:lpwstr/>
      </vt:variant>
      <vt:variant>
        <vt:lpwstr>_Toc328129194</vt:lpwstr>
      </vt:variant>
      <vt:variant>
        <vt:i4>1310776</vt:i4>
      </vt:variant>
      <vt:variant>
        <vt:i4>53</vt:i4>
      </vt:variant>
      <vt:variant>
        <vt:i4>0</vt:i4>
      </vt:variant>
      <vt:variant>
        <vt:i4>5</vt:i4>
      </vt:variant>
      <vt:variant>
        <vt:lpwstr/>
      </vt:variant>
      <vt:variant>
        <vt:lpwstr>_Toc328129193</vt:lpwstr>
      </vt:variant>
      <vt:variant>
        <vt:i4>1310776</vt:i4>
      </vt:variant>
      <vt:variant>
        <vt:i4>47</vt:i4>
      </vt:variant>
      <vt:variant>
        <vt:i4>0</vt:i4>
      </vt:variant>
      <vt:variant>
        <vt:i4>5</vt:i4>
      </vt:variant>
      <vt:variant>
        <vt:lpwstr/>
      </vt:variant>
      <vt:variant>
        <vt:lpwstr>_Toc328129192</vt:lpwstr>
      </vt:variant>
      <vt:variant>
        <vt:i4>1310776</vt:i4>
      </vt:variant>
      <vt:variant>
        <vt:i4>41</vt:i4>
      </vt:variant>
      <vt:variant>
        <vt:i4>0</vt:i4>
      </vt:variant>
      <vt:variant>
        <vt:i4>5</vt:i4>
      </vt:variant>
      <vt:variant>
        <vt:lpwstr/>
      </vt:variant>
      <vt:variant>
        <vt:lpwstr>_Toc328129191</vt:lpwstr>
      </vt:variant>
      <vt:variant>
        <vt:i4>1310776</vt:i4>
      </vt:variant>
      <vt:variant>
        <vt:i4>35</vt:i4>
      </vt:variant>
      <vt:variant>
        <vt:i4>0</vt:i4>
      </vt:variant>
      <vt:variant>
        <vt:i4>5</vt:i4>
      </vt:variant>
      <vt:variant>
        <vt:lpwstr/>
      </vt:variant>
      <vt:variant>
        <vt:lpwstr>_Toc328129190</vt:lpwstr>
      </vt:variant>
      <vt:variant>
        <vt:i4>1376312</vt:i4>
      </vt:variant>
      <vt:variant>
        <vt:i4>29</vt:i4>
      </vt:variant>
      <vt:variant>
        <vt:i4>0</vt:i4>
      </vt:variant>
      <vt:variant>
        <vt:i4>5</vt:i4>
      </vt:variant>
      <vt:variant>
        <vt:lpwstr/>
      </vt:variant>
      <vt:variant>
        <vt:lpwstr>_Toc328129189</vt:lpwstr>
      </vt:variant>
      <vt:variant>
        <vt:i4>1376312</vt:i4>
      </vt:variant>
      <vt:variant>
        <vt:i4>23</vt:i4>
      </vt:variant>
      <vt:variant>
        <vt:i4>0</vt:i4>
      </vt:variant>
      <vt:variant>
        <vt:i4>5</vt:i4>
      </vt:variant>
      <vt:variant>
        <vt:lpwstr/>
      </vt:variant>
      <vt:variant>
        <vt:lpwstr>_Toc328129188</vt:lpwstr>
      </vt:variant>
      <vt:variant>
        <vt:i4>1376312</vt:i4>
      </vt:variant>
      <vt:variant>
        <vt:i4>17</vt:i4>
      </vt:variant>
      <vt:variant>
        <vt:i4>0</vt:i4>
      </vt:variant>
      <vt:variant>
        <vt:i4>5</vt:i4>
      </vt:variant>
      <vt:variant>
        <vt:lpwstr/>
      </vt:variant>
      <vt:variant>
        <vt:lpwstr>_Toc328129187</vt:lpwstr>
      </vt:variant>
      <vt:variant>
        <vt:i4>1376312</vt:i4>
      </vt:variant>
      <vt:variant>
        <vt:i4>11</vt:i4>
      </vt:variant>
      <vt:variant>
        <vt:i4>0</vt:i4>
      </vt:variant>
      <vt:variant>
        <vt:i4>5</vt:i4>
      </vt:variant>
      <vt:variant>
        <vt:lpwstr/>
      </vt:variant>
      <vt:variant>
        <vt:lpwstr>_Toc328129186</vt:lpwstr>
      </vt:variant>
      <vt:variant>
        <vt:i4>1376312</vt:i4>
      </vt:variant>
      <vt:variant>
        <vt:i4>5</vt:i4>
      </vt:variant>
      <vt:variant>
        <vt:i4>0</vt:i4>
      </vt:variant>
      <vt:variant>
        <vt:i4>5</vt:i4>
      </vt:variant>
      <vt:variant>
        <vt:lpwstr/>
      </vt:variant>
      <vt:variant>
        <vt:lpwstr>_Toc328129185</vt:lpwstr>
      </vt:variant>
      <vt:variant>
        <vt:i4>6422629</vt:i4>
      </vt:variant>
      <vt:variant>
        <vt:i4>0</vt:i4>
      </vt:variant>
      <vt:variant>
        <vt:i4>0</vt:i4>
      </vt:variant>
      <vt:variant>
        <vt:i4>5</vt:i4>
      </vt:variant>
      <vt:variant>
        <vt:lpwstr>http://auspost.com.au/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2012-08-14T04:53:00Z</dcterms:created>
  <dcterms:modified xsi:type="dcterms:W3CDTF">2012-08-14T04:55:00Z</dcterms:modified>
</cp:coreProperties>
</file>